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8" w:name="_GoBack"/>
      <w:r>
        <w:rPr>
          <w:rFonts w:hint="eastAsia" w:ascii="Times New Roman" w:hAnsi="Times New Roman" w:eastAsia="方正小标宋简体" w:cs="Times New Roman"/>
          <w:sz w:val="44"/>
          <w:szCs w:val="44"/>
        </w:rPr>
        <w:t>九州镇南汉中心小学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广阳区九州镇南汉中心小学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正县(处)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(一)教导处工作职责</w:t>
      </w:r>
    </w:p>
    <w:p>
      <w:pPr>
        <w:spacing w:line="584" w:lineRule="exact"/>
        <w:ind w:firstLine="640" w:firstLineChars="200"/>
        <w:rPr>
          <w:rFonts w:ascii="仿宋_GB2312" w:hAnsi="楷体" w:eastAsia="仿宋_GB2312" w:cs="Times New Roman"/>
          <w:b/>
          <w:bCs/>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w:t>
      </w:r>
      <w:r>
        <w:rPr>
          <w:rFonts w:hint="eastAsia" w:ascii="仿宋_GB2312" w:hAnsi="楷体" w:eastAsia="仿宋_GB2312" w:cs="Times New Roman"/>
          <w:b/>
          <w:bCs/>
          <w:sz w:val="32"/>
          <w:szCs w:val="32"/>
        </w:rPr>
        <w:t>具体职责是:</w:t>
      </w:r>
    </w:p>
    <w:p>
      <w:pPr>
        <w:spacing w:line="584" w:lineRule="exact"/>
        <w:rPr>
          <w:rFonts w:ascii="仿宋_GB2312" w:hAnsi="楷体" w:eastAsia="仿宋_GB2312" w:cs="Times New Roman"/>
          <w:b/>
          <w:bCs/>
          <w:sz w:val="32"/>
          <w:szCs w:val="32"/>
        </w:rPr>
      </w:pPr>
      <w:r>
        <w:rPr>
          <w:rFonts w:hint="eastAsia" w:ascii="仿宋_GB2312" w:hAnsi="楷体" w:eastAsia="仿宋_GB2312" w:cs="Times New Roman"/>
          <w:b/>
          <w:bCs/>
          <w:sz w:val="32"/>
          <w:szCs w:val="32"/>
        </w:rPr>
        <w:t>学期(或学年)开始前工作: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84" w:lineRule="exact"/>
        <w:rPr>
          <w:rFonts w:ascii="楷体" w:hAnsi="楷体" w:eastAsia="楷体" w:cs="Times New Roman"/>
          <w:b/>
          <w:bCs/>
          <w:sz w:val="32"/>
          <w:szCs w:val="32"/>
        </w:rPr>
      </w:pPr>
      <w:r>
        <w:rPr>
          <w:rFonts w:hint="eastAsia" w:ascii="楷体" w:hAnsi="楷体" w:eastAsia="楷体" w:cs="Times New Roman"/>
          <w:b/>
          <w:bCs/>
          <w:sz w:val="32"/>
          <w:szCs w:val="32"/>
        </w:rPr>
        <w:t>日常工作: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学期末(或学年末)工作: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(二)总务处工作职责</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1.财务管理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2.财产管理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84" w:lineRule="exac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3.生活管理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84"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.安全管理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19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196"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廊坊市广阳区九州镇南汉中心小学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419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bCs/>
          <w:sz w:val="32"/>
          <w:szCs w:val="32"/>
        </w:rPr>
        <w:t>廊坊市广阳区九州镇南汉中心小学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bookmarkStart w:id="0" w:name="_Hlk97642894"/>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bookmarkEnd w:id="0"/>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bCs/>
          <w:sz w:val="32"/>
          <w:szCs w:val="32"/>
        </w:rPr>
        <w:t>廊坊市广阳区九州镇南汉中心小学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公用项目经费0万元；运转类其他及特定目标类项目支出108.02万元。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108.02万元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幼儿园专项经费增加</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运行经费共计安排0万元。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723" w:type="pct"/>
        <w:jc w:val="center"/>
        <w:tblLayout w:type="autofit"/>
        <w:tblCellMar>
          <w:top w:w="0" w:type="dxa"/>
          <w:left w:w="108" w:type="dxa"/>
          <w:bottom w:w="0" w:type="dxa"/>
          <w:right w:w="108" w:type="dxa"/>
        </w:tblCellMar>
      </w:tblPr>
      <w:tblGrid>
        <w:gridCol w:w="1238"/>
        <w:gridCol w:w="1584"/>
        <w:gridCol w:w="1663"/>
        <w:gridCol w:w="2317"/>
        <w:gridCol w:w="2704"/>
        <w:gridCol w:w="656"/>
        <w:gridCol w:w="590"/>
        <w:gridCol w:w="1075"/>
        <w:gridCol w:w="1339"/>
      </w:tblGrid>
      <w:tr>
        <w:tblPrEx>
          <w:tblCellMar>
            <w:top w:w="0" w:type="dxa"/>
            <w:left w:w="108" w:type="dxa"/>
            <w:bottom w:w="0" w:type="dxa"/>
            <w:right w:w="108" w:type="dxa"/>
          </w:tblCellMar>
        </w:tblPrEx>
        <w:trPr>
          <w:trHeight w:val="360" w:hRule="atLeast"/>
          <w:jc w:val="center"/>
        </w:trPr>
        <w:tc>
          <w:tcPr>
            <w:tcW w:w="4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8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绩效指标描述</w:t>
            </w:r>
          </w:p>
        </w:tc>
        <w:tc>
          <w:tcPr>
            <w:tcW w:w="10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评（扣）分标准</w:t>
            </w:r>
          </w:p>
        </w:tc>
        <w:tc>
          <w:tcPr>
            <w:tcW w:w="88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指标值确定依据</w:t>
            </w:r>
          </w:p>
        </w:tc>
      </w:tr>
      <w:tr>
        <w:tblPrEx>
          <w:tblCellMar>
            <w:top w:w="0" w:type="dxa"/>
            <w:left w:w="108" w:type="dxa"/>
            <w:bottom w:w="0" w:type="dxa"/>
            <w:right w:w="108" w:type="dxa"/>
          </w:tblCellMar>
        </w:tblPrEx>
        <w:trPr>
          <w:trHeight w:val="585" w:hRule="atLeast"/>
          <w:jc w:val="center"/>
        </w:trPr>
        <w:tc>
          <w:tcPr>
            <w:tcW w:w="470"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0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3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7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026"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符号</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值</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单位（文字描述）</w:t>
            </w:r>
          </w:p>
        </w:tc>
        <w:tc>
          <w:tcPr>
            <w:tcW w:w="50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30" w:hRule="atLeast"/>
          <w:jc w:val="center"/>
        </w:trPr>
        <w:tc>
          <w:tcPr>
            <w:tcW w:w="47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产出指标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小学生毕业生合格率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小学生毕业生合格率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20分毕业生合格率100%得满分，否则不得分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岗位职责</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重点工作实际完成率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重点工作实际完成率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10分不低于95%得满分，否则不得分5每减少1%扣1分，扣完为止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实际工作</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采购物资、建设工程合格率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采购物资、建设工程合格率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20分合格率100%得满分，否则不得分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质量评价标准</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学校的各项工作任务及时完成情况</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学校的各项工作任务及时完成情况</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10分及时完成得满分，否则不得分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文字描述</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及时</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年初工作计划</w:t>
            </w:r>
          </w:p>
        </w:tc>
      </w:tr>
      <w:tr>
        <w:tblPrEx>
          <w:tblCellMar>
            <w:top w:w="0" w:type="dxa"/>
            <w:left w:w="108" w:type="dxa"/>
            <w:bottom w:w="0" w:type="dxa"/>
            <w:right w:w="108" w:type="dxa"/>
          </w:tblCellMar>
        </w:tblPrEx>
        <w:trPr>
          <w:trHeight w:val="330" w:hRule="atLeast"/>
          <w:jc w:val="center"/>
        </w:trPr>
        <w:tc>
          <w:tcPr>
            <w:tcW w:w="470"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Calibri"/>
                <w:color w:val="000000"/>
                <w:kern w:val="0"/>
                <w:szCs w:val="21"/>
              </w:rPr>
            </w:pP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教育经费使用控制率</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支出的公用经费总额与预算安排的比率</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10分教育经费决算数不大于调整预算数得满分，否则不得分</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文字描述</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教育经费决算数不大于调整预算数</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实际工作</w:t>
            </w:r>
          </w:p>
        </w:tc>
      </w:tr>
      <w:tr>
        <w:tblPrEx>
          <w:tblCellMar>
            <w:top w:w="0" w:type="dxa"/>
            <w:left w:w="108" w:type="dxa"/>
            <w:bottom w:w="0" w:type="dxa"/>
            <w:right w:w="108" w:type="dxa"/>
          </w:tblCellMar>
        </w:tblPrEx>
        <w:trPr>
          <w:trHeight w:val="330" w:hRule="atLeast"/>
          <w:jc w:val="center"/>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效益指标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义务教育高质量发展</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推动义务教育从数量扩张向质量提高转变</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10分学生、家长、社会对学校整体满意度达到95%得满分，每降低1%扣1分，扣完为止。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部门职责</w:t>
            </w:r>
          </w:p>
        </w:tc>
      </w:tr>
      <w:tr>
        <w:tblPrEx>
          <w:tblCellMar>
            <w:top w:w="0" w:type="dxa"/>
            <w:left w:w="108" w:type="dxa"/>
            <w:bottom w:w="0" w:type="dxa"/>
            <w:right w:w="108" w:type="dxa"/>
          </w:tblCellMar>
        </w:tblPrEx>
        <w:trPr>
          <w:trHeight w:val="330" w:hRule="atLeast"/>
          <w:jc w:val="center"/>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满意度指标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在校师生的满意程度</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在校师生的满意程度</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10分在校师生的满意度达到95%得满分，每降低1%扣1分，扣完为止。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调查问卷</w:t>
            </w:r>
          </w:p>
        </w:tc>
      </w:tr>
      <w:tr>
        <w:tblPrEx>
          <w:tblCellMar>
            <w:top w:w="0" w:type="dxa"/>
            <w:left w:w="108" w:type="dxa"/>
            <w:bottom w:w="0" w:type="dxa"/>
            <w:right w:w="108" w:type="dxa"/>
          </w:tblCellMar>
        </w:tblPrEx>
        <w:trPr>
          <w:trHeight w:val="330" w:hRule="atLeast"/>
          <w:jc w:val="center"/>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满意度指标</w:t>
            </w:r>
          </w:p>
        </w:tc>
        <w:tc>
          <w:tcPr>
            <w:tcW w:w="60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家长的满意程度</w:t>
            </w:r>
          </w:p>
        </w:tc>
        <w:tc>
          <w:tcPr>
            <w:tcW w:w="87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家长的满意程度</w:t>
            </w:r>
          </w:p>
        </w:tc>
        <w:tc>
          <w:tcPr>
            <w:tcW w:w="1026"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10分家长的满意度达到95%得满分，每降低1%扣1分，扣完为止。</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调查问卷</w:t>
            </w:r>
          </w:p>
        </w:tc>
      </w:tr>
    </w:tbl>
    <w:p>
      <w:pPr>
        <w:overflowPunct w:val="0"/>
        <w:adjustRightInd w:val="0"/>
        <w:snapToGrid w:val="0"/>
        <w:spacing w:after="120" w:afterLines="50" w:line="580" w:lineRule="exact"/>
        <w:jc w:val="left"/>
        <w:rPr>
          <w:rFonts w:ascii="楷体_GB2312" w:eastAsia="楷体_GB2312" w:cs="Times New Roman"/>
          <w:b/>
          <w:sz w:val="32"/>
          <w:szCs w:val="32"/>
        </w:rPr>
      </w:pPr>
    </w:p>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1.城乡义务教育生均公用经费[区级]绩效目标表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123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3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1.廊坊市广阳区九州镇南汉小学对2022年在校学生466人，按照义务教育圣君公用经费标准申请财政预算资金、通过合理，合规保障学校运转及事业发展。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2305"/>
        <w:gridCol w:w="2163"/>
        <w:gridCol w:w="3749"/>
        <w:gridCol w:w="1550"/>
        <w:gridCol w:w="2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6"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82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76"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345"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6"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466人</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vAlign w:val="center"/>
          </w:tcPr>
          <w:p>
            <w:pPr>
              <w:spacing w:line="320" w:lineRule="exact"/>
              <w:rPr>
                <w:rFonts w:hint="eastAsia" w:ascii="仿宋_GB2312" w:hAnsi="仿宋_GB2312" w:eastAsia="仿宋_GB2312" w:cs="仿宋_GB2312"/>
              </w:rPr>
            </w:pP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vAlign w:val="center"/>
          </w:tcPr>
          <w:p>
            <w:pPr>
              <w:spacing w:line="320" w:lineRule="exact"/>
              <w:rPr>
                <w:rFonts w:hint="eastAsia" w:ascii="仿宋_GB2312" w:hAnsi="仿宋_GB2312" w:eastAsia="仿宋_GB2312" w:cs="仿宋_GB2312"/>
              </w:rPr>
            </w:pP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vAlign w:val="center"/>
          </w:tcPr>
          <w:p>
            <w:pPr>
              <w:spacing w:line="320" w:lineRule="exact"/>
              <w:rPr>
                <w:rFonts w:hint="eastAsia" w:ascii="仿宋_GB2312" w:hAnsi="仿宋_GB2312" w:eastAsia="仿宋_GB2312" w:cs="仿宋_GB2312"/>
              </w:rPr>
            </w:pP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7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4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56"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93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5"/>
        <w:gridCol w:w="9553"/>
        <w:gridCol w:w="26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0" w:type="pct"/>
            <w:gridSpan w:val="2"/>
            <w:tcBorders>
              <w:top w:val="single" w:color="FFFFFF" w:sz="6" w:space="0"/>
              <w:left w:val="single" w:color="FFFFFF" w:sz="6" w:space="0"/>
              <w:right w:val="single" w:color="FFFFFF" w:sz="6" w:space="0"/>
            </w:tcBorders>
            <w:vAlign w:val="center"/>
          </w:tcPr>
          <w:p>
            <w:pPr>
              <w:ind w:firstLine="280" w:firstLineChars="100"/>
              <w:jc w:val="left"/>
              <w:outlineLvl w:val="3"/>
              <w:rPr>
                <w:rFonts w:hint="eastAsia" w:ascii="仿宋_GB2312" w:hAnsi="仿宋_GB2312" w:eastAsia="仿宋_GB2312" w:cs="仿宋_GB2312"/>
                <w:color w:val="000000"/>
                <w:sz w:val="28"/>
              </w:rPr>
            </w:pPr>
            <w:bookmarkStart w:id="2" w:name="_Toc_4_4_0000000005"/>
          </w:p>
          <w:p>
            <w:pPr>
              <w:ind w:firstLine="280" w:firstLineChars="1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2.城乡义务教育生均公用经费[市级]绩效目标表</w:t>
            </w:r>
            <w:bookmarkEnd w:id="2"/>
          </w:p>
        </w:tc>
        <w:tc>
          <w:tcPr>
            <w:tcW w:w="940" w:type="pct"/>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67"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1.廊坊市广阳区九州镇南汉中心小学对2022年在校学生466人，按照义务教育生均公用经费标准申请财政预算资金、通过合理，合规保障学校运转及事业发展。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728"/>
        <w:gridCol w:w="3027"/>
        <w:gridCol w:w="3749"/>
        <w:gridCol w:w="1296"/>
        <w:gridCol w:w="2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8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0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466人</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0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6"/>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3.合同制教师人员经费绩效目标表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33"/>
        <w:gridCol w:w="125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33"/>
        <w:gridCol w:w="2219"/>
        <w:gridCol w:w="2322"/>
        <w:gridCol w:w="3281"/>
        <w:gridCol w:w="2227"/>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3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9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8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4人工资福利</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4人</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pPr>
              <w:rPr>
                <w:rFonts w:hint="eastAsia" w:ascii="仿宋_GB2312" w:hAnsi="仿宋_GB2312" w:eastAsia="仿宋_GB2312" w:cs="仿宋_GB2312"/>
              </w:rPr>
            </w:pPr>
          </w:p>
        </w:tc>
        <w:tc>
          <w:tcPr>
            <w:tcW w:w="7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1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7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5.幼儿园生均经费绩效目标表</w:t>
      </w:r>
      <w:bookmarkEnd w:id="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8"/>
        <w:gridCol w:w="124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2.廊坊市广阳区九州镇南汉中心小学对2022年在校学生198人，按照学前教育生均公用经费标准申请财政预算资金，通过合理、合规使用资金达到保证学校正常运转，改善办学条件，促进学前教育发展。</w:t>
            </w:r>
          </w:p>
        </w:tc>
      </w:tr>
    </w:tbl>
    <w:p>
      <w:pPr>
        <w:spacing w:line="360" w:lineRule="exact"/>
        <w:rPr>
          <w:rFonts w:hint="eastAsia" w:ascii="仿宋_GB2312" w:hAnsi="仿宋_GB2312" w:eastAsia="仿宋_GB2312" w:cs="仿宋_GB2312"/>
        </w:rPr>
      </w:pP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3"/>
        <w:gridCol w:w="1585"/>
        <w:gridCol w:w="2305"/>
        <w:gridCol w:w="3025"/>
        <w:gridCol w:w="1298"/>
        <w:gridCol w:w="42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8"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59"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13"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67"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58"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495"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198人</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Merge w:val="continue"/>
            <w:vAlign w:val="center"/>
          </w:tcPr>
          <w:p>
            <w:pPr>
              <w:spacing w:line="360" w:lineRule="exact"/>
              <w:rPr>
                <w:rFonts w:hint="eastAsia" w:ascii="仿宋_GB2312" w:hAnsi="仿宋_GB2312" w:eastAsia="仿宋_GB2312" w:cs="仿宋_GB2312"/>
              </w:rPr>
            </w:pP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Merge w:val="continue"/>
            <w:vAlign w:val="center"/>
          </w:tcPr>
          <w:p>
            <w:pPr>
              <w:spacing w:line="360" w:lineRule="exact"/>
              <w:rPr>
                <w:rFonts w:hint="eastAsia" w:ascii="仿宋_GB2312" w:hAnsi="仿宋_GB2312" w:eastAsia="仿宋_GB2312" w:cs="仿宋_GB2312"/>
              </w:rPr>
            </w:pP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6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58"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49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rPr>
        <w:t>部门政府采购预算</w:t>
      </w:r>
      <w:bookmarkEnd w:id="7"/>
    </w:p>
    <w:p>
      <w:pPr>
        <w:outlineLvl w:val="1"/>
        <w:rPr>
          <w:rFonts w:ascii="方正小标宋_GBK" w:eastAsia="方正小标宋_GBK" w:cs="Times New Roman"/>
          <w:sz w:val="32"/>
        </w:rPr>
      </w:pPr>
      <w:r>
        <w:t>[971001]廊坊市</w:t>
      </w:r>
      <w:r>
        <w:rPr>
          <w:rFonts w:hint="eastAsia"/>
        </w:rPr>
        <w:t>广阳区九州镇南汉中心小学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广阳区九州镇南汉中心小学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227.3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广阳区九州镇南汉中心小学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广阳区九州镇南汉中心小学</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27.3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27.3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auto"/>
    <w:pitch w:val="default"/>
    <w:sig w:usb0="00000000" w:usb1="00000000" w:usb2="00082016" w:usb3="00000000" w:csb0="00040001" w:csb1="00000000"/>
  </w:font>
  <w:font w:name="方正仿宋_GBK">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B0724"/>
    <w:multiLevelType w:val="singleLevel"/>
    <w:tmpl w:val="BBDB072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C"/>
    <w:rsid w:val="00016118"/>
    <w:rsid w:val="000230E6"/>
    <w:rsid w:val="000A3C6C"/>
    <w:rsid w:val="000A5280"/>
    <w:rsid w:val="000B2358"/>
    <w:rsid w:val="000F6018"/>
    <w:rsid w:val="0015329E"/>
    <w:rsid w:val="001677D2"/>
    <w:rsid w:val="0018101C"/>
    <w:rsid w:val="00191A26"/>
    <w:rsid w:val="002019FF"/>
    <w:rsid w:val="0025632D"/>
    <w:rsid w:val="00284C42"/>
    <w:rsid w:val="00287EF8"/>
    <w:rsid w:val="003059E0"/>
    <w:rsid w:val="0030795F"/>
    <w:rsid w:val="00353843"/>
    <w:rsid w:val="003C0DEF"/>
    <w:rsid w:val="00410413"/>
    <w:rsid w:val="00451489"/>
    <w:rsid w:val="00454732"/>
    <w:rsid w:val="004669C5"/>
    <w:rsid w:val="004A0D85"/>
    <w:rsid w:val="004A54AA"/>
    <w:rsid w:val="00505222"/>
    <w:rsid w:val="00580FE3"/>
    <w:rsid w:val="00710155"/>
    <w:rsid w:val="00723090"/>
    <w:rsid w:val="00730C32"/>
    <w:rsid w:val="0085678B"/>
    <w:rsid w:val="008A540B"/>
    <w:rsid w:val="008A6F8C"/>
    <w:rsid w:val="00923F99"/>
    <w:rsid w:val="00944233"/>
    <w:rsid w:val="00A2581E"/>
    <w:rsid w:val="00A361A5"/>
    <w:rsid w:val="00AC1133"/>
    <w:rsid w:val="00B132E9"/>
    <w:rsid w:val="00B242F6"/>
    <w:rsid w:val="00B40732"/>
    <w:rsid w:val="00B80935"/>
    <w:rsid w:val="00BE0480"/>
    <w:rsid w:val="00C814FA"/>
    <w:rsid w:val="00C9411A"/>
    <w:rsid w:val="00CA26D3"/>
    <w:rsid w:val="00D303EB"/>
    <w:rsid w:val="00D347CC"/>
    <w:rsid w:val="00D54A85"/>
    <w:rsid w:val="00D91BFC"/>
    <w:rsid w:val="00DC72B4"/>
    <w:rsid w:val="00DF7CFA"/>
    <w:rsid w:val="00F114D2"/>
    <w:rsid w:val="00FA6161"/>
    <w:rsid w:val="00FE4772"/>
    <w:rsid w:val="028325FC"/>
    <w:rsid w:val="02FD561D"/>
    <w:rsid w:val="09D539CD"/>
    <w:rsid w:val="0CEC1180"/>
    <w:rsid w:val="21655956"/>
    <w:rsid w:val="2329796F"/>
    <w:rsid w:val="2AA51C04"/>
    <w:rsid w:val="33537BB7"/>
    <w:rsid w:val="34E84AE2"/>
    <w:rsid w:val="584552BD"/>
    <w:rsid w:val="5DCE1B97"/>
    <w:rsid w:val="63C01990"/>
    <w:rsid w:val="65F30ABB"/>
    <w:rsid w:val="660464CF"/>
    <w:rsid w:val="710E2B0E"/>
    <w:rsid w:val="73693C55"/>
    <w:rsid w:val="7BFA48F1"/>
    <w:rsid w:val="7CCB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1331</Words>
  <Characters>7588</Characters>
  <Lines>63</Lines>
  <Paragraphs>17</Paragraphs>
  <TotalTime>2</TotalTime>
  <ScaleCrop>false</ScaleCrop>
  <LinksUpToDate>false</LinksUpToDate>
  <CharactersWithSpaces>8902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lenovo</cp:lastModifiedBy>
  <cp:lastPrinted>2018-01-30T06:12:00Z</cp:lastPrinted>
  <dcterms:modified xsi:type="dcterms:W3CDTF">2022-07-06T09:42:22Z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B715999EFA7D4AF7A8E080838F34E709</vt:lpwstr>
  </property>
</Properties>
</file>