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7" w:name="_GoBack"/>
      <w:r>
        <w:rPr>
          <w:rFonts w:hint="eastAsia" w:ascii="Times New Roman" w:hAnsi="Times New Roman" w:eastAsia="方正小标宋简体" w:cs="Times New Roman"/>
          <w:sz w:val="44"/>
          <w:szCs w:val="44"/>
        </w:rPr>
        <w:t>万庄镇李孙洼小学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bookmarkEnd w:id="7"/>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广阳区万庄镇李孙洼小学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1、贯彻执行党和国家的教育方针、政策、法律法规，制定我校的长远规划和年度计划，并组织实施。</w:t>
      </w:r>
    </w:p>
    <w:p>
      <w:pPr>
        <w:spacing w:line="584" w:lineRule="exact"/>
        <w:ind w:firstLine="66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、负责教育基本信息的统计、分析。</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3、负责基础教育的管理。推进义务教育均衡发展和促进教育公平，全面实施素质教育。</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4、负责学校教师队伍的建设和管理，提高教师队伍素质。</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5、负责本部门教育经费的统筹管理，教育经费预决算工作，教育经费的管理和使用；统筹规划和管理学校基本建设和设施的配置及计划统计工作。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6、管理学校的党建、思想政治、宣传统战和维护稳定以及德育、体育、卫生防疫与艺术教育、国防教育工作；负责学校的安全监督管理。</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7、负责做好学校的招生、考试工作；负责管理本校教师学历教育及考试工作。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8、负责组织开展学校教育的督导评估、检查验收、质量监测等工作。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9、负责学校党的政治建设、思想建设、组织建设、作风建设、纪律建设和制度建设。</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、负责学校学生和教师的思想政治工作，学校思想政治队伍建设和学校校本课程教育教学。</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、负责学校安全稳定工作。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、做好本校体育事业发展规划、全民健身计划，开展群众性体育活动。</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、做好上级部门交办的其他事项。</w:t>
      </w:r>
    </w:p>
    <w:p>
      <w:pPr>
        <w:spacing w:line="584" w:lineRule="exact"/>
        <w:ind w:firstLine="660"/>
        <w:rPr>
          <w:rFonts w:ascii="Times New Roman" w:hAnsi="Times New Roman" w:eastAsia="仿宋_GB2312" w:cs="Times New Roman"/>
          <w:color w:val="FF0000"/>
          <w:sz w:val="32"/>
          <w:szCs w:val="32"/>
        </w:rPr>
      </w:pPr>
    </w:p>
    <w:p>
      <w:pPr>
        <w:spacing w:line="584" w:lineRule="exact"/>
        <w:ind w:firstLine="660"/>
        <w:rPr>
          <w:rFonts w:ascii="Times New Roman" w:hAnsi="Times New Roman" w:eastAsia="仿宋_GB2312" w:cs="Times New Roman"/>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廊坊市广阳区万庄镇李孙洼小学</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事业单位</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副科级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广阳区万庄镇李孙洼小学</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2年预算收入41.08万元，其中：一般公共预算收入41.08万元，基金预算收入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广阳区万庄镇李孙洼小学2022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2年支出预算41.08万元，其中基本支出0万元，包括人员类项目经费0万元和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万元；运转类其他及特定目标类项目支出41.08万元</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2年预算收支安排41.08万元，较20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1年预算增加41.08万元，其中：基本支出增加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万元；项目支出增加41.08万元，主要为</w:t>
      </w:r>
      <w:r>
        <w:rPr>
          <w:rFonts w:hint="eastAsia" w:ascii="Times New Roman" w:hAnsi="Times New Roman" w:eastAsia="仿宋_GB2312" w:cs="Times New Roman"/>
          <w:sz w:val="32"/>
          <w:szCs w:val="32"/>
        </w:rPr>
        <w:t>桌椅、地板和防水粉刷等</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2年，我局机关运行经费共计安排0万元。</w:t>
      </w:r>
    </w:p>
    <w:p>
      <w:pPr>
        <w:autoSpaceDE w:val="0"/>
        <w:autoSpaceDN w:val="0"/>
        <w:adjustRightInd w:val="0"/>
        <w:spacing w:line="584" w:lineRule="exact"/>
        <w:ind w:firstLine="947" w:firstLineChars="296"/>
        <w:jc w:val="left"/>
        <w:rPr>
          <w:rFonts w:ascii="黑体" w:hAnsi="黑体" w:eastAsia="黑体" w:cs="Times New Roman"/>
          <w:bCs/>
          <w:sz w:val="32"/>
          <w:szCs w:val="32"/>
        </w:rPr>
      </w:pPr>
      <w:r>
        <w:rPr>
          <w:rFonts w:ascii="黑体" w:hAnsi="黑体" w:eastAsia="黑体" w:cs="Times New Roman"/>
          <w:bCs/>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推进义务教育均衡发展，建立中小学校舍安全保障机制，改善薄弱学校办学条件，提高素质教育水平，开展丰富多彩的教学活动。促进公共教育资源向农村和经济欠发达地区倾斜。</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提高义务教育公用经费保障水平，改善办学条件，均衡配置基础教育资源，缩小城乡、区域、校际之间办学差距，推进标准化学校建设，实施数字化校园建设，加强学校文化建设，落实学生资助政策。</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、发展农村义务教育  </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免除农村中小学生学杂费，提高公用经费保障水平，为贫困中小学生免费提供教科书，</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改善农村中小学办学条件。</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保障中小学公用经费水平逐年提高。</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保障小学入学率。</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、改善学校办学条件</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保障义务教育阶段学校基本教学条件，改善学校生活设施，保障后勤社会化服务，解决学校大班额问题。</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开展学生社会实践活动，建立学生实践教育基地，推进学校教育信息化。</w:t>
      </w:r>
    </w:p>
    <w:p>
      <w:pPr>
        <w:pStyle w:val="19"/>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使义务教育学校教学设施和生活设施满足基本教学需要，保障后勤社会化服务资金充足，使学校能够正常运转，超大班额现象消除，教师数量、素质、结构基本适应教学需要。</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、提升特殊教育保障水平</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保证教学设备设施配备齐全，保障学生校园安全，支持贫困学生和爱心家园学生完成学业。</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改善办学条件，配置基础教育资源</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、开展教师教研及学生德育活动</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开展各类课题研究、校本研究，加强教师培训和教学交流，加强德育培训与研究，举办各类教育教学活动。</w:t>
      </w:r>
    </w:p>
    <w:p>
      <w:pPr>
        <w:pStyle w:val="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提高教师教学水平，调动教师积极性，培养专家型教师人才，提高学生的综合素质。</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1、提高义务教育水平，免除城市区中小学生学杂费，提供免费教科书，解决大班额问题及入学难问题。对贫困中小学生进行补助。</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2、按质按量完成教育教学方面的各项任务，稳步提升学校的教育教学质量，学生综合素质评价优秀率达到85%,合格率达到100%。</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4、提升学校基础设施设备的整体水平。加强学校基础设施设备的维护,确保校园安全,落实校园防火及其他安全隐患的预防工作。确保校园各设施设备的正常运行。</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6、学校的文化宣传整体布局,建成学校校史馆,完成各班级、各科室及教师办公室的文化宣传布置。加大学校办学理念、目标的宣传,形成具有特色的校园文化氛围。</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7、办人民满意的学校,教师、学生、家长整体满意度达到90%以上。</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1、成立学校监督小组，监督学校工作，强化工作落实。</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6</w:t>
      </w:r>
      <w:r>
        <w:rPr>
          <w:rFonts w:ascii="仿宋_GB2312" w:eastAsia="仿宋_GB2312" w:cs="Times New Roman"/>
          <w:sz w:val="32"/>
          <w:szCs w:val="32"/>
        </w:rPr>
        <w:t>、加强政治理论学习，强化党风廉政建设。做好师德传承活动，落实老中青传帮带。弘扬办学精神。加强师德宣传与学习活动。开展形式多样、扎实有效的师德教育活动。</w:t>
      </w:r>
    </w:p>
    <w:p>
      <w:pPr>
        <w:spacing w:line="584" w:lineRule="exact"/>
        <w:ind w:firstLine="640" w:firstLineChars="200"/>
        <w:rPr>
          <w:rFonts w:ascii="仿宋_GB2312" w:eastAsia="仿宋_GB2312" w:cs="Times New Roman"/>
          <w:sz w:val="32"/>
          <w:szCs w:val="32"/>
        </w:rPr>
      </w:pPr>
      <w:r>
        <w:rPr>
          <w:rFonts w:ascii="仿宋_GB2312" w:eastAsia="仿宋_GB2312" w:cs="Times New Roman"/>
          <w:sz w:val="32"/>
          <w:szCs w:val="32"/>
        </w:rPr>
        <w:t>逐步制订、完善相关制度，规范教师师德。加强校本培训和继续教育工作，提升教师能力。落实教师评价工作，完善考核机制。搭建教师发展平台。</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2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98"/>
        <w:gridCol w:w="992"/>
        <w:gridCol w:w="1865"/>
        <w:gridCol w:w="3238"/>
        <w:gridCol w:w="2858"/>
        <w:gridCol w:w="567"/>
        <w:gridCol w:w="567"/>
        <w:gridCol w:w="1134"/>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98"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一级指标</w:t>
            </w:r>
          </w:p>
        </w:tc>
        <w:tc>
          <w:tcPr>
            <w:tcW w:w="992"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二级</w:t>
            </w:r>
          </w:p>
          <w:p>
            <w:pPr>
              <w:widowControl/>
              <w:adjustRightInd w:val="0"/>
              <w:snapToGrid w:val="0"/>
              <w:spacing w:line="240" w:lineRule="exact"/>
              <w:jc w:val="center"/>
              <w:rPr>
                <w:rFonts w:ascii="方正书宋_GBK" w:eastAsia="方正书宋_GBK"/>
                <w:b/>
              </w:rPr>
            </w:pPr>
            <w:r>
              <w:rPr>
                <w:rFonts w:ascii="方正书宋_GBK" w:eastAsia="方正书宋_GBK"/>
                <w:b/>
              </w:rPr>
              <w:t>指标</w:t>
            </w:r>
          </w:p>
        </w:tc>
        <w:tc>
          <w:tcPr>
            <w:tcW w:w="1865"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三级</w:t>
            </w:r>
          </w:p>
          <w:p>
            <w:pPr>
              <w:widowControl/>
              <w:adjustRightInd w:val="0"/>
              <w:snapToGrid w:val="0"/>
              <w:spacing w:line="240" w:lineRule="exact"/>
              <w:jc w:val="center"/>
              <w:rPr>
                <w:rFonts w:ascii="方正书宋_GBK" w:eastAsia="方正书宋_GBK"/>
                <w:b/>
              </w:rPr>
            </w:pPr>
            <w:r>
              <w:rPr>
                <w:rFonts w:ascii="方正书宋_GBK" w:eastAsia="方正书宋_GBK"/>
                <w:b/>
              </w:rPr>
              <w:t>指标</w:t>
            </w:r>
          </w:p>
        </w:tc>
        <w:tc>
          <w:tcPr>
            <w:tcW w:w="3238"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评（扣）分标准</w:t>
            </w:r>
          </w:p>
        </w:tc>
        <w:tc>
          <w:tcPr>
            <w:tcW w:w="2858"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绩效指标</w:t>
            </w:r>
          </w:p>
          <w:p>
            <w:pPr>
              <w:widowControl/>
              <w:adjustRightInd w:val="0"/>
              <w:snapToGrid w:val="0"/>
              <w:spacing w:line="240" w:lineRule="exact"/>
              <w:jc w:val="center"/>
              <w:rPr>
                <w:rFonts w:ascii="方正书宋_GBK" w:eastAsia="方正书宋_GBK"/>
                <w:b/>
              </w:rPr>
            </w:pPr>
            <w:r>
              <w:rPr>
                <w:rFonts w:ascii="方正书宋_GBK" w:eastAsia="方正书宋_GBK"/>
                <w:b/>
              </w:rPr>
              <w:t>描述</w:t>
            </w:r>
          </w:p>
        </w:tc>
        <w:tc>
          <w:tcPr>
            <w:tcW w:w="2268" w:type="dxa"/>
            <w:gridSpan w:val="3"/>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指标值</w:t>
            </w:r>
          </w:p>
        </w:tc>
        <w:tc>
          <w:tcPr>
            <w:tcW w:w="1111"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指标值</w:t>
            </w:r>
          </w:p>
          <w:p>
            <w:pPr>
              <w:widowControl/>
              <w:adjustRightInd w:val="0"/>
              <w:snapToGrid w:val="0"/>
              <w:spacing w:line="240" w:lineRule="exact"/>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98" w:type="dxa"/>
            <w:vMerge w:val="continue"/>
            <w:tcBorders>
              <w:tl2br w:val="nil"/>
              <w:tr2bl w:val="nil"/>
            </w:tcBorders>
            <w:vAlign w:val="center"/>
          </w:tcPr>
          <w:p>
            <w:pPr>
              <w:spacing w:line="240" w:lineRule="exact"/>
            </w:pPr>
          </w:p>
        </w:tc>
        <w:tc>
          <w:tcPr>
            <w:tcW w:w="992" w:type="dxa"/>
            <w:vMerge w:val="continue"/>
            <w:tcBorders>
              <w:tl2br w:val="nil"/>
              <w:tr2bl w:val="nil"/>
            </w:tcBorders>
            <w:vAlign w:val="center"/>
          </w:tcPr>
          <w:p>
            <w:pPr>
              <w:spacing w:line="240" w:lineRule="exact"/>
            </w:pPr>
          </w:p>
        </w:tc>
        <w:tc>
          <w:tcPr>
            <w:tcW w:w="1865" w:type="dxa"/>
            <w:vMerge w:val="continue"/>
            <w:tcBorders>
              <w:tl2br w:val="nil"/>
              <w:tr2bl w:val="nil"/>
            </w:tcBorders>
            <w:vAlign w:val="center"/>
          </w:tcPr>
          <w:p>
            <w:pPr>
              <w:spacing w:line="240" w:lineRule="exact"/>
            </w:pPr>
          </w:p>
        </w:tc>
        <w:tc>
          <w:tcPr>
            <w:tcW w:w="3238" w:type="dxa"/>
            <w:vMerge w:val="continue"/>
            <w:tcBorders>
              <w:tl2br w:val="nil"/>
              <w:tr2bl w:val="nil"/>
            </w:tcBorders>
            <w:vAlign w:val="center"/>
          </w:tcPr>
          <w:p>
            <w:pPr>
              <w:spacing w:line="240" w:lineRule="exact"/>
            </w:pPr>
          </w:p>
        </w:tc>
        <w:tc>
          <w:tcPr>
            <w:tcW w:w="2858" w:type="dxa"/>
            <w:vMerge w:val="continue"/>
            <w:tcBorders>
              <w:tl2br w:val="nil"/>
              <w:tr2bl w:val="nil"/>
            </w:tcBorders>
            <w:vAlign w:val="center"/>
          </w:tcPr>
          <w:p>
            <w:pPr>
              <w:spacing w:line="240" w:lineRule="exact"/>
            </w:pPr>
          </w:p>
        </w:tc>
        <w:tc>
          <w:tcPr>
            <w:tcW w:w="567" w:type="dxa"/>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符号</w:t>
            </w:r>
          </w:p>
        </w:tc>
        <w:tc>
          <w:tcPr>
            <w:tcW w:w="567" w:type="dxa"/>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值</w:t>
            </w:r>
          </w:p>
        </w:tc>
        <w:tc>
          <w:tcPr>
            <w:tcW w:w="1134" w:type="dxa"/>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单位</w:t>
            </w:r>
          </w:p>
        </w:tc>
        <w:tc>
          <w:tcPr>
            <w:tcW w:w="1111" w:type="dxa"/>
            <w:vMerge w:val="continue"/>
            <w:tcBorders>
              <w:tl2br w:val="nil"/>
              <w:tr2bl w:val="nil"/>
            </w:tcBorders>
            <w:vAlign w:val="center"/>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98"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部门产出</w:t>
            </w: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数量</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小学生毕业生合格率</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20分毕业生合格率100%得满分，否则不得分</w:t>
            </w:r>
          </w:p>
          <w:p>
            <w:pPr>
              <w:spacing w:line="240" w:lineRule="exact"/>
              <w:rPr>
                <w:rFonts w:hint="eastAsia" w:ascii="仿宋_GB2312" w:hAnsi="仿宋_GB2312" w:eastAsia="仿宋_GB2312" w:cs="仿宋_GB2312"/>
                <w:color w:val="000000"/>
                <w:sz w:val="22"/>
              </w:rPr>
            </w:pP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小学生毕业生合格率</w:t>
            </w:r>
          </w:p>
          <w:p>
            <w:pPr>
              <w:spacing w:line="240" w:lineRule="exact"/>
              <w:rPr>
                <w:rFonts w:hint="eastAsia" w:ascii="仿宋_GB2312" w:hAnsi="仿宋_GB2312" w:eastAsia="仿宋_GB2312" w:cs="仿宋_GB2312"/>
                <w:color w:val="000000"/>
                <w:sz w:val="2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98" w:type="dxa"/>
            <w:vMerge w:val="continue"/>
            <w:tcBorders>
              <w:tl2br w:val="nil"/>
              <w:tr2bl w:val="nil"/>
            </w:tcBorders>
            <w:vAlign w:val="center"/>
          </w:tcPr>
          <w:p>
            <w:pPr>
              <w:widowControl/>
              <w:adjustRightInd w:val="0"/>
              <w:snapToGrid w:val="0"/>
              <w:spacing w:line="240" w:lineRule="exact"/>
              <w:jc w:val="center"/>
              <w:rPr>
                <w:rFonts w:ascii="方正书宋_GBK" w:eastAsia="方正书宋_GBK"/>
              </w:rPr>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数量</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p>
            <w:pPr>
              <w:spacing w:line="240" w:lineRule="exact"/>
              <w:rPr>
                <w:rFonts w:hint="eastAsia" w:ascii="仿宋_GB2312" w:hAnsi="仿宋_GB2312" w:eastAsia="仿宋_GB2312" w:cs="仿宋_GB2312"/>
                <w:color w:val="000000"/>
                <w:sz w:val="2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10分不低于95%得满分，否则不得分5每减少1%扣1分，扣完为止</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p>
            <w:pPr>
              <w:spacing w:line="240" w:lineRule="exact"/>
              <w:rPr>
                <w:rFonts w:hint="eastAsia" w:ascii="仿宋_GB2312" w:hAnsi="仿宋_GB2312" w:eastAsia="仿宋_GB2312" w:cs="仿宋_GB2312"/>
                <w:color w:val="000000"/>
                <w:sz w:val="2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质量</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20分合格率100%得满分，否则不得分</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p>
            <w:pPr>
              <w:widowControl/>
              <w:adjustRightInd w:val="0"/>
              <w:snapToGrid w:val="0"/>
              <w:spacing w:line="240" w:lineRule="exact"/>
              <w:rPr>
                <w:rFonts w:hint="eastAsia" w:ascii="仿宋_GB2312" w:hAnsi="仿宋_GB2312" w:eastAsia="仿宋_GB2312" w:cs="仿宋_GB231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时效</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10分及时完成得满分，否则不得分</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p>
            <w:pPr>
              <w:widowControl/>
              <w:adjustRightInd w:val="0"/>
              <w:snapToGrid w:val="0"/>
              <w:spacing w:line="240" w:lineRule="exact"/>
              <w:rPr>
                <w:rFonts w:hint="eastAsia" w:ascii="仿宋_GB2312" w:hAnsi="仿宋_GB2312" w:eastAsia="仿宋_GB2312" w:cs="仿宋_GB231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及时</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成本</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教育经费使用控制率</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10分教育经费决算数不大于调整预算数得满分，否则不得分</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支出的公用经费总额与预算安排的比率</w:t>
            </w:r>
          </w:p>
          <w:p>
            <w:pPr>
              <w:widowControl/>
              <w:adjustRightInd w:val="0"/>
              <w:snapToGrid w:val="0"/>
              <w:spacing w:line="240" w:lineRule="exact"/>
              <w:rPr>
                <w:rFonts w:hint="eastAsia" w:ascii="仿宋_GB2312" w:hAnsi="仿宋_GB2312" w:eastAsia="仿宋_GB2312" w:cs="仿宋_GB231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　</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教育经费决算数不大于调整预算数</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98" w:type="dxa"/>
            <w:vMerge w:val="restart"/>
            <w:tcBorders>
              <w:tl2br w:val="nil"/>
              <w:tr2bl w:val="nil"/>
            </w:tcBorders>
            <w:vAlign w:val="center"/>
          </w:tcPr>
          <w:p>
            <w:pPr>
              <w:adjustRightInd w:val="0"/>
              <w:snapToGrid w:val="0"/>
              <w:spacing w:line="240" w:lineRule="exact"/>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ascii="方正书宋_GBK" w:eastAsia="方正书宋_GBK"/>
              </w:rPr>
              <w:t>社会</w:t>
            </w:r>
          </w:p>
          <w:p>
            <w:pPr>
              <w:widowControl/>
              <w:adjustRightInd w:val="0"/>
              <w:snapToGrid w:val="0"/>
              <w:spacing w:line="240" w:lineRule="exact"/>
              <w:jc w:val="center"/>
              <w:rPr>
                <w:rFonts w:ascii="方正书宋_GBK" w:eastAsia="方正书宋_GBK"/>
              </w:rPr>
            </w:pPr>
            <w:r>
              <w:rPr>
                <w:rFonts w:ascii="方正书宋_GBK" w:eastAsia="方正书宋_GBK"/>
              </w:rPr>
              <w:t>效益</w:t>
            </w:r>
          </w:p>
        </w:tc>
        <w:tc>
          <w:tcPr>
            <w:tcW w:w="1865"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义务教育高质量发展</w:t>
            </w:r>
          </w:p>
          <w:p>
            <w:pPr>
              <w:widowControl/>
              <w:adjustRightInd w:val="0"/>
              <w:snapToGrid w:val="0"/>
              <w:spacing w:line="240" w:lineRule="exact"/>
              <w:rPr>
                <w:rFonts w:hint="eastAsia" w:ascii="仿宋_GB2312" w:hAnsi="仿宋_GB2312" w:eastAsia="仿宋_GB2312" w:cs="仿宋_GB2312"/>
              </w:rPr>
            </w:pPr>
          </w:p>
        </w:tc>
        <w:tc>
          <w:tcPr>
            <w:tcW w:w="323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10分学生、家长、社会对学校整体满意度达到95%得满分，每降低1%扣1分，扣完为止。</w:t>
            </w:r>
          </w:p>
          <w:p>
            <w:pPr>
              <w:widowControl/>
              <w:adjustRightInd w:val="0"/>
              <w:snapToGrid w:val="0"/>
              <w:spacing w:line="240" w:lineRule="exact"/>
              <w:rPr>
                <w:rFonts w:hint="eastAsia" w:ascii="仿宋_GB2312" w:hAnsi="仿宋_GB2312" w:eastAsia="仿宋_GB2312" w:cs="仿宋_GB2312"/>
              </w:rPr>
            </w:pPr>
          </w:p>
        </w:tc>
        <w:tc>
          <w:tcPr>
            <w:tcW w:w="2858" w:type="dxa"/>
            <w:tcBorders>
              <w:tl2br w:val="nil"/>
              <w:tr2bl w:val="nil"/>
            </w:tcBorders>
            <w:vAlign w:val="center"/>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推动义务教育从数量扩张向质量提高转变</w:t>
            </w:r>
          </w:p>
          <w:p>
            <w:pPr>
              <w:widowControl/>
              <w:adjustRightInd w:val="0"/>
              <w:snapToGrid w:val="0"/>
              <w:spacing w:line="240" w:lineRule="exact"/>
              <w:rPr>
                <w:rFonts w:hint="eastAsia" w:ascii="仿宋_GB2312" w:hAnsi="仿宋_GB2312" w:eastAsia="仿宋_GB2312" w:cs="仿宋_GB2312"/>
              </w:rPr>
            </w:pP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hint="eastAsia" w:ascii="方正书宋_GBK" w:eastAsia="方正书宋_GBK"/>
              </w:rPr>
              <w:t>满意度</w:t>
            </w:r>
          </w:p>
        </w:tc>
        <w:tc>
          <w:tcPr>
            <w:tcW w:w="1865" w:type="dxa"/>
            <w:tcBorders>
              <w:tl2br w:val="nil"/>
              <w:tr2bl w:val="nil"/>
            </w:tcBorders>
            <w:noWrap/>
            <w:vAlign w:val="center"/>
          </w:tcPr>
          <w:p>
            <w:pPr>
              <w:spacing w:line="240" w:lineRule="exact"/>
              <w:rPr>
                <w:rFonts w:hint="eastAsia" w:ascii="仿宋_GB2312" w:hAnsi="仿宋_GB2312" w:eastAsia="仿宋_GB2312" w:cs="仿宋_GB2312"/>
                <w:sz w:val="22"/>
              </w:rPr>
            </w:pPr>
            <w:r>
              <w:rPr>
                <w:rFonts w:hint="eastAsia" w:ascii="仿宋_GB2312" w:hAnsi="仿宋_GB2312" w:eastAsia="仿宋_GB2312" w:cs="仿宋_GB2312"/>
                <w:sz w:val="22"/>
              </w:rPr>
              <w:t>服务对象满意度指标</w:t>
            </w:r>
          </w:p>
        </w:tc>
        <w:tc>
          <w:tcPr>
            <w:tcW w:w="3238" w:type="dxa"/>
            <w:tcBorders>
              <w:tl2br w:val="nil"/>
              <w:tr2bl w:val="nil"/>
            </w:tcBorders>
            <w:noWrap/>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10分在校师生的满意度达到95%得满分，每降低1%扣1分，扣完为止。</w:t>
            </w:r>
          </w:p>
        </w:tc>
        <w:tc>
          <w:tcPr>
            <w:tcW w:w="2858" w:type="dxa"/>
            <w:tcBorders>
              <w:tl2br w:val="nil"/>
              <w:tr2bl w:val="nil"/>
            </w:tcBorders>
            <w:noWrap/>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在校师生的满意程度</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98" w:type="dxa"/>
            <w:vMerge w:val="continue"/>
            <w:tcBorders>
              <w:tl2br w:val="nil"/>
              <w:tr2bl w:val="nil"/>
            </w:tcBorders>
            <w:vAlign w:val="center"/>
          </w:tcPr>
          <w:p>
            <w:pPr>
              <w:spacing w:line="240" w:lineRule="exact"/>
            </w:pPr>
          </w:p>
        </w:tc>
        <w:tc>
          <w:tcPr>
            <w:tcW w:w="992" w:type="dxa"/>
            <w:tcBorders>
              <w:tl2br w:val="nil"/>
              <w:tr2bl w:val="nil"/>
            </w:tcBorders>
            <w:vAlign w:val="center"/>
          </w:tcPr>
          <w:p>
            <w:pPr>
              <w:widowControl/>
              <w:adjustRightInd w:val="0"/>
              <w:snapToGrid w:val="0"/>
              <w:spacing w:line="240" w:lineRule="exact"/>
              <w:jc w:val="center"/>
              <w:rPr>
                <w:rFonts w:ascii="方正书宋_GBK" w:eastAsia="方正书宋_GBK"/>
              </w:rPr>
            </w:pPr>
            <w:r>
              <w:rPr>
                <w:rFonts w:hint="eastAsia" w:ascii="方正书宋_GBK" w:eastAsia="方正书宋_GBK"/>
              </w:rPr>
              <w:t>满意度</w:t>
            </w:r>
          </w:p>
        </w:tc>
        <w:tc>
          <w:tcPr>
            <w:tcW w:w="1865" w:type="dxa"/>
            <w:tcBorders>
              <w:tl2br w:val="nil"/>
              <w:tr2bl w:val="nil"/>
            </w:tcBorders>
            <w:noWrap/>
            <w:vAlign w:val="center"/>
          </w:tcPr>
          <w:p>
            <w:pPr>
              <w:spacing w:line="240" w:lineRule="exact"/>
              <w:rPr>
                <w:rFonts w:hint="eastAsia" w:ascii="仿宋_GB2312" w:hAnsi="仿宋_GB2312" w:eastAsia="仿宋_GB2312" w:cs="仿宋_GB2312"/>
                <w:sz w:val="22"/>
              </w:rPr>
            </w:pPr>
            <w:r>
              <w:rPr>
                <w:rFonts w:hint="eastAsia" w:ascii="仿宋_GB2312" w:hAnsi="仿宋_GB2312" w:eastAsia="仿宋_GB2312" w:cs="仿宋_GB2312"/>
                <w:sz w:val="22"/>
              </w:rPr>
              <w:t>服务对象满意度指标</w:t>
            </w:r>
          </w:p>
        </w:tc>
        <w:tc>
          <w:tcPr>
            <w:tcW w:w="3238" w:type="dxa"/>
            <w:tcBorders>
              <w:tl2br w:val="nil"/>
              <w:tr2bl w:val="nil"/>
            </w:tcBorders>
            <w:noWrap/>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10分家长的满意度达到95%得满分，每降低1%扣1分，扣完为止。</w:t>
            </w:r>
          </w:p>
        </w:tc>
        <w:tc>
          <w:tcPr>
            <w:tcW w:w="2858" w:type="dxa"/>
            <w:tcBorders>
              <w:tl2br w:val="nil"/>
              <w:tr2bl w:val="nil"/>
            </w:tcBorders>
            <w:noWrap/>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家长的满意程度</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67"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134"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11" w:type="dxa"/>
            <w:tcBorders>
              <w:tl2br w:val="nil"/>
              <w:tr2bl w:val="nil"/>
            </w:tcBorders>
          </w:tcPr>
          <w:p>
            <w:pPr>
              <w:spacing w:line="240" w:lineRule="exac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bl>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before="0" w:after="0"/>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1.城乡义务教育生均公用经费[区级]绩效目标表</w:t>
      </w:r>
      <w:bookmarkEnd w:id="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888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888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1.李孙洼小学对2022年在校学200人，按照义务教育生均公用经费标准申请财政预算资金，通过合理、合规使用资金达到保证学校正常运转.</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w:t>
            </w:r>
          </w:p>
          <w:p>
            <w:pPr>
              <w:pStyle w:val="14"/>
              <w:rPr>
                <w:rFonts w:hint="eastAsia" w:ascii="仿宋_GB2312" w:hAnsi="仿宋_GB2312" w:eastAsia="仿宋_GB2312" w:cs="仿宋_GB2312"/>
              </w:rPr>
            </w:pPr>
            <w:r>
              <w:rPr>
                <w:rFonts w:hint="eastAsia" w:ascii="仿宋_GB2312" w:hAnsi="仿宋_GB2312" w:eastAsia="仿宋_GB2312" w:cs="仿宋_GB2312"/>
              </w:rPr>
              <w:t>3.促进义务教育发展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801"/>
        <w:gridCol w:w="831"/>
        <w:gridCol w:w="34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80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83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347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18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83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200人</w:t>
            </w:r>
          </w:p>
        </w:tc>
        <w:tc>
          <w:tcPr>
            <w:tcW w:w="34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18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83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4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8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83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4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18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83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735元/生</w:t>
            </w:r>
          </w:p>
        </w:tc>
        <w:tc>
          <w:tcPr>
            <w:tcW w:w="34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18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该资金用于学校正常运转，改善办学条件，促进义务教育均衡发展及学生素质提高</w:t>
            </w:r>
          </w:p>
        </w:tc>
        <w:tc>
          <w:tcPr>
            <w:tcW w:w="83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34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8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83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34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2.城乡义务教育生均公用经费[市级]绩效目标表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60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60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1.李孙洼学校对2022年在校学生200人，按照义务教育生均公用经费标准申请财政预算资金，通过合理、合规使用资金达到保证学校正常运转，</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w:t>
            </w:r>
          </w:p>
          <w:p>
            <w:pPr>
              <w:pStyle w:val="14"/>
              <w:rPr>
                <w:rFonts w:hint="eastAsia" w:ascii="仿宋_GB2312" w:hAnsi="仿宋_GB2312" w:eastAsia="仿宋_GB2312" w:cs="仿宋_GB2312"/>
              </w:rPr>
            </w:pPr>
            <w:r>
              <w:rPr>
                <w:rFonts w:hint="eastAsia" w:ascii="仿宋_GB2312" w:hAnsi="仿宋_GB2312" w:eastAsia="仿宋_GB2312" w:cs="仿宋_GB2312"/>
              </w:rPr>
              <w:t>3.促进义务教育发展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30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3079"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200人</w:t>
            </w:r>
          </w:p>
        </w:tc>
        <w:tc>
          <w:tcPr>
            <w:tcW w:w="307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07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07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735元/生</w:t>
            </w:r>
          </w:p>
        </w:tc>
        <w:tc>
          <w:tcPr>
            <w:tcW w:w="307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该资金用于学校正常运转，改善办学条件，促进义务教育均衡发展及学生素质提高</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307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307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3.教育经费绩效目标表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86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86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4"/>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3"/>
        <w:gridCol w:w="1287"/>
        <w:gridCol w:w="2436"/>
        <w:gridCol w:w="2385"/>
        <w:gridCol w:w="832"/>
        <w:gridCol w:w="19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8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243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38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8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92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43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23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8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w:t>
            </w:r>
          </w:p>
        </w:tc>
        <w:tc>
          <w:tcPr>
            <w:tcW w:w="19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Merge w:val="continue"/>
            <w:vAlign w:val="center"/>
          </w:tcPr>
          <w:p>
            <w:pPr>
              <w:rPr>
                <w:rFonts w:hint="eastAsia" w:ascii="仿宋_GB2312" w:hAnsi="仿宋_GB2312" w:eastAsia="仿宋_GB2312" w:cs="仿宋_GB2312"/>
              </w:rPr>
            </w:pPr>
          </w:p>
        </w:tc>
        <w:tc>
          <w:tcPr>
            <w:tcW w:w="12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43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23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8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9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Merge w:val="continue"/>
            <w:vAlign w:val="center"/>
          </w:tcPr>
          <w:p>
            <w:pPr>
              <w:rPr>
                <w:rFonts w:hint="eastAsia" w:ascii="仿宋_GB2312" w:hAnsi="仿宋_GB2312" w:eastAsia="仿宋_GB2312" w:cs="仿宋_GB2312"/>
              </w:rPr>
            </w:pPr>
          </w:p>
        </w:tc>
        <w:tc>
          <w:tcPr>
            <w:tcW w:w="12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43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23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8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9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Merge w:val="continue"/>
            <w:vAlign w:val="center"/>
          </w:tcPr>
          <w:p>
            <w:pPr>
              <w:rPr>
                <w:rFonts w:hint="eastAsia" w:ascii="仿宋_GB2312" w:hAnsi="仿宋_GB2312" w:eastAsia="仿宋_GB2312" w:cs="仿宋_GB2312"/>
              </w:rPr>
            </w:pPr>
          </w:p>
        </w:tc>
        <w:tc>
          <w:tcPr>
            <w:tcW w:w="12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243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3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8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9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Merge w:val="continue"/>
            <w:vAlign w:val="center"/>
          </w:tcPr>
          <w:p>
            <w:pPr>
              <w:rPr>
                <w:rFonts w:hint="eastAsia" w:ascii="仿宋_GB2312" w:hAnsi="仿宋_GB2312" w:eastAsia="仿宋_GB2312" w:cs="仿宋_GB2312"/>
              </w:rPr>
            </w:pPr>
          </w:p>
        </w:tc>
        <w:tc>
          <w:tcPr>
            <w:tcW w:w="12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243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23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8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≤5.1万元</w:t>
            </w:r>
          </w:p>
        </w:tc>
        <w:tc>
          <w:tcPr>
            <w:tcW w:w="19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43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3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8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19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43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3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8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9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Merge w:val="continue"/>
            <w:vAlign w:val="center"/>
          </w:tcPr>
          <w:p>
            <w:pPr>
              <w:rPr>
                <w:rFonts w:hint="eastAsia" w:ascii="仿宋_GB2312" w:hAnsi="仿宋_GB2312" w:eastAsia="仿宋_GB2312" w:cs="仿宋_GB2312"/>
              </w:rPr>
            </w:pPr>
          </w:p>
        </w:tc>
        <w:tc>
          <w:tcPr>
            <w:tcW w:w="12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43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3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8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9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4</w:t>
      </w:r>
      <w:r>
        <w:rPr>
          <w:rFonts w:hint="eastAsia" w:ascii="仿宋_GB2312" w:hAnsi="仿宋_GB2312" w:eastAsia="仿宋_GB2312" w:cs="仿宋_GB2312"/>
          <w:sz w:val="28"/>
        </w:rPr>
        <w:t>.校园房屋外墙主体粉刷（项目名称）绩效目标表</w:t>
      </w:r>
      <w:bookmarkStart w:id="3" w:name="_Toc29799657"/>
      <w:bookmarkEnd w:id="3"/>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6"/>
        <w:gridCol w:w="1418"/>
        <w:gridCol w:w="2410"/>
        <w:gridCol w:w="3260"/>
        <w:gridCol w:w="1276"/>
        <w:gridCol w:w="45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86"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876" w:type="dxa"/>
            <w:gridSpan w:val="5"/>
            <w:shd w:val="clear" w:color="auto" w:fill="auto"/>
            <w:vAlign w:val="center"/>
          </w:tcPr>
          <w:p>
            <w:pPr>
              <w:pStyle w:val="14"/>
              <w:spacing w:line="380" w:lineRule="exact"/>
              <w:rPr>
                <w:rFonts w:hint="eastAsia" w:ascii="仿宋_GB2312" w:hAnsi="仿宋_GB2312" w:eastAsia="仿宋_GB2312" w:cs="仿宋_GB2312"/>
                <w:b/>
              </w:rPr>
            </w:pPr>
            <w:r>
              <w:rPr>
                <w:rFonts w:hint="eastAsia" w:ascii="仿宋_GB2312" w:hAnsi="仿宋_GB2312" w:eastAsia="仿宋_GB2312" w:cs="仿宋_GB2312"/>
                <w:lang w:eastAsia="zh-CN"/>
              </w:rPr>
              <w:t>1、</w:t>
            </w:r>
            <w:r>
              <w:rPr>
                <w:rFonts w:hint="eastAsia" w:ascii="仿宋_GB2312" w:hAnsi="仿宋_GB2312" w:eastAsia="仿宋_GB2312" w:cs="仿宋_GB2312"/>
              </w:rPr>
              <w:t>弥补办公经费不足，保障教育教学正常的进行。</w:t>
            </w:r>
          </w:p>
          <w:p>
            <w:pPr>
              <w:pStyle w:val="14"/>
              <w:spacing w:line="380" w:lineRule="exact"/>
              <w:rPr>
                <w:rFonts w:hint="eastAsia" w:ascii="仿宋_GB2312" w:hAnsi="仿宋_GB2312" w:eastAsia="仿宋_GB2312" w:cs="仿宋_GB2312"/>
                <w:b/>
              </w:rPr>
            </w:pPr>
            <w:r>
              <w:rPr>
                <w:rFonts w:hint="eastAsia" w:ascii="仿宋_GB2312" w:hAnsi="仿宋_GB2312" w:eastAsia="仿宋_GB2312" w:cs="仿宋_GB2312"/>
                <w:lang w:eastAsia="zh-CN"/>
              </w:rPr>
              <w:t>2、</w:t>
            </w:r>
            <w:r>
              <w:rPr>
                <w:rFonts w:hint="eastAsia" w:ascii="仿宋_GB2312" w:hAnsi="仿宋_GB2312" w:eastAsia="仿宋_GB2312" w:cs="仿宋_GB2312"/>
              </w:rPr>
              <w:t>改善办学条件，提高教育教学环境。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86"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418"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410"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260"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276"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4512"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6" w:type="dxa"/>
            <w:vMerge w:val="restart"/>
            <w:shd w:val="clear" w:color="auto" w:fill="auto"/>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418"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241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保证学校正常运转</w:t>
            </w:r>
          </w:p>
        </w:tc>
        <w:tc>
          <w:tcPr>
            <w:tcW w:w="326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需要粉刷外墙1800平米</w:t>
            </w:r>
          </w:p>
        </w:tc>
        <w:tc>
          <w:tcPr>
            <w:tcW w:w="1276"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1800平米</w:t>
            </w:r>
          </w:p>
        </w:tc>
        <w:tc>
          <w:tcPr>
            <w:tcW w:w="4512"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廊坊市广阳区教育和体育局关于拨付2021年学校校园房屋外墙主体粉刷资金（[2021]86号）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6" w:type="dxa"/>
            <w:vMerge w:val="continue"/>
            <w:shd w:val="clear" w:color="auto" w:fill="auto"/>
            <w:vAlign w:val="center"/>
          </w:tcPr>
          <w:p>
            <w:pPr>
              <w:spacing w:line="380" w:lineRule="exact"/>
              <w:rPr>
                <w:rFonts w:hint="eastAsia" w:ascii="仿宋_GB2312" w:hAnsi="仿宋_GB2312" w:eastAsia="仿宋_GB2312" w:cs="仿宋_GB2312"/>
              </w:rPr>
            </w:pPr>
          </w:p>
        </w:tc>
        <w:tc>
          <w:tcPr>
            <w:tcW w:w="1418"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241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326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276"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4512"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6" w:type="dxa"/>
            <w:vMerge w:val="continue"/>
            <w:shd w:val="clear" w:color="auto" w:fill="auto"/>
            <w:vAlign w:val="center"/>
          </w:tcPr>
          <w:p>
            <w:pPr>
              <w:spacing w:line="380" w:lineRule="exact"/>
              <w:rPr>
                <w:rFonts w:hint="eastAsia" w:ascii="仿宋_GB2312" w:hAnsi="仿宋_GB2312" w:eastAsia="仿宋_GB2312" w:cs="仿宋_GB2312"/>
              </w:rPr>
            </w:pPr>
          </w:p>
        </w:tc>
        <w:tc>
          <w:tcPr>
            <w:tcW w:w="1418"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241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326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及时</w:t>
            </w:r>
          </w:p>
        </w:tc>
        <w:tc>
          <w:tcPr>
            <w:tcW w:w="4512"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6" w:type="dxa"/>
            <w:vMerge w:val="continue"/>
            <w:shd w:val="clear" w:color="auto" w:fill="auto"/>
            <w:vAlign w:val="center"/>
          </w:tcPr>
          <w:p>
            <w:pPr>
              <w:spacing w:line="380" w:lineRule="exact"/>
              <w:rPr>
                <w:rFonts w:hint="eastAsia" w:ascii="仿宋_GB2312" w:hAnsi="仿宋_GB2312" w:eastAsia="仿宋_GB2312" w:cs="仿宋_GB2312"/>
              </w:rPr>
            </w:pPr>
          </w:p>
        </w:tc>
        <w:tc>
          <w:tcPr>
            <w:tcW w:w="1418"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241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326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276"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7万元</w:t>
            </w:r>
          </w:p>
        </w:tc>
        <w:tc>
          <w:tcPr>
            <w:tcW w:w="4512"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6" w:type="dxa"/>
            <w:vMerge w:val="restart"/>
            <w:shd w:val="clear" w:color="auto" w:fill="auto"/>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418"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41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326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提高</w:t>
            </w:r>
          </w:p>
        </w:tc>
        <w:tc>
          <w:tcPr>
            <w:tcW w:w="4512"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6" w:type="dxa"/>
            <w:vMerge w:val="continue"/>
            <w:shd w:val="clear" w:color="auto" w:fill="auto"/>
            <w:vAlign w:val="center"/>
          </w:tcPr>
          <w:p>
            <w:pPr>
              <w:spacing w:line="380" w:lineRule="exact"/>
              <w:rPr>
                <w:rFonts w:hint="eastAsia" w:ascii="仿宋_GB2312" w:hAnsi="仿宋_GB2312" w:eastAsia="仿宋_GB2312" w:cs="仿宋_GB2312"/>
              </w:rPr>
            </w:pPr>
          </w:p>
        </w:tc>
        <w:tc>
          <w:tcPr>
            <w:tcW w:w="1418"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41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326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76"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4512"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86" w:type="dxa"/>
            <w:shd w:val="clear" w:color="auto" w:fill="auto"/>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418"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41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3260"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276"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4512"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5</w:t>
      </w:r>
      <w:r>
        <w:rPr>
          <w:rFonts w:hint="eastAsia" w:ascii="仿宋_GB2312" w:hAnsi="仿宋_GB2312" w:eastAsia="仿宋_GB2312" w:cs="仿宋_GB2312"/>
          <w:sz w:val="28"/>
        </w:rPr>
        <w:t>.校园平房防水（项目名称）绩效目标表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1"/>
        <w:gridCol w:w="1559"/>
        <w:gridCol w:w="4536"/>
        <w:gridCol w:w="2977"/>
        <w:gridCol w:w="992"/>
        <w:gridCol w:w="32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761"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3301" w:type="dxa"/>
            <w:gridSpan w:val="5"/>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lang w:eastAsia="zh-CN"/>
              </w:rPr>
              <w:t>1、</w:t>
            </w:r>
            <w:r>
              <w:rPr>
                <w:rFonts w:hint="eastAsia" w:ascii="仿宋_GB2312" w:hAnsi="仿宋_GB2312" w:eastAsia="仿宋_GB2312" w:cs="仿宋_GB2312"/>
              </w:rPr>
              <w:t>弥补办公经费不足，保障教育教学正常的进行。</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spacing w:line="380" w:lineRule="exact"/>
              <w:rPr>
                <w:rFonts w:hint="eastAsia" w:ascii="仿宋_GB2312" w:hAnsi="仿宋_GB2312" w:eastAsia="仿宋_GB2312" w:cs="仿宋_GB2312"/>
                <w:b/>
              </w:rPr>
            </w:pPr>
            <w:r>
              <w:rPr>
                <w:rFonts w:hint="eastAsia" w:ascii="仿宋_GB2312" w:hAnsi="仿宋_GB2312" w:eastAsia="仿宋_GB2312" w:cs="仿宋_GB2312"/>
                <w:lang w:eastAsia="zh-CN"/>
              </w:rPr>
              <w:t>2、</w:t>
            </w:r>
            <w:r>
              <w:rPr>
                <w:rFonts w:hint="eastAsia" w:ascii="仿宋_GB2312" w:hAnsi="仿宋_GB2312" w:eastAsia="仿宋_GB2312" w:cs="仿宋_GB2312"/>
              </w:rPr>
              <w:t>改善办学条件，提高教育教学环境。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761"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559"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4536"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2977"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992"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3237"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61" w:type="dxa"/>
            <w:vMerge w:val="restart"/>
            <w:shd w:val="clear" w:color="auto" w:fill="auto"/>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559"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4536"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保证房屋不漏水，能正常使用</w:t>
            </w:r>
          </w:p>
        </w:tc>
        <w:tc>
          <w:tcPr>
            <w:tcW w:w="2977"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28间房需要做防水</w:t>
            </w:r>
          </w:p>
        </w:tc>
        <w:tc>
          <w:tcPr>
            <w:tcW w:w="992"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28间</w:t>
            </w:r>
          </w:p>
        </w:tc>
        <w:tc>
          <w:tcPr>
            <w:tcW w:w="3237"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廊坊市广阳区教育和体育局关于拨付2021年学校校园平房防水资金（[2021]86号）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61" w:type="dxa"/>
            <w:vMerge w:val="continue"/>
            <w:shd w:val="clear" w:color="auto" w:fill="auto"/>
            <w:vAlign w:val="center"/>
          </w:tcPr>
          <w:p>
            <w:pPr>
              <w:spacing w:line="380" w:lineRule="exact"/>
              <w:rPr>
                <w:rFonts w:hint="eastAsia" w:ascii="仿宋_GB2312" w:hAnsi="仿宋_GB2312" w:eastAsia="仿宋_GB2312" w:cs="仿宋_GB2312"/>
              </w:rPr>
            </w:pPr>
          </w:p>
        </w:tc>
        <w:tc>
          <w:tcPr>
            <w:tcW w:w="1559"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4536"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2977"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992"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3237"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61" w:type="dxa"/>
            <w:vMerge w:val="continue"/>
            <w:shd w:val="clear" w:color="auto" w:fill="auto"/>
            <w:vAlign w:val="center"/>
          </w:tcPr>
          <w:p>
            <w:pPr>
              <w:spacing w:line="380" w:lineRule="exact"/>
              <w:rPr>
                <w:rFonts w:hint="eastAsia" w:ascii="仿宋_GB2312" w:hAnsi="仿宋_GB2312" w:eastAsia="仿宋_GB2312" w:cs="仿宋_GB2312"/>
              </w:rPr>
            </w:pPr>
          </w:p>
        </w:tc>
        <w:tc>
          <w:tcPr>
            <w:tcW w:w="1559"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4536"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977"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992"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及时</w:t>
            </w:r>
          </w:p>
        </w:tc>
        <w:tc>
          <w:tcPr>
            <w:tcW w:w="3237"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61" w:type="dxa"/>
            <w:vMerge w:val="continue"/>
            <w:shd w:val="clear" w:color="auto" w:fill="auto"/>
            <w:vAlign w:val="center"/>
          </w:tcPr>
          <w:p>
            <w:pPr>
              <w:spacing w:line="380" w:lineRule="exact"/>
              <w:rPr>
                <w:rFonts w:hint="eastAsia" w:ascii="仿宋_GB2312" w:hAnsi="仿宋_GB2312" w:eastAsia="仿宋_GB2312" w:cs="仿宋_GB2312"/>
              </w:rPr>
            </w:pPr>
          </w:p>
        </w:tc>
        <w:tc>
          <w:tcPr>
            <w:tcW w:w="1559"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4536"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2977"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992"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11万元</w:t>
            </w:r>
          </w:p>
        </w:tc>
        <w:tc>
          <w:tcPr>
            <w:tcW w:w="3237"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61" w:type="dxa"/>
            <w:vMerge w:val="restart"/>
            <w:shd w:val="clear" w:color="auto" w:fill="auto"/>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559"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4536"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977"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992"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提高</w:t>
            </w:r>
          </w:p>
        </w:tc>
        <w:tc>
          <w:tcPr>
            <w:tcW w:w="3237"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61" w:type="dxa"/>
            <w:vMerge w:val="continue"/>
            <w:shd w:val="clear" w:color="auto" w:fill="auto"/>
            <w:vAlign w:val="center"/>
          </w:tcPr>
          <w:p>
            <w:pPr>
              <w:spacing w:line="380" w:lineRule="exact"/>
              <w:rPr>
                <w:rFonts w:hint="eastAsia" w:ascii="仿宋_GB2312" w:hAnsi="仿宋_GB2312" w:eastAsia="仿宋_GB2312" w:cs="仿宋_GB2312"/>
              </w:rPr>
            </w:pPr>
          </w:p>
        </w:tc>
        <w:tc>
          <w:tcPr>
            <w:tcW w:w="1559"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4536"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977"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992"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3237" w:type="dxa"/>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61"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55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453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97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99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323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before="0" w:after="0"/>
        <w:ind w:firstLine="560"/>
        <w:jc w:val="left"/>
        <w:outlineLvl w:val="3"/>
        <w:rPr>
          <w:rFonts w:hint="eastAsia" w:ascii="仿宋_GB2312" w:hAnsi="仿宋_GB2312" w:eastAsia="仿宋_GB2312" w:cs="仿宋_GB2312"/>
          <w:color w:val="000000"/>
          <w:sz w:val="28"/>
        </w:rPr>
      </w:pPr>
      <w:bookmarkStart w:id="4" w:name="_Toc_4_4_0000000009"/>
    </w:p>
    <w:p>
      <w:pPr>
        <w:spacing w:before="0" w:after="0"/>
        <w:ind w:firstLine="56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6.幼儿园生均经费绩效目标表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38"/>
        <w:gridCol w:w="1028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02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保障幼儿园运转，改善基本办园条件，促进教育均衡发展及幼儿素质提高。李孙洼幼儿园对2022年在园幼儿82人，按照幼儿园生均公用经费标准申请财政预算资金，通过合理、合规使用资金达到保证幼儿园正常运转，改善办园条件，促进义务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7"/>
        <w:gridCol w:w="1319"/>
        <w:gridCol w:w="2151"/>
        <w:gridCol w:w="3018"/>
        <w:gridCol w:w="1194"/>
        <w:gridCol w:w="35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9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19"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215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301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19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35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15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申请生均公用经费幼儿人数</w:t>
            </w:r>
          </w:p>
        </w:tc>
        <w:tc>
          <w:tcPr>
            <w:tcW w:w="301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19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82人</w:t>
            </w:r>
          </w:p>
        </w:tc>
        <w:tc>
          <w:tcPr>
            <w:tcW w:w="35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关于印发河北省财政厅河北省教育厅关于制定公办幼儿园生均公用经费财政拨款标准的通知，（冀财教[2018]99号）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Merge w:val="continue"/>
            <w:vAlign w:val="center"/>
          </w:tcPr>
          <w:p>
            <w:pPr>
              <w:rPr>
                <w:rFonts w:hint="eastAsia" w:ascii="仿宋_GB2312" w:hAnsi="仿宋_GB2312" w:eastAsia="仿宋_GB2312" w:cs="仿宋_GB2312"/>
              </w:rPr>
            </w:pPr>
          </w:p>
        </w:tc>
        <w:tc>
          <w:tcPr>
            <w:tcW w:w="13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15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301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19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5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关于印发河北省财政厅河北省教育厅关于制定公办幼儿园生均公用经费财政拨款标准的通知，（冀财教[2018]99号）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Merge w:val="continue"/>
            <w:vAlign w:val="center"/>
          </w:tcPr>
          <w:p>
            <w:pPr>
              <w:rPr>
                <w:rFonts w:hint="eastAsia" w:ascii="仿宋_GB2312" w:hAnsi="仿宋_GB2312" w:eastAsia="仿宋_GB2312" w:cs="仿宋_GB2312"/>
              </w:rPr>
            </w:pPr>
          </w:p>
        </w:tc>
        <w:tc>
          <w:tcPr>
            <w:tcW w:w="13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215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用于保障幼儿园正常运转项目完成及时率</w:t>
            </w:r>
          </w:p>
        </w:tc>
        <w:tc>
          <w:tcPr>
            <w:tcW w:w="301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19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5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Merge w:val="continue"/>
            <w:vAlign w:val="center"/>
          </w:tcPr>
          <w:p>
            <w:pPr>
              <w:rPr>
                <w:rFonts w:hint="eastAsia" w:ascii="仿宋_GB2312" w:hAnsi="仿宋_GB2312" w:eastAsia="仿宋_GB2312" w:cs="仿宋_GB2312"/>
              </w:rPr>
            </w:pPr>
          </w:p>
        </w:tc>
        <w:tc>
          <w:tcPr>
            <w:tcW w:w="13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215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使用生均公用经费，用于保障幼儿园正常运转的项目支出成本</w:t>
            </w:r>
          </w:p>
        </w:tc>
        <w:tc>
          <w:tcPr>
            <w:tcW w:w="301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使用生均公用经费，用于保障学校正常运转的项目支出成本等于400元/生</w:t>
            </w:r>
          </w:p>
        </w:tc>
        <w:tc>
          <w:tcPr>
            <w:tcW w:w="119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400元</w:t>
            </w:r>
          </w:p>
        </w:tc>
        <w:tc>
          <w:tcPr>
            <w:tcW w:w="35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关于印发河北省财政厅河北省教育厅关于制定公办幼儿园生均公用经费财政拨款标准的通知，（冀财教[2018]99号）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15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学前教育高质量发展</w:t>
            </w:r>
          </w:p>
        </w:tc>
        <w:tc>
          <w:tcPr>
            <w:tcW w:w="301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该资金用于学校正常运转，改善办学条件，促进学前教育均衡发展及学生素质提高</w:t>
            </w:r>
          </w:p>
        </w:tc>
        <w:tc>
          <w:tcPr>
            <w:tcW w:w="119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35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冀财教【2018】99号文件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15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301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19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35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5"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3</w:t>
      </w:r>
      <w:r>
        <w:rPr>
          <w:rFonts w:ascii="Times New Roman" w:hAnsi="Times New Roman" w:eastAsia="仿宋_GB2312" w:cs="Times New Roman"/>
          <w:sz w:val="32"/>
          <w:szCs w:val="24"/>
        </w:rPr>
        <w:t>万元。具体内容见下表。</w:t>
      </w:r>
    </w:p>
    <w:bookmarkEnd w:id="5"/>
    <w:p>
      <w:pPr>
        <w:jc w:val="center"/>
        <w:outlineLvl w:val="1"/>
        <w:rPr>
          <w:rFonts w:ascii="方正小标宋_GBK" w:eastAsia="方正小标宋_GBK" w:cs="Times New Roman"/>
          <w:sz w:val="32"/>
        </w:rPr>
      </w:pPr>
      <w:bookmarkStart w:id="6" w:name="_Toc64920910"/>
      <w:r>
        <w:rPr>
          <w:rFonts w:hint="eastAsia" w:ascii="方正小标宋_GBK" w:eastAsia="方正小标宋_GBK" w:cs="Times New Roman"/>
          <w:sz w:val="32"/>
        </w:rPr>
        <w:t>部门政府采购预算</w:t>
      </w:r>
      <w:bookmarkEnd w:id="6"/>
    </w:p>
    <w:p>
      <w:pPr>
        <w:outlineLvl w:val="1"/>
        <w:rPr>
          <w:rFonts w:ascii="方正小标宋_GBK" w:eastAsia="方正小标宋_GBK" w:cs="Times New Roman"/>
          <w:sz w:val="32"/>
        </w:rPr>
      </w:pPr>
      <w:r>
        <w:rPr>
          <w:rFonts w:hint="eastAsia"/>
        </w:rPr>
        <w:t>[</w:t>
      </w:r>
      <w:r>
        <w:t>963001]廊坊市</w:t>
      </w:r>
      <w:r>
        <w:rPr>
          <w:rFonts w:hint="eastAsia"/>
        </w:rPr>
        <w:t>广阳区万庄镇李孙洼小学</w:t>
      </w:r>
      <w:r>
        <w:t xml:space="preserve">                                                                                   单位：万元</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6"/>
        <w:gridCol w:w="896"/>
        <w:gridCol w:w="1321"/>
        <w:gridCol w:w="981"/>
        <w:gridCol w:w="845"/>
        <w:gridCol w:w="590"/>
        <w:gridCol w:w="612"/>
        <w:gridCol w:w="882"/>
        <w:gridCol w:w="882"/>
        <w:gridCol w:w="882"/>
        <w:gridCol w:w="882"/>
        <w:gridCol w:w="884"/>
        <w:gridCol w:w="884"/>
        <w:gridCol w:w="884"/>
        <w:gridCol w:w="887"/>
        <w:gridCol w:w="8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71" w:type="pct"/>
            <w:gridSpan w:val="2"/>
            <w:vAlign w:val="center"/>
          </w:tcPr>
          <w:p>
            <w:pPr>
              <w:pStyle w:val="12"/>
            </w:pPr>
            <w:r>
              <w:t>政府采购项目来源</w:t>
            </w:r>
          </w:p>
        </w:tc>
        <w:tc>
          <w:tcPr>
            <w:tcW w:w="466" w:type="pct"/>
            <w:vMerge w:val="restart"/>
            <w:vAlign w:val="center"/>
          </w:tcPr>
          <w:p>
            <w:pPr>
              <w:pStyle w:val="12"/>
            </w:pPr>
            <w:r>
              <w:t>采购物品名称</w:t>
            </w:r>
          </w:p>
        </w:tc>
        <w:tc>
          <w:tcPr>
            <w:tcW w:w="346" w:type="pct"/>
            <w:vMerge w:val="restart"/>
            <w:vAlign w:val="center"/>
          </w:tcPr>
          <w:p>
            <w:pPr>
              <w:pStyle w:val="12"/>
            </w:pPr>
            <w:r>
              <w:t>政府采购目录序号</w:t>
            </w:r>
          </w:p>
        </w:tc>
        <w:tc>
          <w:tcPr>
            <w:tcW w:w="298" w:type="pct"/>
            <w:vMerge w:val="restart"/>
            <w:vAlign w:val="center"/>
          </w:tcPr>
          <w:p>
            <w:pPr>
              <w:pStyle w:val="12"/>
            </w:pPr>
            <w:r>
              <w:t>计量  单位</w:t>
            </w:r>
          </w:p>
        </w:tc>
        <w:tc>
          <w:tcPr>
            <w:tcW w:w="208" w:type="pct"/>
            <w:vMerge w:val="restart"/>
            <w:vAlign w:val="center"/>
          </w:tcPr>
          <w:p>
            <w:pPr>
              <w:pStyle w:val="12"/>
            </w:pPr>
            <w:r>
              <w:t>数量</w:t>
            </w:r>
          </w:p>
        </w:tc>
        <w:tc>
          <w:tcPr>
            <w:tcW w:w="216" w:type="pct"/>
            <w:vMerge w:val="restart"/>
            <w:vAlign w:val="center"/>
          </w:tcPr>
          <w:p>
            <w:pPr>
              <w:pStyle w:val="12"/>
            </w:pPr>
            <w:r>
              <w:t>单价</w:t>
            </w:r>
          </w:p>
        </w:tc>
        <w:tc>
          <w:tcPr>
            <w:tcW w:w="2493" w:type="pct"/>
            <w:gridSpan w:val="8"/>
            <w:vAlign w:val="center"/>
          </w:tcPr>
          <w:p>
            <w:pPr>
              <w:pStyle w:val="12"/>
            </w:pPr>
            <w:r>
              <w:t>政府采购金额（当年部门预算安排资金）</w:t>
            </w:r>
          </w:p>
        </w:tc>
        <w:tc>
          <w:tcPr>
            <w:tcW w:w="302"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5" w:type="pct"/>
            <w:vAlign w:val="center"/>
          </w:tcPr>
          <w:p>
            <w:pPr>
              <w:pStyle w:val="12"/>
            </w:pPr>
            <w:r>
              <w:t>项目名称</w:t>
            </w:r>
          </w:p>
        </w:tc>
        <w:tc>
          <w:tcPr>
            <w:tcW w:w="316" w:type="pct"/>
            <w:vAlign w:val="center"/>
          </w:tcPr>
          <w:p>
            <w:pPr>
              <w:pStyle w:val="12"/>
            </w:pPr>
            <w:r>
              <w:t>预算    资金</w:t>
            </w:r>
          </w:p>
        </w:tc>
        <w:tc>
          <w:tcPr>
            <w:tcW w:w="466" w:type="pct"/>
            <w:vMerge w:val="continue"/>
          </w:tcPr>
          <w:p/>
        </w:tc>
        <w:tc>
          <w:tcPr>
            <w:tcW w:w="346" w:type="pct"/>
            <w:vMerge w:val="continue"/>
          </w:tcPr>
          <w:p/>
        </w:tc>
        <w:tc>
          <w:tcPr>
            <w:tcW w:w="298" w:type="pct"/>
            <w:vMerge w:val="continue"/>
          </w:tcPr>
          <w:p/>
        </w:tc>
        <w:tc>
          <w:tcPr>
            <w:tcW w:w="208" w:type="pct"/>
            <w:vMerge w:val="continue"/>
          </w:tcPr>
          <w:p/>
        </w:tc>
        <w:tc>
          <w:tcPr>
            <w:tcW w:w="216" w:type="pct"/>
            <w:vMerge w:val="continue"/>
          </w:tcPr>
          <w:p/>
        </w:tc>
        <w:tc>
          <w:tcPr>
            <w:tcW w:w="311" w:type="pct"/>
            <w:vAlign w:val="center"/>
          </w:tcPr>
          <w:p>
            <w:pPr>
              <w:pStyle w:val="12"/>
            </w:pPr>
            <w:r>
              <w:t>合计</w:t>
            </w:r>
          </w:p>
        </w:tc>
        <w:tc>
          <w:tcPr>
            <w:tcW w:w="311" w:type="pct"/>
            <w:vAlign w:val="center"/>
          </w:tcPr>
          <w:p>
            <w:pPr>
              <w:pStyle w:val="12"/>
            </w:pPr>
            <w:r>
              <w:t>一般公共预算拨款</w:t>
            </w:r>
          </w:p>
        </w:tc>
        <w:tc>
          <w:tcPr>
            <w:tcW w:w="311" w:type="pct"/>
            <w:vAlign w:val="center"/>
          </w:tcPr>
          <w:p>
            <w:pPr>
              <w:pStyle w:val="12"/>
            </w:pPr>
            <w:r>
              <w:t>基金预算拨款</w:t>
            </w:r>
          </w:p>
        </w:tc>
        <w:tc>
          <w:tcPr>
            <w:tcW w:w="311" w:type="pct"/>
            <w:vAlign w:val="center"/>
          </w:tcPr>
          <w:p>
            <w:pPr>
              <w:pStyle w:val="12"/>
            </w:pPr>
            <w:r>
              <w:t>国有资本经营预算拨款</w:t>
            </w:r>
          </w:p>
        </w:tc>
        <w:tc>
          <w:tcPr>
            <w:tcW w:w="312" w:type="pct"/>
            <w:vAlign w:val="center"/>
          </w:tcPr>
          <w:p>
            <w:pPr>
              <w:pStyle w:val="12"/>
            </w:pPr>
            <w:r>
              <w:t>财政专户核拨</w:t>
            </w:r>
          </w:p>
        </w:tc>
        <w:tc>
          <w:tcPr>
            <w:tcW w:w="312" w:type="pct"/>
            <w:vAlign w:val="center"/>
          </w:tcPr>
          <w:p>
            <w:pPr>
              <w:pStyle w:val="12"/>
            </w:pPr>
            <w:r>
              <w:t>单位    资金</w:t>
            </w:r>
          </w:p>
        </w:tc>
        <w:tc>
          <w:tcPr>
            <w:tcW w:w="312" w:type="pct"/>
            <w:vAlign w:val="center"/>
          </w:tcPr>
          <w:p>
            <w:pPr>
              <w:pStyle w:val="12"/>
            </w:pPr>
            <w:r>
              <w:t>财政拨    款结转</w:t>
            </w:r>
          </w:p>
        </w:tc>
        <w:tc>
          <w:tcPr>
            <w:tcW w:w="312" w:type="pct"/>
            <w:vAlign w:val="center"/>
          </w:tcPr>
          <w:p>
            <w:pPr>
              <w:pStyle w:val="12"/>
            </w:pPr>
            <w:r>
              <w:t>非财政    拨款结    转结余</w:t>
            </w:r>
          </w:p>
        </w:tc>
        <w:tc>
          <w:tcPr>
            <w:tcW w:w="30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6"/>
            </w:pPr>
            <w:r>
              <w:t>合  计</w:t>
            </w:r>
          </w:p>
        </w:tc>
        <w:tc>
          <w:tcPr>
            <w:tcW w:w="316" w:type="pct"/>
            <w:vAlign w:val="center"/>
          </w:tcPr>
          <w:p>
            <w:pPr>
              <w:pStyle w:val="17"/>
              <w:rPr>
                <w:lang w:eastAsia="zh-CN"/>
              </w:rPr>
            </w:pPr>
            <w:r>
              <w:rPr>
                <w:rFonts w:hint="eastAsia"/>
                <w:lang w:eastAsia="zh-CN"/>
              </w:rPr>
              <w:t>3</w:t>
            </w:r>
          </w:p>
        </w:tc>
        <w:tc>
          <w:tcPr>
            <w:tcW w:w="466" w:type="pct"/>
            <w:vAlign w:val="center"/>
          </w:tcPr>
          <w:p>
            <w:pPr>
              <w:pStyle w:val="18"/>
              <w:rPr>
                <w:lang w:eastAsia="zh-CN"/>
              </w:rPr>
            </w:pPr>
          </w:p>
        </w:tc>
        <w:tc>
          <w:tcPr>
            <w:tcW w:w="346" w:type="pct"/>
            <w:vAlign w:val="center"/>
          </w:tcPr>
          <w:p>
            <w:pPr>
              <w:pStyle w:val="18"/>
            </w:pPr>
          </w:p>
        </w:tc>
        <w:tc>
          <w:tcPr>
            <w:tcW w:w="298" w:type="pct"/>
            <w:vAlign w:val="center"/>
          </w:tcPr>
          <w:p>
            <w:pPr>
              <w:pStyle w:val="16"/>
              <w:rPr>
                <w:lang w:eastAsia="zh-CN"/>
              </w:rPr>
            </w:pPr>
          </w:p>
        </w:tc>
        <w:tc>
          <w:tcPr>
            <w:tcW w:w="208" w:type="pct"/>
            <w:vAlign w:val="center"/>
          </w:tcPr>
          <w:p>
            <w:pPr>
              <w:pStyle w:val="17"/>
              <w:rPr>
                <w:lang w:eastAsia="zh-CN"/>
              </w:rPr>
            </w:pPr>
          </w:p>
        </w:tc>
        <w:tc>
          <w:tcPr>
            <w:tcW w:w="216" w:type="pct"/>
            <w:vAlign w:val="center"/>
          </w:tcPr>
          <w:p>
            <w:pPr>
              <w:pStyle w:val="17"/>
              <w:rPr>
                <w:lang w:eastAsia="zh-CN"/>
              </w:rPr>
            </w:pPr>
          </w:p>
        </w:tc>
        <w:tc>
          <w:tcPr>
            <w:tcW w:w="311" w:type="pct"/>
            <w:vAlign w:val="center"/>
          </w:tcPr>
          <w:p>
            <w:pPr>
              <w:pStyle w:val="17"/>
            </w:pPr>
          </w:p>
        </w:tc>
        <w:tc>
          <w:tcPr>
            <w:tcW w:w="311" w:type="pct"/>
            <w:vAlign w:val="center"/>
          </w:tcPr>
          <w:p>
            <w:pPr>
              <w:pStyle w:val="17"/>
            </w:pPr>
          </w:p>
        </w:tc>
        <w:tc>
          <w:tcPr>
            <w:tcW w:w="311" w:type="pct"/>
            <w:vAlign w:val="center"/>
          </w:tcPr>
          <w:p>
            <w:pPr>
              <w:pStyle w:val="17"/>
            </w:pPr>
          </w:p>
        </w:tc>
        <w:tc>
          <w:tcPr>
            <w:tcW w:w="311"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02"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6"/>
            </w:pPr>
          </w:p>
        </w:tc>
        <w:tc>
          <w:tcPr>
            <w:tcW w:w="316" w:type="pct"/>
            <w:vAlign w:val="center"/>
          </w:tcPr>
          <w:p>
            <w:pPr>
              <w:pStyle w:val="17"/>
              <w:rPr>
                <w:b w:val="0"/>
                <w:bCs/>
                <w:lang w:eastAsia="zh-CN"/>
              </w:rPr>
            </w:pPr>
            <w:r>
              <w:rPr>
                <w:rFonts w:hint="eastAsia"/>
                <w:b w:val="0"/>
                <w:bCs/>
                <w:lang w:eastAsia="zh-CN"/>
              </w:rPr>
              <w:t>1</w:t>
            </w:r>
          </w:p>
        </w:tc>
        <w:tc>
          <w:tcPr>
            <w:tcW w:w="466" w:type="pct"/>
            <w:vAlign w:val="center"/>
          </w:tcPr>
          <w:p>
            <w:pPr>
              <w:pStyle w:val="18"/>
              <w:rPr>
                <w:b w:val="0"/>
                <w:bCs/>
                <w:lang w:eastAsia="zh-CN"/>
              </w:rPr>
            </w:pPr>
            <w:r>
              <w:rPr>
                <w:rFonts w:hint="eastAsia"/>
                <w:b w:val="0"/>
                <w:bCs/>
                <w:lang w:eastAsia="zh-CN"/>
              </w:rPr>
              <w:t>笔记本电脑</w:t>
            </w:r>
          </w:p>
        </w:tc>
        <w:tc>
          <w:tcPr>
            <w:tcW w:w="346" w:type="pct"/>
            <w:vAlign w:val="center"/>
          </w:tcPr>
          <w:p>
            <w:pPr>
              <w:pStyle w:val="18"/>
              <w:rPr>
                <w:b w:val="0"/>
                <w:bCs/>
              </w:rPr>
            </w:pPr>
          </w:p>
        </w:tc>
        <w:tc>
          <w:tcPr>
            <w:tcW w:w="298" w:type="pct"/>
            <w:vAlign w:val="center"/>
          </w:tcPr>
          <w:p>
            <w:pPr>
              <w:pStyle w:val="16"/>
              <w:rPr>
                <w:b w:val="0"/>
                <w:bCs/>
                <w:lang w:eastAsia="zh-CN"/>
              </w:rPr>
            </w:pPr>
            <w:r>
              <w:rPr>
                <w:rFonts w:hint="eastAsia"/>
                <w:b w:val="0"/>
                <w:bCs/>
                <w:lang w:eastAsia="zh-CN"/>
              </w:rPr>
              <w:t>台</w:t>
            </w:r>
          </w:p>
        </w:tc>
        <w:tc>
          <w:tcPr>
            <w:tcW w:w="208" w:type="pct"/>
            <w:vAlign w:val="center"/>
          </w:tcPr>
          <w:p>
            <w:pPr>
              <w:pStyle w:val="17"/>
              <w:rPr>
                <w:b w:val="0"/>
                <w:bCs/>
                <w:lang w:eastAsia="zh-CN"/>
              </w:rPr>
            </w:pPr>
            <w:r>
              <w:rPr>
                <w:rFonts w:hint="eastAsia"/>
                <w:b w:val="0"/>
                <w:bCs/>
                <w:lang w:eastAsia="zh-CN"/>
              </w:rPr>
              <w:t>1</w:t>
            </w:r>
          </w:p>
        </w:tc>
        <w:tc>
          <w:tcPr>
            <w:tcW w:w="216" w:type="pct"/>
            <w:vAlign w:val="center"/>
          </w:tcPr>
          <w:p>
            <w:pPr>
              <w:pStyle w:val="17"/>
              <w:rPr>
                <w:b w:val="0"/>
                <w:bCs/>
                <w:lang w:eastAsia="zh-CN"/>
              </w:rPr>
            </w:pPr>
            <w:r>
              <w:rPr>
                <w:rFonts w:hint="eastAsia"/>
                <w:b w:val="0"/>
                <w:bCs/>
                <w:lang w:eastAsia="zh-CN"/>
              </w:rPr>
              <w:t>1</w:t>
            </w:r>
          </w:p>
        </w:tc>
        <w:tc>
          <w:tcPr>
            <w:tcW w:w="311" w:type="pct"/>
            <w:vAlign w:val="center"/>
          </w:tcPr>
          <w:p>
            <w:pPr>
              <w:pStyle w:val="17"/>
            </w:pPr>
          </w:p>
        </w:tc>
        <w:tc>
          <w:tcPr>
            <w:tcW w:w="311" w:type="pct"/>
            <w:vAlign w:val="center"/>
          </w:tcPr>
          <w:p>
            <w:pPr>
              <w:pStyle w:val="17"/>
            </w:pPr>
          </w:p>
        </w:tc>
        <w:tc>
          <w:tcPr>
            <w:tcW w:w="311" w:type="pct"/>
            <w:vAlign w:val="center"/>
          </w:tcPr>
          <w:p>
            <w:pPr>
              <w:pStyle w:val="17"/>
            </w:pPr>
          </w:p>
        </w:tc>
        <w:tc>
          <w:tcPr>
            <w:tcW w:w="311"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02"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4"/>
            </w:pPr>
          </w:p>
        </w:tc>
        <w:tc>
          <w:tcPr>
            <w:tcW w:w="316" w:type="pct"/>
            <w:vAlign w:val="center"/>
          </w:tcPr>
          <w:p>
            <w:pPr>
              <w:pStyle w:val="13"/>
            </w:pPr>
            <w:r>
              <w:rPr>
                <w:rFonts w:hint="eastAsia"/>
                <w:lang w:eastAsia="zh-CN"/>
              </w:rPr>
              <w:t>2</w:t>
            </w:r>
          </w:p>
        </w:tc>
        <w:tc>
          <w:tcPr>
            <w:tcW w:w="466" w:type="pct"/>
            <w:vAlign w:val="center"/>
          </w:tcPr>
          <w:p>
            <w:pPr>
              <w:pStyle w:val="14"/>
            </w:pPr>
            <w:r>
              <w:rPr>
                <w:rFonts w:hint="eastAsia"/>
                <w:lang w:eastAsia="zh-CN"/>
              </w:rPr>
              <w:t>空调</w:t>
            </w:r>
          </w:p>
        </w:tc>
        <w:tc>
          <w:tcPr>
            <w:tcW w:w="346" w:type="pct"/>
            <w:vAlign w:val="center"/>
          </w:tcPr>
          <w:p>
            <w:pPr>
              <w:pStyle w:val="14"/>
            </w:pPr>
          </w:p>
        </w:tc>
        <w:tc>
          <w:tcPr>
            <w:tcW w:w="298" w:type="pct"/>
            <w:vAlign w:val="center"/>
          </w:tcPr>
          <w:p>
            <w:pPr>
              <w:pStyle w:val="15"/>
            </w:pPr>
            <w:r>
              <w:rPr>
                <w:rFonts w:hint="eastAsia"/>
                <w:lang w:eastAsia="zh-CN"/>
              </w:rPr>
              <w:t>台</w:t>
            </w:r>
          </w:p>
        </w:tc>
        <w:tc>
          <w:tcPr>
            <w:tcW w:w="208" w:type="pct"/>
            <w:vAlign w:val="center"/>
          </w:tcPr>
          <w:p>
            <w:pPr>
              <w:pStyle w:val="13"/>
            </w:pPr>
            <w:r>
              <w:rPr>
                <w:lang w:eastAsia="zh-CN"/>
              </w:rPr>
              <w:t>1</w:t>
            </w:r>
          </w:p>
        </w:tc>
        <w:tc>
          <w:tcPr>
            <w:tcW w:w="216" w:type="pct"/>
            <w:vAlign w:val="center"/>
          </w:tcPr>
          <w:p>
            <w:pPr>
              <w:pStyle w:val="13"/>
            </w:pPr>
            <w:r>
              <w:rPr>
                <w:lang w:eastAsia="zh-CN"/>
              </w:rPr>
              <w:t>1</w:t>
            </w:r>
          </w:p>
        </w:tc>
        <w:tc>
          <w:tcPr>
            <w:tcW w:w="311" w:type="pct"/>
            <w:vAlign w:val="center"/>
          </w:tcPr>
          <w:p>
            <w:pPr>
              <w:pStyle w:val="13"/>
            </w:pPr>
          </w:p>
        </w:tc>
        <w:tc>
          <w:tcPr>
            <w:tcW w:w="311" w:type="pct"/>
            <w:vAlign w:val="center"/>
          </w:tcPr>
          <w:p>
            <w:pPr>
              <w:pStyle w:val="13"/>
            </w:pPr>
          </w:p>
        </w:tc>
        <w:tc>
          <w:tcPr>
            <w:tcW w:w="311" w:type="pct"/>
            <w:vAlign w:val="center"/>
          </w:tcPr>
          <w:p>
            <w:pPr>
              <w:pStyle w:val="13"/>
            </w:pPr>
          </w:p>
        </w:tc>
        <w:tc>
          <w:tcPr>
            <w:tcW w:w="311" w:type="pct"/>
            <w:vAlign w:val="center"/>
          </w:tcPr>
          <w:p>
            <w:pPr>
              <w:pStyle w:val="13"/>
            </w:pP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02" w:type="pct"/>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仿宋_GB2312" w:eastAsia="仿宋_GB2312"/>
          <w:sz w:val="32"/>
          <w:szCs w:val="36"/>
        </w:rPr>
        <w:t>廊坊市广阳区万庄镇李孙洼小学</w:t>
      </w:r>
      <w:r>
        <w:rPr>
          <w:rFonts w:ascii="Times New Roman" w:hAnsi="Times New Roman" w:eastAsia="仿宋_GB2312" w:cs="Times New Roman"/>
          <w:sz w:val="32"/>
          <w:szCs w:val="32"/>
        </w:rPr>
        <w:t>上年末固定资产金额为0万元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sz w:val="32"/>
                <w:szCs w:val="36"/>
              </w:rPr>
              <w:t>廊坊市</w:t>
            </w:r>
            <w:r>
              <w:rPr>
                <w:rFonts w:hint="eastAsia"/>
                <w:sz w:val="32"/>
                <w:szCs w:val="36"/>
              </w:rPr>
              <w:t>广阳区万庄镇李孙洼小学</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t>廊坊市</w:t>
            </w:r>
            <w:r>
              <w:rPr>
                <w:rFonts w:hint="eastAsia"/>
              </w:rPr>
              <w:t>广阳区万庄镇李孙洼小学</w:t>
            </w:r>
          </w:p>
        </w:tc>
        <w:tc>
          <w:tcPr>
            <w:tcW w:w="5103" w:type="dxa"/>
            <w:tcBorders>
              <w:top w:val="nil"/>
              <w:left w:val="nil"/>
              <w:bottom w:val="nil"/>
              <w:right w:val="nil"/>
            </w:tcBorders>
            <w:shd w:val="clear" w:color="auto" w:fill="auto"/>
            <w:noWrap/>
            <w:vAlign w:val="center"/>
          </w:tcPr>
          <w:p>
            <w:pPr>
              <w:widowControl/>
              <w:spacing w:line="584" w:lineRule="exact"/>
              <w:ind w:firstLine="1430" w:firstLineChars="65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F6018"/>
    <w:rsid w:val="001401FD"/>
    <w:rsid w:val="0025632D"/>
    <w:rsid w:val="003059E0"/>
    <w:rsid w:val="00415AC0"/>
    <w:rsid w:val="004A1EFE"/>
    <w:rsid w:val="004A54AA"/>
    <w:rsid w:val="004D2157"/>
    <w:rsid w:val="005E6998"/>
    <w:rsid w:val="00773185"/>
    <w:rsid w:val="00944233"/>
    <w:rsid w:val="00B40732"/>
    <w:rsid w:val="00B80935"/>
    <w:rsid w:val="00D347CC"/>
    <w:rsid w:val="00D8292F"/>
    <w:rsid w:val="00DC72B4"/>
    <w:rsid w:val="00E33707"/>
    <w:rsid w:val="03835ABD"/>
    <w:rsid w:val="064B7681"/>
    <w:rsid w:val="06EB17BD"/>
    <w:rsid w:val="077F0D9F"/>
    <w:rsid w:val="08A22FB0"/>
    <w:rsid w:val="0C814902"/>
    <w:rsid w:val="0CEC1180"/>
    <w:rsid w:val="16047B61"/>
    <w:rsid w:val="16BC1C2B"/>
    <w:rsid w:val="17703CFF"/>
    <w:rsid w:val="1ACC3887"/>
    <w:rsid w:val="1E8C0EA5"/>
    <w:rsid w:val="1FBC739C"/>
    <w:rsid w:val="291166BB"/>
    <w:rsid w:val="2B3E79F5"/>
    <w:rsid w:val="2F2F3467"/>
    <w:rsid w:val="354B32C5"/>
    <w:rsid w:val="364E0885"/>
    <w:rsid w:val="40D5422C"/>
    <w:rsid w:val="4256495C"/>
    <w:rsid w:val="42615727"/>
    <w:rsid w:val="50373AF5"/>
    <w:rsid w:val="545038D9"/>
    <w:rsid w:val="549F2A90"/>
    <w:rsid w:val="56463E40"/>
    <w:rsid w:val="5FE64018"/>
    <w:rsid w:val="61AF246D"/>
    <w:rsid w:val="69C7690D"/>
    <w:rsid w:val="6F59146C"/>
    <w:rsid w:val="70BF7D21"/>
    <w:rsid w:val="73693C55"/>
    <w:rsid w:val="7542340B"/>
    <w:rsid w:val="782C0244"/>
    <w:rsid w:val="7F055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885</Words>
  <Characters>5050</Characters>
  <Lines>42</Lines>
  <Paragraphs>11</Paragraphs>
  <TotalTime>0</TotalTime>
  <ScaleCrop>false</ScaleCrop>
  <LinksUpToDate>false</LinksUpToDate>
  <CharactersWithSpaces>5924</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2022-07-06T09:51:54Z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515E95054D55464BAF10D249DBB849C0</vt:lpwstr>
  </property>
</Properties>
</file>