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7" w:name="_GoBack"/>
      <w:r>
        <w:rPr>
          <w:rFonts w:hint="eastAsia" w:ascii="Times New Roman" w:hAnsi="Times New Roman" w:eastAsia="方正小标宋简体" w:cs="Times New Roman"/>
          <w:sz w:val="44"/>
          <w:szCs w:val="44"/>
        </w:rPr>
        <w:t>万庄镇中心小学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、做好上级部门交办的其他事项。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0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0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廊坊市广阳区万庄镇中小学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408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2年预算收入177.13万元，其中：一般公共预算收入177.13万元，基金预算收入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2年支出预算177.13万元，其中基本支出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万元；运转类其他及特定目标类项目支出177.13万元。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2年预算收支安排177.13万元，较20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1年预算增加177.13万元，其中：基本支出增加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万元，项目支出增加177.13万元，主要为</w:t>
      </w:r>
      <w:r>
        <w:rPr>
          <w:rFonts w:hint="eastAsia" w:ascii="Times New Roman" w:hAnsi="Times New Roman" w:eastAsia="仿宋_GB2312" w:cs="Times New Roman"/>
          <w:sz w:val="32"/>
          <w:szCs w:val="32"/>
        </w:rPr>
        <w:t>平房翻建</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2年，我学校运行经费共计安排0万元。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（一）总体绩效目标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 xml:space="preserve">1、发展农村义务教育  </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改善农村中小学办学条件。</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保障中小学公用经费水平逐年提高。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保障小学入学率。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2、改善学校办学条件</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3、提升特殊教育保障水平</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改善办学条件，配置基础教育资源</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4、开展教师教研及学生德育活动</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提高教师教学水平，调动教师积极性，培养专家型教师人才，提高学生的综合素质。</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（二）分项绩效目标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7、办人民满意的学校,教师、学生、家长整体满意度达到90%以上。</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（三）工作保障措施</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1、成立学校监督小组，监督学校工作，强化工作落实。</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r>
        <w:rPr>
          <w:rFonts w:hint="eastAsia" w:ascii="仿宋_GB2312" w:eastAsia="仿宋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045"/>
        <w:gridCol w:w="2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1.广阳区万庄镇中心小学对2022年在校学生884人，按照义务教育生均公用经费标准申请财政预算资金，通过合理、合规使用资金达到学校正常运转。</w:t>
            </w:r>
          </w:p>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2.保障义务教育教学运转，改善基本教学条件</w:t>
            </w:r>
          </w:p>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45"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953"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884人</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134"/>
        <w:gridCol w:w="2126"/>
        <w:gridCol w:w="2268"/>
        <w:gridCol w:w="2835"/>
        <w:gridCol w:w="4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1.广阳区万庄镇中心小学对2022年在校学生884人，按照义务教育生均公用经费标准申请财政预算资金，通过合理、合规使用资金达到学校正常运转。</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2.保障义务教育教学运转，改善基本教学条件</w:t>
            </w:r>
          </w:p>
          <w:p>
            <w:pPr>
              <w:spacing w:line="260" w:lineRule="exact"/>
              <w:rPr>
                <w:rFonts w:hint="eastAsia" w:ascii="仿宋_GB2312" w:hAnsi="仿宋_GB2312" w:eastAsia="仿宋_GB2312" w:cs="仿宋_GB2312"/>
                <w:b/>
              </w:rPr>
            </w:pPr>
            <w:r>
              <w:rPr>
                <w:rFonts w:hint="eastAsia" w:ascii="仿宋_GB2312" w:hAnsi="仿宋_GB2312" w:eastAsia="仿宋_GB2312" w:cs="仿宋_GB2312"/>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26"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268"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835"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38"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6"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6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2835"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884人</w:t>
            </w:r>
          </w:p>
        </w:tc>
        <w:tc>
          <w:tcPr>
            <w:tcW w:w="493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6"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6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2835"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93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735员</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r>
    </w:tbl>
    <w:p>
      <w:pPr>
        <w:ind w:firstLine="560" w:firstLineChars="200"/>
        <w:jc w:val="left"/>
        <w:outlineLvl w:val="1"/>
        <w:rPr>
          <w:rFonts w:hint="eastAsia" w:ascii="仿宋_GB2312" w:hAnsi="仿宋_GB2312" w:eastAsia="仿宋_GB2312" w:cs="仿宋_GB2312"/>
          <w:sz w:val="28"/>
        </w:rPr>
      </w:pPr>
    </w:p>
    <w:p>
      <w:pPr>
        <w:ind w:firstLine="640" w:firstLineChars="200"/>
        <w:jc w:val="left"/>
        <w:outlineLvl w:val="1"/>
        <w:rPr>
          <w:rFonts w:hint="eastAsia" w:ascii="仿宋_GB2312" w:hAnsi="仿宋_GB2312" w:eastAsia="仿宋_GB2312" w:cs="仿宋_GB2312"/>
          <w:sz w:val="32"/>
          <w:szCs w:val="32"/>
        </w:rPr>
      </w:pPr>
      <w:bookmarkStart w:id="1" w:name="_Toc_4_4_0000000006"/>
      <w:r>
        <w:rPr>
          <w:rFonts w:hint="eastAsia" w:ascii="仿宋_GB2312" w:hAnsi="仿宋_GB2312" w:eastAsia="仿宋_GB2312" w:cs="仿宋_GB2312"/>
          <w:color w:val="000000"/>
          <w:sz w:val="32"/>
          <w:szCs w:val="32"/>
        </w:rPr>
        <w:t>3.合同制教师人员经费绩效目标表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保障2022合同制教师 1人工资福利</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1人</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color w:val="000000"/>
          <w:sz w:val="32"/>
          <w:szCs w:val="32"/>
        </w:rPr>
      </w:pPr>
      <w:bookmarkStart w:id="2" w:name="_Toc_4_4_0000000007"/>
    </w:p>
    <w:p>
      <w:pPr>
        <w:ind w:firstLine="560"/>
        <w:outlineLvl w:val="3"/>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4.教育经费绩效目标表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28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≤6.56万元</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spacing w:line="280" w:lineRule="exact"/>
              <w:jc w:val="left"/>
              <w:rPr>
                <w:rFonts w:hint="eastAsia" w:ascii="仿宋_GB2312" w:hAnsi="仿宋_GB2312" w:eastAsia="仿宋_GB2312" w:cs="仿宋_GB2312"/>
              </w:rPr>
            </w:pPr>
          </w:p>
        </w:tc>
        <w:tc>
          <w:tcPr>
            <w:tcW w:w="1985" w:type="dxa"/>
            <w:shd w:val="clear" w:color="auto" w:fill="auto"/>
            <w:vAlign w:val="center"/>
          </w:tcPr>
          <w:p>
            <w:pPr>
              <w:spacing w:line="280" w:lineRule="exact"/>
              <w:jc w:val="left"/>
              <w:rPr>
                <w:rFonts w:hint="eastAsia" w:ascii="仿宋_GB2312" w:hAnsi="仿宋_GB2312" w:eastAsia="仿宋_GB2312" w:cs="仿宋_GB2312"/>
              </w:rPr>
            </w:pPr>
          </w:p>
        </w:tc>
        <w:tc>
          <w:tcPr>
            <w:tcW w:w="3402" w:type="dxa"/>
            <w:shd w:val="clear" w:color="auto" w:fill="auto"/>
            <w:vAlign w:val="center"/>
          </w:tcPr>
          <w:p>
            <w:pPr>
              <w:spacing w:line="280" w:lineRule="exact"/>
              <w:jc w:val="left"/>
              <w:rPr>
                <w:rFonts w:hint="eastAsia" w:ascii="仿宋_GB2312" w:hAnsi="仿宋_GB2312" w:eastAsia="仿宋_GB2312" w:cs="仿宋_GB2312"/>
              </w:rPr>
            </w:pPr>
          </w:p>
        </w:tc>
        <w:tc>
          <w:tcPr>
            <w:tcW w:w="1843" w:type="dxa"/>
            <w:shd w:val="clear" w:color="auto" w:fill="auto"/>
            <w:vAlign w:val="center"/>
          </w:tcPr>
          <w:p>
            <w:pPr>
              <w:spacing w:line="280" w:lineRule="exact"/>
              <w:jc w:val="left"/>
              <w:rPr>
                <w:rFonts w:hint="eastAsia" w:ascii="仿宋_GB2312" w:hAnsi="仿宋_GB2312" w:eastAsia="仿宋_GB2312" w:cs="仿宋_GB2312"/>
              </w:rPr>
            </w:pPr>
          </w:p>
        </w:tc>
        <w:tc>
          <w:tcPr>
            <w:tcW w:w="2155" w:type="dxa"/>
            <w:shd w:val="clear" w:color="auto" w:fill="auto"/>
            <w:vAlign w:val="center"/>
          </w:tcPr>
          <w:p>
            <w:pPr>
              <w:spacing w:line="28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3" w:name="_Toc_4_4_0000000008"/>
      <w:r>
        <w:rPr>
          <w:rFonts w:hint="eastAsia" w:ascii="仿宋_GB2312" w:hAnsi="仿宋_GB2312" w:eastAsia="仿宋_GB2312" w:cs="仿宋_GB2312"/>
          <w:color w:val="000000"/>
          <w:sz w:val="32"/>
          <w:szCs w:val="32"/>
        </w:rPr>
        <w:t>5.校园后排平房翻建资金绩效目标表</w:t>
      </w:r>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需要翻建房屋12间</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12间</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廊坊市广阳区教育和体育局关于拨付2021年学校校园后排平房翻建资金（[2021]86号）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84万元</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4" w:name="_Toc_4_4_0000000009"/>
      <w:r>
        <w:rPr>
          <w:rFonts w:hint="eastAsia" w:ascii="仿宋_GB2312" w:hAnsi="仿宋_GB2312" w:eastAsia="仿宋_GB2312" w:cs="仿宋_GB2312"/>
          <w:color w:val="000000"/>
          <w:sz w:val="32"/>
          <w:szCs w:val="32"/>
        </w:rPr>
        <w:t>6.幼儿园生均经费绩效目标表</w:t>
      </w:r>
      <w:bookmarkEnd w:id="4"/>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276"/>
        <w:gridCol w:w="2693"/>
        <w:gridCol w:w="3686"/>
        <w:gridCol w:w="1984"/>
        <w:gridCol w:w="3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spacing w:line="240" w:lineRule="exact"/>
              <w:rPr>
                <w:rFonts w:hint="eastAsia" w:ascii="仿宋_GB2312" w:hAnsi="仿宋_GB2312" w:eastAsia="仿宋_GB2312" w:cs="仿宋_GB2312"/>
                <w:b/>
              </w:rPr>
            </w:pPr>
            <w:r>
              <w:rPr>
                <w:rFonts w:hint="eastAsia" w:ascii="仿宋_GB2312" w:hAnsi="仿宋_GB2312" w:eastAsia="仿宋_GB2312" w:cs="仿宋_GB2312"/>
              </w:rPr>
              <w:t>1.保障幼儿园运转，改善基本办园条件，促进教育均衡发展及幼儿素质提高。万庄幼儿园对2022年在园幼儿240人，按照幼儿园生均公用经费标准申请财政预算资金，通过合理、合规使用资金达到保证幼儿园正常运转，改善办园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76"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693"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686"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84"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662"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240人</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6"/>
    </w:p>
    <w:p>
      <w:pPr>
        <w:jc w:val="left"/>
        <w:outlineLvl w:val="1"/>
        <w:rPr>
          <w:rFonts w:ascii="方正小标宋_GBK" w:eastAsia="方正小标宋_GBK" w:cs="Times New Roman"/>
          <w:sz w:val="32"/>
        </w:rPr>
      </w:pPr>
      <w:r>
        <w:rPr>
          <w:rFonts w:hint="eastAsia"/>
        </w:rPr>
        <w:t>[</w:t>
      </w:r>
      <w:r>
        <w:t>961001]</w:t>
      </w:r>
      <w:r>
        <w:rPr>
          <w:rFonts w:hint="eastAsia"/>
        </w:rPr>
        <w:t>廊坊市广阳区万庄镇中心小学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r>
              <w:rPr>
                <w:rFonts w:hint="eastAsia"/>
                <w:lang w:eastAsia="zh-CN"/>
              </w:rPr>
              <w:t>0</w:t>
            </w:r>
          </w:p>
        </w:tc>
        <w:tc>
          <w:tcPr>
            <w:tcW w:w="1134" w:type="dxa"/>
            <w:vAlign w:val="center"/>
          </w:tcPr>
          <w:p>
            <w:pPr>
              <w:pStyle w:val="18"/>
              <w:rPr>
                <w:lang w:eastAsia="zh-CN"/>
              </w:rPr>
            </w:pPr>
            <w:r>
              <w:rPr>
                <w:rFonts w:hint="eastAsia"/>
                <w:lang w:eastAsia="zh-CN"/>
              </w:rPr>
              <w:t>0</w:t>
            </w:r>
          </w:p>
        </w:tc>
        <w:tc>
          <w:tcPr>
            <w:tcW w:w="1134" w:type="dxa"/>
            <w:vAlign w:val="center"/>
          </w:tcPr>
          <w:p>
            <w:pPr>
              <w:pStyle w:val="18"/>
              <w:rPr>
                <w:lang w:eastAsia="zh-CN"/>
              </w:rPr>
            </w:pPr>
            <w:r>
              <w:rPr>
                <w:rFonts w:hint="eastAsia"/>
                <w:lang w:eastAsia="zh-CN"/>
              </w:rPr>
              <w:t>0</w:t>
            </w:r>
          </w:p>
        </w:tc>
        <w:tc>
          <w:tcPr>
            <w:tcW w:w="709" w:type="dxa"/>
            <w:vAlign w:val="center"/>
          </w:tcPr>
          <w:p>
            <w:pPr>
              <w:pStyle w:val="16"/>
              <w:rPr>
                <w:lang w:eastAsia="zh-CN"/>
              </w:rPr>
            </w:pPr>
            <w:r>
              <w:rPr>
                <w:rFonts w:hint="eastAsia"/>
                <w:lang w:eastAsia="zh-CN"/>
              </w:rPr>
              <w:t>0</w:t>
            </w:r>
          </w:p>
        </w:tc>
        <w:tc>
          <w:tcPr>
            <w:tcW w:w="850" w:type="dxa"/>
            <w:vAlign w:val="center"/>
          </w:tcPr>
          <w:p>
            <w:pPr>
              <w:pStyle w:val="17"/>
              <w:rPr>
                <w:lang w:eastAsia="zh-CN"/>
              </w:rPr>
            </w:pPr>
            <w:r>
              <w:rPr>
                <w:rFonts w:hint="eastAsia"/>
                <w:lang w:eastAsia="zh-CN"/>
              </w:rPr>
              <w:t>0</w:t>
            </w:r>
          </w:p>
        </w:tc>
        <w:tc>
          <w:tcPr>
            <w:tcW w:w="850"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上年末固定资产金额为0万元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广阳区万庄镇中心小学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广阳区万庄镇中心小学</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5C28"/>
    <w:rsid w:val="000230E6"/>
    <w:rsid w:val="000C5C03"/>
    <w:rsid w:val="000D2029"/>
    <w:rsid w:val="000F6018"/>
    <w:rsid w:val="0011521E"/>
    <w:rsid w:val="001346FB"/>
    <w:rsid w:val="001401C7"/>
    <w:rsid w:val="0019790C"/>
    <w:rsid w:val="001E6D12"/>
    <w:rsid w:val="0020452E"/>
    <w:rsid w:val="0025632D"/>
    <w:rsid w:val="002D3701"/>
    <w:rsid w:val="002E08CE"/>
    <w:rsid w:val="003059E0"/>
    <w:rsid w:val="0034204D"/>
    <w:rsid w:val="003421BB"/>
    <w:rsid w:val="003B0309"/>
    <w:rsid w:val="004A54AA"/>
    <w:rsid w:val="00501E2C"/>
    <w:rsid w:val="00570DE2"/>
    <w:rsid w:val="00576B19"/>
    <w:rsid w:val="0058027A"/>
    <w:rsid w:val="006A3563"/>
    <w:rsid w:val="006E6710"/>
    <w:rsid w:val="007C0729"/>
    <w:rsid w:val="00806EC4"/>
    <w:rsid w:val="00864573"/>
    <w:rsid w:val="00877B67"/>
    <w:rsid w:val="00944233"/>
    <w:rsid w:val="009647FF"/>
    <w:rsid w:val="00970806"/>
    <w:rsid w:val="009E7EA2"/>
    <w:rsid w:val="00A14ED8"/>
    <w:rsid w:val="00A54972"/>
    <w:rsid w:val="00A612BE"/>
    <w:rsid w:val="00AF33CF"/>
    <w:rsid w:val="00AF5169"/>
    <w:rsid w:val="00B40732"/>
    <w:rsid w:val="00B75F32"/>
    <w:rsid w:val="00B77023"/>
    <w:rsid w:val="00B80935"/>
    <w:rsid w:val="00BA0EF8"/>
    <w:rsid w:val="00C31924"/>
    <w:rsid w:val="00C42F68"/>
    <w:rsid w:val="00D347CC"/>
    <w:rsid w:val="00DC72B4"/>
    <w:rsid w:val="00DD236C"/>
    <w:rsid w:val="00E76B86"/>
    <w:rsid w:val="00EE3B47"/>
    <w:rsid w:val="00F07D11"/>
    <w:rsid w:val="00F370E1"/>
    <w:rsid w:val="00F61FD8"/>
    <w:rsid w:val="00F90A78"/>
    <w:rsid w:val="00FB1049"/>
    <w:rsid w:val="0C5C2E67"/>
    <w:rsid w:val="0CEC1180"/>
    <w:rsid w:val="0EC7081C"/>
    <w:rsid w:val="1A4328C4"/>
    <w:rsid w:val="3D390032"/>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12520-BF79-4AF7-B5E1-0DCDD6F412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1364</Words>
  <Characters>7781</Characters>
  <Lines>64</Lines>
  <Paragraphs>18</Paragraphs>
  <TotalTime>9284</TotalTime>
  <ScaleCrop>false</ScaleCrop>
  <LinksUpToDate>false</LinksUpToDate>
  <CharactersWithSpaces>9127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2022-07-07T08:10:17Z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F6994902EF2A44B38B6CBB81851E9D16</vt:lpwstr>
  </property>
</Properties>
</file>