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工业和信息化局2</w:t>
      </w:r>
      <w:r>
        <w:rPr>
          <w:rFonts w:ascii="Times New Roman" w:hAnsi="Times New Roman" w:eastAsia="方正小标宋简体" w:cs="Times New Roman"/>
          <w:sz w:val="44"/>
          <w:szCs w:val="44"/>
        </w:rPr>
        <w:t>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广阳区工业和信息化局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（一）提出全区新型工业化发展战略和政策,协调解决新型工业化进程中的重大问题,拟订并组织实施工业的发展规划,推进产业结构战略性调整和优化升级,推进信息化和工业化融合。</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制定并组织实施全区工业行业规划、计划和产业政策,提出优化产业布局、结构的政策建议,推进现代产业体系建设,贯彻落实工业和信息化法律法规规章，组织实施行业技术规范和标准,指导行业质量管理工作。</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（三）监测、分析全区工业运行态势,统计并发布相关信息,进行预测预警和信息引导,协调解决行业运行发展中的有关问题并提出政策建议；负责工业用电监测；负责工业应急管理、产业安全有关工作。</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（四）负责提出全区工业固定资产投资规模和方向，国家和省、市、区财政性建设资金安排的意见, 按区政府规定权限审批、核准、备案区规划内</w:t>
      </w:r>
      <w:r>
        <w:rPr>
          <w:rFonts w:ascii="Times New Roman" w:hAnsi="Times New Roman" w:eastAsia="仿宋_GB2312" w:cs="Times New Roman"/>
          <w:sz w:val="32"/>
          <w:szCs w:val="32"/>
        </w:rPr>
        <w:t>和年度计划规模内工业固定资产投资项目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负责工业企业技术改造投资项目核准、备案工作，</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对上述</w:t>
      </w:r>
      <w:r>
        <w:rPr>
          <w:rFonts w:hint="eastAsia" w:ascii="Times New Roman" w:hAnsi="Times New Roman" w:eastAsia="仿宋_GB2312" w:cs="Times New Roman"/>
          <w:sz w:val="32"/>
          <w:szCs w:val="32"/>
        </w:rPr>
        <w:t>工业固定资产投资</w:t>
      </w:r>
      <w:r>
        <w:rPr>
          <w:rFonts w:ascii="Times New Roman" w:hAnsi="Times New Roman" w:eastAsia="仿宋_GB2312" w:cs="Times New Roman"/>
          <w:sz w:val="32"/>
          <w:szCs w:val="32"/>
        </w:rPr>
        <w:t>项目招标投标活动依法实施监督。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（五）负责对中小企业和民营经济促进工作进行指导、综合协调和监督检查，会同有关部门拟订促进中小企业发展和民营经济发展的相关政策和措施并组织实施，协调解决有关重大问题。</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贯彻落实国家政策和标准,拟订高技术产业中涉及生物医药、新材料、信息产业等规划并组织实施;指导行业技术创新和技术进步,以先进适用技术改造提升传统产业;推进实施有关国家和省、市、区科技重大专项,推进相关科研成果产业化,推动全区软件业、电子信息制造业和新兴产业发展。</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区振兴装备制造业的组织协调,贯彻执行国家、省、市重大技术装备发展和自主创新规划、政策,依托国家和省、市、区重点工程建设协调有关重大专项的实施,推进重大技术装备国产化,指导引进重大技术装备的消化创新。</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（八）拟订并组织实施全区工业能源节约和资源综合利用促进政策,参与拟订能源节约和资源综合利用促进规划,组织协调相关重大示范工程和新产品、新技术、新设备、新材料的推广应用。</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（九）推进全区工业体制改革和管理创新,提高行业综合素质和核心竞争力,指导工业行业加强安全生产管理，负责民爆行业生产流通的监督管理和安全生产工作。</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（十）开展工业、中小企业的对外合作与交流。</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（十一）承担履行《禁止化学武器公约》的组织协调工作。</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（十二）承担盐业行业管理工作。</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（十三）承办区委、区政府交办的其他任务。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20"/>
        <w:gridCol w:w="1128"/>
        <w:gridCol w:w="1269"/>
        <w:gridCol w:w="2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0" w:hRule="atLeast"/>
          <w:tblHeader/>
          <w:jc w:val="center"/>
        </w:trPr>
        <w:tc>
          <w:tcPr>
            <w:tcW w:w="442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2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6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88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tblHeader/>
          <w:jc w:val="center"/>
        </w:trPr>
        <w:tc>
          <w:tcPr>
            <w:tcW w:w="4420" w:type="dxa"/>
            <w:vMerge w:val="continue"/>
            <w:shd w:val="clear" w:color="auto" w:fill="auto"/>
            <w:vAlign w:val="center"/>
          </w:tcPr>
          <w:p/>
        </w:tc>
        <w:tc>
          <w:tcPr>
            <w:tcW w:w="1128" w:type="dxa"/>
            <w:vMerge w:val="continue"/>
            <w:shd w:val="clear" w:color="auto" w:fill="auto"/>
            <w:vAlign w:val="center"/>
          </w:tcPr>
          <w:p/>
        </w:tc>
        <w:tc>
          <w:tcPr>
            <w:tcW w:w="1269" w:type="dxa"/>
            <w:vMerge w:val="continue"/>
            <w:shd w:val="clear" w:color="auto" w:fill="auto"/>
            <w:vAlign w:val="center"/>
          </w:tcPr>
          <w:p/>
        </w:tc>
        <w:tc>
          <w:tcPr>
            <w:tcW w:w="288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0" w:hRule="atLeast"/>
          <w:jc w:val="center"/>
        </w:trPr>
        <w:tc>
          <w:tcPr>
            <w:tcW w:w="44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廊坊市</w:t>
            </w:r>
            <w:r>
              <w:rPr>
                <w:rFonts w:hint="eastAsia" w:ascii="Times New Roman" w:hAnsi="Times New Roman" w:eastAsia="仿宋_GB2312" w:cs="Times New Roman"/>
                <w:b/>
              </w:rPr>
              <w:t>广阳区工业和信息化局</w:t>
            </w:r>
          </w:p>
        </w:tc>
        <w:tc>
          <w:tcPr>
            <w:tcW w:w="11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机关</w:t>
            </w:r>
          </w:p>
        </w:tc>
        <w:tc>
          <w:tcPr>
            <w:tcW w:w="126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8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0" w:hRule="atLeast"/>
          <w:jc w:val="center"/>
        </w:trPr>
        <w:tc>
          <w:tcPr>
            <w:tcW w:w="4420" w:type="dxa"/>
            <w:shd w:val="clear" w:color="auto" w:fill="auto"/>
            <w:vAlign w:val="center"/>
          </w:tcPr>
          <w:p>
            <w:pPr>
              <w:spacing w:line="584" w:lineRule="exact"/>
              <w:jc w:val="left"/>
              <w:rPr>
                <w:rFonts w:ascii="Times New Roman" w:hAnsi="Times New Roman" w:eastAsia="仿宋_GB2312" w:cs="Times New Roman"/>
              </w:rPr>
            </w:pPr>
          </w:p>
        </w:tc>
        <w:tc>
          <w:tcPr>
            <w:tcW w:w="1128" w:type="dxa"/>
            <w:shd w:val="clear" w:color="auto" w:fill="auto"/>
            <w:vAlign w:val="center"/>
          </w:tcPr>
          <w:p>
            <w:pPr>
              <w:spacing w:line="584" w:lineRule="exact"/>
              <w:jc w:val="center"/>
              <w:rPr>
                <w:rFonts w:ascii="Times New Roman" w:hAnsi="Times New Roman" w:eastAsia="仿宋_GB2312" w:cs="Times New Roman"/>
              </w:rPr>
            </w:pPr>
          </w:p>
        </w:tc>
        <w:tc>
          <w:tcPr>
            <w:tcW w:w="1269" w:type="dxa"/>
            <w:shd w:val="clear" w:color="auto" w:fill="auto"/>
            <w:vAlign w:val="center"/>
          </w:tcPr>
          <w:p>
            <w:pPr>
              <w:spacing w:line="584" w:lineRule="exact"/>
              <w:jc w:val="center"/>
              <w:rPr>
                <w:rFonts w:ascii="Times New Roman" w:hAnsi="Times New Roman" w:eastAsia="仿宋_GB2312" w:cs="Times New Roman"/>
              </w:rPr>
            </w:pPr>
          </w:p>
        </w:tc>
        <w:tc>
          <w:tcPr>
            <w:tcW w:w="2887"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广阳区工业和信息化局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269.69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26</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.69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广阳区工业和信息化局2022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26</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19</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.69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175.92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23</w:t>
      </w:r>
      <w:r>
        <w:rPr>
          <w:rFonts w:hint="eastAsia" w:ascii="Times New Roman" w:hAnsi="Times New Roman" w:eastAsia="仿宋_GB2312" w:cs="Times New Roman"/>
          <w:sz w:val="32"/>
          <w:szCs w:val="32"/>
        </w:rPr>
        <w:t>.77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70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26</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.69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62.34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.66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人员退休减少支出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70</w:t>
      </w:r>
      <w:r>
        <w:rPr>
          <w:rFonts w:ascii="Times New Roman" w:hAnsi="Times New Roman" w:eastAsia="仿宋_GB2312" w:cs="Times New Roman"/>
          <w:sz w:val="32"/>
          <w:szCs w:val="32"/>
        </w:rPr>
        <w:t>万元，主要为规下转规上工业企业奖补资金项目支出。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23.77</w:t>
      </w:r>
      <w:r>
        <w:rPr>
          <w:rFonts w:ascii="Times New Roman" w:hAnsi="Times New Roman" w:eastAsia="仿宋_GB2312" w:cs="Times New Roman"/>
          <w:sz w:val="32"/>
          <w:szCs w:val="32"/>
        </w:rPr>
        <w:t>万元，主要用于廊坊市</w:t>
      </w:r>
      <w:r>
        <w:rPr>
          <w:rFonts w:hint="eastAsia" w:ascii="Times New Roman" w:hAnsi="Times New Roman" w:eastAsia="仿宋_GB2312" w:cs="Times New Roman"/>
          <w:sz w:val="32"/>
          <w:szCs w:val="32"/>
        </w:rPr>
        <w:t>广阳区工业和信息化局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000000" w:themeColor="text1"/>
          <w:sz w:val="32"/>
          <w:szCs w:val="32"/>
        </w:rPr>
        <w:t>持平</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rPr>
        <w:t>无增减变化。</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rPr>
        <w:t>2022年，持续推动经济稳定增长。针对重点规上工业企业，全力做到抓提升、促增长。规上工业增加值增速争取完成6%左右，工业固定资产投资增速争取完成7%左右，工业技改投资增速争取完成7%左右，净增规上工业企业3家。针对冀北电力廊坊公司、廊坊热电厂等重点企业切实加强联系、密切沟通，当好企业的参谋助手、做好企业的后勤保障，全力以赴推动重点企业稳增长、保增速。</w:t>
      </w:r>
    </w:p>
    <w:p>
      <w:pPr>
        <w:keepNext w:val="0"/>
        <w:keepLines w:val="0"/>
        <w:pageBreakBefore w:val="0"/>
        <w:widowControl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rPr>
        <w:t>1</w:t>
      </w:r>
      <w:r>
        <w:rPr>
          <w:rFonts w:ascii="仿宋_GB2312" w:eastAsia="仿宋_GB2312" w:cs="Times New Roman"/>
          <w:sz w:val="32"/>
          <w:szCs w:val="32"/>
        </w:rPr>
        <w:t>、人员类支出绩效目标主要用于人员工资福利等支出，社会保障缴纳，进一步增强干部职工的归属感，保障办公正常运转。</w:t>
      </w:r>
      <w:r>
        <w:rPr>
          <w:rFonts w:ascii="仿宋_GB2312" w:eastAsia="仿宋_GB2312" w:cs="Times New Roman"/>
          <w:sz w:val="32"/>
          <w:szCs w:val="32"/>
        </w:rPr>
        <w:tab/>
      </w:r>
      <w:r>
        <w:rPr>
          <w:rFonts w:ascii="仿宋_GB2312" w:eastAsia="仿宋_GB2312" w:cs="Times New Roman"/>
          <w:sz w:val="32"/>
          <w:szCs w:val="32"/>
        </w:rPr>
        <w:tab/>
      </w:r>
      <w:r>
        <w:rPr>
          <w:rFonts w:ascii="仿宋_GB2312" w:eastAsia="仿宋_GB2312" w:cs="Times New Roman"/>
          <w:sz w:val="32"/>
          <w:szCs w:val="32"/>
        </w:rPr>
        <w:tab/>
      </w:r>
      <w:r>
        <w:rPr>
          <w:rFonts w:hint="eastAsia" w:ascii="仿宋_GB2312" w:eastAsia="仿宋_GB2312" w:cs="Times New Roman"/>
          <w:sz w:val="32"/>
          <w:szCs w:val="32"/>
        </w:rPr>
        <w:t xml:space="preserve"> </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数量指标</w:t>
      </w:r>
      <w:r>
        <w:rPr>
          <w:rFonts w:ascii="仿宋_GB2312" w:eastAsia="仿宋_GB2312" w:cs="Times New Roman"/>
          <w:sz w:val="32"/>
          <w:szCs w:val="32"/>
        </w:rPr>
        <w:tab/>
      </w:r>
      <w:r>
        <w:rPr>
          <w:rFonts w:ascii="仿宋_GB2312" w:eastAsia="仿宋_GB2312" w:cs="Times New Roman"/>
          <w:sz w:val="32"/>
          <w:szCs w:val="32"/>
        </w:rPr>
        <w:t>保障单位实有人数的各项工资、保险的发放缴纳</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质量指标</w:t>
      </w:r>
      <w:r>
        <w:rPr>
          <w:rFonts w:ascii="仿宋_GB2312" w:eastAsia="仿宋_GB2312" w:cs="Times New Roman"/>
          <w:sz w:val="32"/>
          <w:szCs w:val="32"/>
        </w:rPr>
        <w:tab/>
      </w:r>
      <w:r>
        <w:rPr>
          <w:rFonts w:ascii="仿宋_GB2312" w:eastAsia="仿宋_GB2312" w:cs="Times New Roman"/>
          <w:sz w:val="32"/>
          <w:szCs w:val="32"/>
        </w:rPr>
        <w:t>社会保障准确缴纳</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时效指标</w:t>
      </w:r>
      <w:r>
        <w:rPr>
          <w:rFonts w:ascii="仿宋_GB2312" w:eastAsia="仿宋_GB2312" w:cs="Times New Roman"/>
          <w:sz w:val="32"/>
          <w:szCs w:val="32"/>
        </w:rPr>
        <w:tab/>
      </w:r>
      <w:r>
        <w:rPr>
          <w:rFonts w:ascii="仿宋_GB2312" w:eastAsia="仿宋_GB2312" w:cs="Times New Roman"/>
          <w:sz w:val="32"/>
          <w:szCs w:val="32"/>
        </w:rPr>
        <w:t>社会保障及时性缴纳</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成本指标</w:t>
      </w:r>
      <w:r>
        <w:rPr>
          <w:rFonts w:ascii="仿宋_GB2312" w:eastAsia="仿宋_GB2312" w:cs="Times New Roman"/>
          <w:sz w:val="32"/>
          <w:szCs w:val="32"/>
        </w:rPr>
        <w:tab/>
      </w:r>
      <w:r>
        <w:rPr>
          <w:rFonts w:ascii="仿宋_GB2312" w:eastAsia="仿宋_GB2312" w:cs="Times New Roman"/>
          <w:sz w:val="32"/>
          <w:szCs w:val="32"/>
        </w:rPr>
        <w:t>严格按照标准缴纳社会保障业务。</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rPr>
        <w:t>2</w:t>
      </w:r>
      <w:r>
        <w:rPr>
          <w:rFonts w:ascii="仿宋_GB2312" w:eastAsia="仿宋_GB2312" w:cs="Times New Roman"/>
          <w:sz w:val="32"/>
          <w:szCs w:val="32"/>
        </w:rPr>
        <w:t>、公用类支出绩效目标主要是经费保障工作，保障办公正常运转。</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数量指标</w:t>
      </w:r>
      <w:r>
        <w:rPr>
          <w:rFonts w:ascii="仿宋_GB2312" w:eastAsia="仿宋_GB2312" w:cs="Times New Roman"/>
          <w:sz w:val="32"/>
          <w:szCs w:val="32"/>
        </w:rPr>
        <w:tab/>
      </w:r>
      <w:r>
        <w:rPr>
          <w:rFonts w:ascii="仿宋_GB2312" w:eastAsia="仿宋_GB2312" w:cs="Times New Roman"/>
          <w:sz w:val="32"/>
          <w:szCs w:val="32"/>
        </w:rPr>
        <w:t>保障单位实有人数的办公。</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质量指标</w:t>
      </w:r>
      <w:r>
        <w:rPr>
          <w:rFonts w:ascii="仿宋_GB2312" w:eastAsia="仿宋_GB2312" w:cs="Times New Roman"/>
          <w:sz w:val="32"/>
          <w:szCs w:val="32"/>
        </w:rPr>
        <w:tab/>
      </w:r>
      <w:r>
        <w:rPr>
          <w:rFonts w:ascii="仿宋_GB2312" w:eastAsia="仿宋_GB2312" w:cs="Times New Roman"/>
          <w:sz w:val="32"/>
          <w:szCs w:val="32"/>
        </w:rPr>
        <w:t>保障单位的运转保障次第</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时效指标</w:t>
      </w:r>
      <w:r>
        <w:rPr>
          <w:rFonts w:ascii="仿宋_GB2312" w:eastAsia="仿宋_GB2312" w:cs="Times New Roman"/>
          <w:sz w:val="32"/>
          <w:szCs w:val="32"/>
        </w:rPr>
        <w:tab/>
      </w:r>
      <w:r>
        <w:rPr>
          <w:rFonts w:ascii="仿宋_GB2312" w:eastAsia="仿宋_GB2312" w:cs="Times New Roman"/>
          <w:sz w:val="32"/>
          <w:szCs w:val="32"/>
        </w:rPr>
        <w:t>及时保障日常工作经费的支出。</w:t>
      </w:r>
    </w:p>
    <w:p>
      <w:pPr>
        <w:keepNext w:val="0"/>
        <w:keepLines w:val="0"/>
        <w:pageBreakBefore w:val="0"/>
        <w:widowControl w:val="0"/>
        <w:kinsoku/>
        <w:wordWrap/>
        <w:topLinePunct w:val="0"/>
        <w:autoSpaceDE/>
        <w:autoSpaceDN/>
        <w:bidi w:val="0"/>
        <w:spacing w:line="584"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成本指标</w:t>
      </w:r>
      <w:r>
        <w:rPr>
          <w:rFonts w:ascii="仿宋_GB2312" w:eastAsia="仿宋_GB2312" w:cs="Times New Roman"/>
          <w:sz w:val="32"/>
          <w:szCs w:val="32"/>
        </w:rPr>
        <w:tab/>
      </w:r>
      <w:r>
        <w:rPr>
          <w:rFonts w:ascii="仿宋_GB2312" w:eastAsia="仿宋_GB2312" w:cs="Times New Roman"/>
          <w:sz w:val="32"/>
          <w:szCs w:val="32"/>
        </w:rPr>
        <w:t>严格按照标准保障单位日常公用经费开支。</w:t>
      </w:r>
    </w:p>
    <w:p>
      <w:pPr>
        <w:keepNext w:val="0"/>
        <w:keepLines w:val="0"/>
        <w:pageBreakBefore w:val="0"/>
        <w:widowControl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提出全区新型工业化发展战略和政策,协调解决新型工业化进程中的重大问题,拟订并组织实施工业的发展规划,推进产业结构战略性调整和优化升级,推进信息化和工业化融合。</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制定并组织实施全区工业行业规划、计划和产业政策,提出优化产业布局、结构的政策建议,推进现代产业体系建设,贯彻落实工业和信息化法律法规规章，组织实施行业技术规范和标准,指导行业质量管理工作。</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监测、分析全区工业运行态势,统计并发布相关信息,进行预测预警和信息引导,协调解决行业运行发展中的有关问题并提出政策建议；负责工业用电监测；负责工业应急管理、产业安全有关工作。</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负责提出全区工业固定资产投资规模和方向，国家和省、市、区财政性建设资金安排的意见, 按区政府规定权限审批、核准、备案区规划内和年度计划规模内工业固定资产投资项目；</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负责工业企业技术改造投资项目核准、备案工作，并对上述工业固定资产投资项目招标投标活动依法实施监督。  负责对中小企业和民营经济促进工作进行指导、综合协调和监督检查，会同有关部门拟订促进中小企业发展和民营经济发展的相关政策和措施并组织实施，协调解决有关重大问题。</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贯彻落实国家政策和标准,拟订高技术产业中涉及生物医药、新材料、信息产业等规划并组织实施;指导行业技术创新和技术进步,以先进适用技术改造提升传统产业;推进实施有关国家和省、市、区科技重大专项,推进相关科研成果产业化,推动全区软件业、电子信息制造业和新兴产业发展。</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负责全区振兴装备制造业的组织协调,贯彻执行国家、省、市重大技术装备发展和自主创新规划、政策,依托国家和省、市、区重点工程建设协调有关重大专项的实施,推进重大技术装备国产化,指导引进重大技术装备的消化创新。</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拟订并组织实施全区工业能源节约和资源综合利用促进政策,参与拟订能源节约和资源综合利用促进规划,组织协调相关重大示范工程和新产品、新技术、新设备、新材料的推广应用。</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推进全区工业体制改革和管理创新,提高行业综合素质和核心竞争力,指导工业行业加强安全生产管理，负责民爆行业生产流通的监督管理和安全生产工作。</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开展工业、中小企业的对外合作与交流。</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承担履行《禁止化学武器公约》的组织协调工作。</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27" w:firstLineChars="196"/>
        <w:jc w:val="left"/>
        <w:textAlignment w:val="auto"/>
        <w:rPr>
          <w:rFonts w:ascii="仿宋_GB2312" w:eastAsia="仿宋_GB2312" w:cs="Times New Roman"/>
          <w:sz w:val="32"/>
          <w:szCs w:val="32"/>
        </w:rPr>
      </w:pPr>
      <w:r>
        <w:rPr>
          <w:rFonts w:ascii="仿宋_GB2312" w:eastAsia="仿宋_GB2312" w:cs="Times New Roman"/>
          <w:sz w:val="32"/>
          <w:szCs w:val="32"/>
        </w:rPr>
        <w:t>承担盐业行业管理工作。</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7"/>
        <w:gridCol w:w="851"/>
        <w:gridCol w:w="1559"/>
        <w:gridCol w:w="2962"/>
        <w:gridCol w:w="2693"/>
        <w:gridCol w:w="567"/>
        <w:gridCol w:w="709"/>
        <w:gridCol w:w="850"/>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5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5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9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6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126"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7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57" w:type="dxa"/>
            <w:vMerge w:val="continue"/>
            <w:tcBorders>
              <w:tl2br w:val="nil"/>
              <w:tr2bl w:val="nil"/>
            </w:tcBorders>
            <w:vAlign w:val="center"/>
          </w:tcPr>
          <w:p/>
        </w:tc>
        <w:tc>
          <w:tcPr>
            <w:tcW w:w="851" w:type="dxa"/>
            <w:vMerge w:val="continue"/>
            <w:tcBorders>
              <w:tl2br w:val="nil"/>
              <w:tr2bl w:val="nil"/>
            </w:tcBorders>
            <w:vAlign w:val="center"/>
          </w:tcPr>
          <w:p/>
        </w:tc>
        <w:tc>
          <w:tcPr>
            <w:tcW w:w="1559" w:type="dxa"/>
            <w:vMerge w:val="continue"/>
            <w:tcBorders>
              <w:tl2br w:val="nil"/>
              <w:tr2bl w:val="nil"/>
            </w:tcBorders>
            <w:vAlign w:val="center"/>
          </w:tcPr>
          <w:p/>
        </w:tc>
        <w:tc>
          <w:tcPr>
            <w:tcW w:w="2962" w:type="dxa"/>
            <w:vMerge w:val="continue"/>
            <w:tcBorders>
              <w:tl2br w:val="nil"/>
              <w:tr2bl w:val="nil"/>
            </w:tcBorders>
            <w:vAlign w:val="center"/>
          </w:tcPr>
          <w:p/>
        </w:tc>
        <w:tc>
          <w:tcPr>
            <w:tcW w:w="2693" w:type="dxa"/>
            <w:vMerge w:val="continue"/>
            <w:tcBorders>
              <w:tl2br w:val="nil"/>
              <w:tr2bl w:val="nil"/>
            </w:tcBorders>
            <w:vAlign w:val="center"/>
          </w:tcP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74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5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 xml:space="preserve"> 保障人数</w:t>
            </w:r>
          </w:p>
        </w:tc>
        <w:tc>
          <w:tcPr>
            <w:tcW w:w="29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完成绩效目标得10分，未完成的同比例扣除。</w:t>
            </w:r>
          </w:p>
        </w:tc>
        <w:tc>
          <w:tcPr>
            <w:tcW w:w="2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保障人数</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8</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人</w:t>
            </w:r>
          </w:p>
        </w:tc>
        <w:tc>
          <w:tcPr>
            <w:tcW w:w="174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单位实有人数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5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社会保障缴纳的准确性</w:t>
            </w:r>
          </w:p>
        </w:tc>
        <w:tc>
          <w:tcPr>
            <w:tcW w:w="29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完成绩效目标得10分，未完成的同比例扣除。</w:t>
            </w:r>
          </w:p>
        </w:tc>
        <w:tc>
          <w:tcPr>
            <w:tcW w:w="2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社会保障缴纳的准确性</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174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社保补贴总额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5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经费保障及时性</w:t>
            </w:r>
          </w:p>
        </w:tc>
        <w:tc>
          <w:tcPr>
            <w:tcW w:w="29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此项20分，未保障正常运作不得分</w:t>
            </w:r>
          </w:p>
        </w:tc>
        <w:tc>
          <w:tcPr>
            <w:tcW w:w="2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及时保障各项日常办公需要</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709" w:type="dxa"/>
            <w:tcBorders>
              <w:tl2br w:val="nil"/>
              <w:tr2bl w:val="nil"/>
            </w:tcBorders>
            <w:vAlign w:val="center"/>
          </w:tcPr>
          <w:p>
            <w:pPr>
              <w:widowControl/>
              <w:adjustRightInd w:val="0"/>
              <w:snapToGrid w:val="0"/>
              <w:jc w:val="center"/>
              <w:rPr>
                <w:rFonts w:ascii="方正书宋_GBK" w:eastAsia="方正书宋_GBK"/>
              </w:rPr>
            </w:pP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及时保障</w:t>
            </w:r>
          </w:p>
        </w:tc>
        <w:tc>
          <w:tcPr>
            <w:tcW w:w="174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5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日常公用经费开支标准</w:t>
            </w:r>
          </w:p>
        </w:tc>
        <w:tc>
          <w:tcPr>
            <w:tcW w:w="29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此项20分，未及时缴纳不得分</w:t>
            </w:r>
          </w:p>
        </w:tc>
        <w:tc>
          <w:tcPr>
            <w:tcW w:w="2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办公费、水电费、交通费、会议费、工会经费、招待费及其他公用经费的开支标准</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709" w:type="dxa"/>
            <w:tcBorders>
              <w:tl2br w:val="nil"/>
              <w:tr2bl w:val="nil"/>
            </w:tcBorders>
            <w:vAlign w:val="center"/>
          </w:tcPr>
          <w:p>
            <w:pPr>
              <w:widowControl/>
              <w:adjustRightInd w:val="0"/>
              <w:snapToGrid w:val="0"/>
              <w:jc w:val="center"/>
              <w:rPr>
                <w:rFonts w:ascii="方正书宋_GBK" w:eastAsia="方正书宋_GBK"/>
              </w:rPr>
            </w:pP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按统一规定执行</w:t>
            </w:r>
          </w:p>
        </w:tc>
        <w:tc>
          <w:tcPr>
            <w:tcW w:w="174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按统一规定执行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5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加强工作人员归属感，保持干部队伍稳定</w:t>
            </w:r>
          </w:p>
        </w:tc>
        <w:tc>
          <w:tcPr>
            <w:tcW w:w="29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完成绩效目标得30分，未完成的同比例扣除。</w:t>
            </w:r>
          </w:p>
        </w:tc>
        <w:tc>
          <w:tcPr>
            <w:tcW w:w="2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加强工作人员归属感，保持干部队伍稳定</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709" w:type="dxa"/>
            <w:tcBorders>
              <w:tl2br w:val="nil"/>
              <w:tr2bl w:val="nil"/>
            </w:tcBorders>
            <w:vAlign w:val="center"/>
          </w:tcPr>
          <w:p>
            <w:pPr>
              <w:widowControl/>
              <w:adjustRightInd w:val="0"/>
              <w:snapToGrid w:val="0"/>
              <w:jc w:val="center"/>
              <w:rPr>
                <w:rFonts w:ascii="方正书宋_GBK" w:eastAsia="方正书宋_GBK"/>
              </w:rPr>
            </w:pP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维持单位正常运转</w:t>
            </w:r>
          </w:p>
        </w:tc>
        <w:tc>
          <w:tcPr>
            <w:tcW w:w="174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单位正常运转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5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59"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单位人员满意度</w:t>
            </w:r>
          </w:p>
        </w:tc>
        <w:tc>
          <w:tcPr>
            <w:tcW w:w="296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满意度为90%（包含90%）得10分，90%以下酌情扣分。</w:t>
            </w:r>
          </w:p>
        </w:tc>
        <w:tc>
          <w:tcPr>
            <w:tcW w:w="269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单位人员的满意度</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70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w:t>
            </w:r>
          </w:p>
        </w:tc>
        <w:tc>
          <w:tcPr>
            <w:tcW w:w="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74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问询</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w:t>
      </w:r>
      <w:r>
        <w:rPr>
          <w:rFonts w:hint="eastAsia" w:ascii="仿宋_GB2312" w:hAnsi="仿宋_GB2312" w:eastAsia="仿宋_GB2312" w:cs="仿宋_GB2312"/>
          <w:kern w:val="0"/>
          <w:sz w:val="24"/>
          <w:szCs w:val="24"/>
          <w:lang w:eastAsia="uk-UA"/>
        </w:rPr>
        <w:t xml:space="preserve"> </w:t>
      </w:r>
      <w:r>
        <w:rPr>
          <w:rFonts w:hint="eastAsia" w:ascii="仿宋_GB2312" w:hAnsi="仿宋_GB2312" w:eastAsia="仿宋_GB2312" w:cs="仿宋_GB2312"/>
          <w:sz w:val="28"/>
        </w:rPr>
        <w:t>740001廊坊市广阳区工业和信息化局本级（规下转规上工业企业奖补资金）绩效目标表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5"/>
        <w:gridCol w:w="1701"/>
        <w:gridCol w:w="2552"/>
        <w:gridCol w:w="4110"/>
        <w:gridCol w:w="1276"/>
        <w:gridCol w:w="25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9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167" w:type="dxa"/>
            <w:gridSpan w:val="5"/>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1.通过给与企业补贴，极大鼓励企业工业设计能力和积极性，实现进一步提高了我区企业市场占有率。促进我省电子信息产业快速发展，壮大软件和信息技术服务业，提升产业市场竞争力</w:t>
            </w:r>
          </w:p>
          <w:p>
            <w:pPr>
              <w:spacing w:line="300" w:lineRule="exact"/>
              <w:rPr>
                <w:rFonts w:hint="eastAsia" w:ascii="仿宋_GB2312" w:hAnsi="仿宋_GB2312" w:eastAsia="仿宋_GB2312" w:cs="仿宋_GB2312"/>
              </w:rPr>
            </w:pPr>
            <w:r>
              <w:rPr>
                <w:rFonts w:hint="eastAsia" w:ascii="仿宋_GB2312" w:hAnsi="仿宋_GB2312" w:eastAsia="仿宋_GB2312" w:cs="仿宋_GB2312"/>
              </w:rPr>
              <w:t>2.通过项目的开展实现企业加快发展， 壮大广阳经济规模，提升经济总量，促进企业智能升级改造步伐，起到示范试点带头作用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9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70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55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411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27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52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895"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70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55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产业发展带动性</w:t>
            </w:r>
          </w:p>
        </w:tc>
        <w:tc>
          <w:tcPr>
            <w:tcW w:w="411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支持项目个数</w:t>
            </w:r>
          </w:p>
        </w:tc>
        <w:tc>
          <w:tcPr>
            <w:tcW w:w="127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1个</w:t>
            </w:r>
          </w:p>
        </w:tc>
        <w:tc>
          <w:tcPr>
            <w:tcW w:w="252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 办（2021）21号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2" w:hRule="atLeast"/>
          <w:jc w:val="center"/>
        </w:trPr>
        <w:tc>
          <w:tcPr>
            <w:tcW w:w="1895" w:type="dxa"/>
            <w:vMerge w:val="continue"/>
            <w:shd w:val="clear" w:color="auto" w:fill="auto"/>
            <w:vAlign w:val="center"/>
          </w:tcPr>
          <w:p>
            <w:pPr>
              <w:rPr>
                <w:rFonts w:hint="eastAsia" w:ascii="仿宋_GB2312" w:hAnsi="仿宋_GB2312" w:eastAsia="仿宋_GB2312" w:cs="仿宋_GB2312"/>
              </w:rPr>
            </w:pPr>
          </w:p>
        </w:tc>
        <w:tc>
          <w:tcPr>
            <w:tcW w:w="170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55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达到相关要求</w:t>
            </w:r>
          </w:p>
        </w:tc>
        <w:tc>
          <w:tcPr>
            <w:tcW w:w="411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资金管理规范，使用合规</w:t>
            </w:r>
          </w:p>
        </w:tc>
        <w:tc>
          <w:tcPr>
            <w:tcW w:w="127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按时</w:t>
            </w:r>
          </w:p>
        </w:tc>
        <w:tc>
          <w:tcPr>
            <w:tcW w:w="252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拨款凭证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vMerge w:val="continue"/>
            <w:shd w:val="clear" w:color="auto" w:fill="auto"/>
            <w:vAlign w:val="center"/>
          </w:tcPr>
          <w:p>
            <w:pPr>
              <w:rPr>
                <w:rFonts w:hint="eastAsia" w:ascii="仿宋_GB2312" w:hAnsi="仿宋_GB2312" w:eastAsia="仿宋_GB2312" w:cs="仿宋_GB2312"/>
              </w:rPr>
            </w:pPr>
          </w:p>
        </w:tc>
        <w:tc>
          <w:tcPr>
            <w:tcW w:w="170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55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专项资金按时拨付</w:t>
            </w:r>
          </w:p>
        </w:tc>
        <w:tc>
          <w:tcPr>
            <w:tcW w:w="411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专项资金按时拨付率</w:t>
            </w:r>
          </w:p>
        </w:tc>
        <w:tc>
          <w:tcPr>
            <w:tcW w:w="127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52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 办（2021）21号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vMerge w:val="continue"/>
            <w:shd w:val="clear" w:color="auto" w:fill="auto"/>
            <w:vAlign w:val="center"/>
          </w:tcPr>
          <w:p>
            <w:pPr>
              <w:rPr>
                <w:rFonts w:hint="eastAsia" w:ascii="仿宋_GB2312" w:hAnsi="仿宋_GB2312" w:eastAsia="仿宋_GB2312" w:cs="仿宋_GB2312"/>
              </w:rPr>
            </w:pPr>
          </w:p>
        </w:tc>
        <w:tc>
          <w:tcPr>
            <w:tcW w:w="170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55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项目补助金额</w:t>
            </w:r>
          </w:p>
        </w:tc>
        <w:tc>
          <w:tcPr>
            <w:tcW w:w="411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规下转规上工业企业专项资金</w:t>
            </w:r>
          </w:p>
        </w:tc>
        <w:tc>
          <w:tcPr>
            <w:tcW w:w="127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70万元</w:t>
            </w:r>
          </w:p>
        </w:tc>
        <w:tc>
          <w:tcPr>
            <w:tcW w:w="252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 办（2021）21号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170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255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工业企业升规入统积极性</w:t>
            </w:r>
          </w:p>
        </w:tc>
        <w:tc>
          <w:tcPr>
            <w:tcW w:w="411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引导和激励工业企业升规入统积极性提高</w:t>
            </w:r>
          </w:p>
        </w:tc>
        <w:tc>
          <w:tcPr>
            <w:tcW w:w="127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积极性提高</w:t>
            </w:r>
          </w:p>
        </w:tc>
        <w:tc>
          <w:tcPr>
            <w:tcW w:w="252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 办（2021）21号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vMerge w:val="continue"/>
            <w:shd w:val="clear" w:color="auto" w:fill="auto"/>
            <w:vAlign w:val="center"/>
          </w:tcPr>
          <w:p>
            <w:pPr>
              <w:rPr>
                <w:rFonts w:hint="eastAsia" w:ascii="仿宋_GB2312" w:hAnsi="仿宋_GB2312" w:eastAsia="仿宋_GB2312" w:cs="仿宋_GB2312"/>
              </w:rPr>
            </w:pPr>
          </w:p>
        </w:tc>
        <w:tc>
          <w:tcPr>
            <w:tcW w:w="170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55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促进工业和民营经济发展</w:t>
            </w:r>
          </w:p>
        </w:tc>
        <w:tc>
          <w:tcPr>
            <w:tcW w:w="411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促进和提升工业和民营经济发展</w:t>
            </w:r>
          </w:p>
        </w:tc>
        <w:tc>
          <w:tcPr>
            <w:tcW w:w="127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显著提升</w:t>
            </w:r>
          </w:p>
        </w:tc>
        <w:tc>
          <w:tcPr>
            <w:tcW w:w="252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 办（2021）21号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9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70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55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411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127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52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问询</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t>廊坊市</w:t>
      </w:r>
      <w:r>
        <w:rPr>
          <w:rFonts w:hint="eastAsia"/>
        </w:rPr>
        <w:t>广阳区工业和信息化局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广阳区工业和信息化局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36.17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36.17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293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18.17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326AB"/>
    <w:rsid w:val="00046E98"/>
    <w:rsid w:val="00083FA1"/>
    <w:rsid w:val="000E1305"/>
    <w:rsid w:val="000F6018"/>
    <w:rsid w:val="001735CD"/>
    <w:rsid w:val="0025632D"/>
    <w:rsid w:val="003059E0"/>
    <w:rsid w:val="00454A1B"/>
    <w:rsid w:val="004A54AA"/>
    <w:rsid w:val="004A58B2"/>
    <w:rsid w:val="005E63AD"/>
    <w:rsid w:val="00651EFA"/>
    <w:rsid w:val="007427DC"/>
    <w:rsid w:val="00813517"/>
    <w:rsid w:val="00822CD9"/>
    <w:rsid w:val="00836D03"/>
    <w:rsid w:val="00944233"/>
    <w:rsid w:val="00B15F8D"/>
    <w:rsid w:val="00B40732"/>
    <w:rsid w:val="00B80935"/>
    <w:rsid w:val="00D131E8"/>
    <w:rsid w:val="00D347CC"/>
    <w:rsid w:val="00DC72B4"/>
    <w:rsid w:val="00E345A3"/>
    <w:rsid w:val="00E5091F"/>
    <w:rsid w:val="00EB6752"/>
    <w:rsid w:val="00F65C0A"/>
    <w:rsid w:val="00FC2DF5"/>
    <w:rsid w:val="0CEC1180"/>
    <w:rsid w:val="1F1B402C"/>
    <w:rsid w:val="279F1896"/>
    <w:rsid w:val="4F3D4A35"/>
    <w:rsid w:val="5C336B49"/>
    <w:rsid w:val="73693C55"/>
    <w:rsid w:val="7CA936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93E89-F176-4F44-AF60-1A65D500D58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868</Words>
  <Characters>4952</Characters>
  <Lines>41</Lines>
  <Paragraphs>11</Paragraphs>
  <TotalTime>9059</TotalTime>
  <ScaleCrop>false</ScaleCrop>
  <LinksUpToDate>false</LinksUpToDate>
  <CharactersWithSpaces>5809</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2022-07-06T10:10:05Z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1EC3B051D77C45C59D0BAFC66697FC0A</vt:lpwstr>
  </property>
</Properties>
</file>