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河北廊坊</w:t>
      </w:r>
      <w:bookmarkStart w:id="3" w:name="_GoBack"/>
      <w:r>
        <w:rPr>
          <w:rFonts w:hint="eastAsia" w:ascii="Times New Roman" w:hAnsi="Times New Roman" w:eastAsia="方正小标宋简体" w:cs="Times New Roman"/>
          <w:sz w:val="44"/>
          <w:szCs w:val="44"/>
          <w:lang w:val="en-US" w:eastAsia="zh-CN"/>
        </w:rPr>
        <w:t>广阳经济开发区管理委员会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bookmarkEnd w:id="3"/>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河北廊坊广阳经济开发区管理委员会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shd w:val="clear" w:color="auto" w:fill="FFFFFF"/>
        <w:wordWrap w:val="0"/>
        <w:spacing w:line="600" w:lineRule="exact"/>
        <w:ind w:firstLine="482"/>
        <w:jc w:val="left"/>
        <w:rPr>
          <w:rFonts w:ascii="仿宋_GB2312" w:eastAsia="仿宋_GB2312" w:cs="宋体"/>
          <w:color w:val="000000"/>
          <w:sz w:val="32"/>
          <w:szCs w:val="32"/>
        </w:rPr>
      </w:pPr>
      <w:r>
        <w:rPr>
          <w:rFonts w:hint="eastAsia" w:ascii="仿宋_GB2312" w:eastAsia="仿宋_GB2312" w:cs="宋体"/>
          <w:color w:val="000000"/>
          <w:sz w:val="32"/>
          <w:szCs w:val="32"/>
        </w:rPr>
        <w:t>1、是贯彻执行党和国家的方针、政策、法律、法规和市、区人民政府的有关规定，制定产业区科技、经济、社会发展的规划、各项计划和产业区行政管理规定，并组织实施。</w:t>
      </w:r>
    </w:p>
    <w:p>
      <w:pPr>
        <w:widowControl/>
        <w:shd w:val="clear" w:color="auto" w:fill="FFFFFF"/>
        <w:wordWrap w:val="0"/>
        <w:spacing w:line="600" w:lineRule="exact"/>
        <w:ind w:firstLine="482"/>
        <w:jc w:val="left"/>
        <w:rPr>
          <w:rFonts w:ascii="仿宋_GB2312" w:eastAsia="仿宋_GB2312" w:cs="宋体"/>
          <w:color w:val="000000"/>
          <w:sz w:val="32"/>
          <w:szCs w:val="32"/>
        </w:rPr>
      </w:pPr>
      <w:r>
        <w:rPr>
          <w:rFonts w:hint="eastAsia" w:ascii="仿宋_GB2312" w:eastAsia="仿宋_GB2312" w:cs="宋体"/>
          <w:color w:val="000000"/>
          <w:sz w:val="32"/>
          <w:szCs w:val="32"/>
        </w:rPr>
        <w:t>2、是制定产业区招商引资政策，编制招商规划，发布对外招商项目；组织对外招商活动和对外经济技术合作。</w:t>
      </w:r>
    </w:p>
    <w:p>
      <w:pPr>
        <w:widowControl/>
        <w:shd w:val="clear" w:color="auto" w:fill="FFFFFF"/>
        <w:wordWrap w:val="0"/>
        <w:spacing w:line="600" w:lineRule="exact"/>
        <w:ind w:firstLine="482"/>
        <w:jc w:val="left"/>
        <w:rPr>
          <w:rFonts w:hint="eastAsia" w:ascii="仿宋_GB2312" w:eastAsia="仿宋_GB2312" w:cs="宋体"/>
          <w:color w:val="000000"/>
          <w:sz w:val="32"/>
          <w:szCs w:val="32"/>
        </w:rPr>
      </w:pPr>
      <w:r>
        <w:rPr>
          <w:rFonts w:hint="eastAsia" w:ascii="仿宋_GB2312" w:eastAsia="仿宋_GB2312" w:cs="宋体"/>
          <w:color w:val="000000"/>
          <w:sz w:val="32"/>
          <w:szCs w:val="32"/>
        </w:rPr>
        <w:t>3、是负责产业区建设用地的开发、利用和管理；负责产业区的城市建设和管理工作。</w:t>
      </w:r>
    </w:p>
    <w:p>
      <w:pPr>
        <w:autoSpaceDE w:val="0"/>
        <w:autoSpaceDN w:val="0"/>
        <w:adjustRightInd w:val="0"/>
        <w:spacing w:line="584" w:lineRule="exact"/>
        <w:jc w:val="left"/>
        <w:rPr>
          <w:rFonts w:ascii="Times New Roman" w:hAnsi="Times New Roman" w:eastAsia="楷体_GB2312" w:cs="Times New Roman"/>
          <w:b/>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r>
        <w:rPr>
          <w:rFonts w:hint="eastAsia" w:ascii="仿宋" w:hAnsi="仿宋" w:eastAsia="仿宋" w:cs="仿宋"/>
          <w:sz w:val="32"/>
          <w:szCs w:val="32"/>
        </w:rPr>
        <w:t>开发区内设机构6个</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其中行政机构5个，事业机构1个），</w:t>
      </w:r>
      <w:r>
        <w:rPr>
          <w:rFonts w:hint="eastAsia" w:ascii="仿宋" w:hAnsi="仿宋" w:eastAsia="仿宋" w:cs="仿宋"/>
          <w:sz w:val="32"/>
          <w:szCs w:val="32"/>
        </w:rPr>
        <w:t>分别为党政办公室、财政局、经济发展与招商合作局、规划建设局、行政审批局、社会事务综合服务管理中心。</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widowControl/>
              <w:spacing w:line="225" w:lineRule="atLeast"/>
              <w:jc w:val="center"/>
              <w:rPr>
                <w:rFonts w:hint="eastAsia" w:ascii="仿宋_GB2312" w:eastAsia="仿宋_GB2312" w:cs="宋体"/>
                <w:kern w:val="0"/>
                <w:sz w:val="32"/>
                <w:szCs w:val="32"/>
                <w:lang w:val="en-US" w:eastAsia="zh-CN"/>
              </w:rPr>
            </w:pPr>
            <w:r>
              <w:rPr>
                <w:rFonts w:hint="eastAsia" w:ascii="仿宋_GB2312" w:eastAsia="仿宋_GB2312" w:cs="宋体"/>
                <w:kern w:val="0"/>
                <w:sz w:val="32"/>
                <w:szCs w:val="32"/>
                <w:lang w:val="en-US" w:eastAsia="zh-CN"/>
              </w:rPr>
              <w:t>河北廊坊广阳经济开发区</w:t>
            </w:r>
          </w:p>
          <w:p>
            <w:pPr>
              <w:widowControl/>
              <w:spacing w:line="225" w:lineRule="atLeast"/>
              <w:jc w:val="center"/>
              <w:rPr>
                <w:rFonts w:ascii="Times New Roman" w:hAnsi="Times New Roman" w:eastAsia="仿宋_GB2312" w:cs="Times New Roman"/>
                <w:b/>
              </w:rPr>
            </w:pPr>
            <w:r>
              <w:rPr>
                <w:rFonts w:hint="eastAsia" w:ascii="仿宋_GB2312" w:eastAsia="仿宋_GB2312" w:cs="宋体"/>
                <w:kern w:val="0"/>
                <w:sz w:val="32"/>
                <w:szCs w:val="32"/>
                <w:lang w:val="en-US" w:eastAsia="zh-CN"/>
              </w:rPr>
              <w:t>管理委员会</w:t>
            </w:r>
          </w:p>
        </w:tc>
        <w:tc>
          <w:tcPr>
            <w:tcW w:w="1134" w:type="dxa"/>
            <w:shd w:val="clear" w:color="auto" w:fill="auto"/>
            <w:vAlign w:val="center"/>
          </w:tcPr>
          <w:p>
            <w:pPr>
              <w:widowControl/>
              <w:spacing w:line="225" w:lineRule="atLeast"/>
              <w:jc w:val="center"/>
              <w:rPr>
                <w:rFonts w:ascii="Times New Roman" w:hAnsi="Times New Roman" w:eastAsia="仿宋_GB2312" w:cs="Times New Roman"/>
                <w:b/>
              </w:rPr>
            </w:pPr>
            <w:r>
              <w:rPr>
                <w:rFonts w:hint="eastAsia" w:ascii="仿宋_GB2312" w:eastAsia="仿宋_GB2312" w:cs="宋体"/>
                <w:kern w:val="0"/>
                <w:sz w:val="32"/>
                <w:szCs w:val="32"/>
                <w:lang w:val="en-US" w:eastAsia="zh-CN"/>
              </w:rPr>
              <w:t>行政单位</w:t>
            </w:r>
          </w:p>
        </w:tc>
        <w:tc>
          <w:tcPr>
            <w:tcW w:w="1276" w:type="dxa"/>
            <w:shd w:val="clear" w:color="auto" w:fill="auto"/>
            <w:vAlign w:val="center"/>
          </w:tcPr>
          <w:p>
            <w:pPr>
              <w:widowControl/>
              <w:spacing w:line="225" w:lineRule="atLeast"/>
              <w:jc w:val="center"/>
              <w:rPr>
                <w:rFonts w:ascii="Times New Roman" w:hAnsi="Times New Roman" w:eastAsia="仿宋_GB2312" w:cs="Times New Roman"/>
                <w:b/>
              </w:rPr>
            </w:pPr>
            <w:r>
              <w:rPr>
                <w:rFonts w:hint="eastAsia" w:ascii="仿宋_GB2312" w:eastAsia="仿宋_GB2312" w:cs="宋体"/>
                <w:kern w:val="0"/>
                <w:sz w:val="32"/>
                <w:szCs w:val="32"/>
                <w:lang w:val="en-US" w:eastAsia="zh-CN"/>
              </w:rPr>
              <w:t>副处级</w:t>
            </w:r>
          </w:p>
        </w:tc>
        <w:tc>
          <w:tcPr>
            <w:tcW w:w="2902" w:type="dxa"/>
            <w:shd w:val="clear" w:color="auto" w:fill="auto"/>
            <w:vAlign w:val="center"/>
          </w:tcPr>
          <w:p>
            <w:pPr>
              <w:widowControl/>
              <w:spacing w:line="225" w:lineRule="atLeast"/>
              <w:jc w:val="center"/>
              <w:rPr>
                <w:rFonts w:ascii="Times New Roman" w:hAnsi="Times New Roman" w:eastAsia="仿宋_GB2312" w:cs="Times New Roman"/>
                <w:b/>
              </w:rPr>
            </w:pPr>
            <w:r>
              <w:rPr>
                <w:rFonts w:hint="eastAsia" w:ascii="仿宋" w:eastAsia="仿宋"/>
                <w:color w:val="auto"/>
                <w:sz w:val="32"/>
                <w:szCs w:val="32"/>
              </w:rPr>
              <w:t>财政拨款</w:t>
            </w:r>
          </w:p>
        </w:tc>
      </w:tr>
    </w:tbl>
    <w:p>
      <w:pPr>
        <w:tabs>
          <w:tab w:val="left" w:pos="1686"/>
        </w:tabs>
        <w:spacing w:line="584" w:lineRule="exact"/>
        <w:jc w:val="both"/>
        <w:rPr>
          <w:rFonts w:hint="eastAsia" w:ascii="Times New Roman" w:hAnsi="Times New Roman" w:eastAsia="黑体" w:cs="Times New Roman"/>
          <w:sz w:val="32"/>
          <w:szCs w:val="32"/>
          <w:lang w:eastAsia="zh-CN"/>
        </w:rPr>
      </w:pPr>
    </w:p>
    <w:p>
      <w:pPr>
        <w:spacing w:line="584"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按照预算管理有关规定，目前我区部门预算的编制实行综合预算制度，即全部收入和支出都反映在预算中。</w:t>
      </w:r>
      <w:r>
        <w:rPr>
          <w:rFonts w:hint="eastAsia" w:ascii="仿宋" w:hAnsi="仿宋" w:eastAsia="仿宋" w:cs="仿宋"/>
          <w:sz w:val="32"/>
          <w:szCs w:val="32"/>
          <w:lang w:val="en-US" w:eastAsia="zh-CN"/>
        </w:rPr>
        <w:t>河北廊坊广阳经济开发区管理委员会</w:t>
      </w:r>
      <w:r>
        <w:rPr>
          <w:rFonts w:hint="eastAsia" w:ascii="仿宋" w:hAnsi="仿宋" w:eastAsia="仿宋" w:cs="仿宋"/>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49204.94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1083.66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41242.67</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6878.61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val="en-US" w:eastAsia="zh-CN"/>
        </w:rPr>
        <w:t>河北廊坊广阳经济开发区管理委员会2022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49204.94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923.66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871.28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52.38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3358.96</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val="en-US" w:eastAsia="zh-CN"/>
        </w:rPr>
        <w:t>专项人员支出及新业路道路工程支出</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49204.94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lang w:val="en-US" w:eastAsia="zh-CN"/>
        </w:rPr>
        <w:t>40003.2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减少940.46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经开区部分聘用人员薪酬由下属国有企业支出</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color w:val="auto"/>
          <w:sz w:val="32"/>
          <w:szCs w:val="32"/>
          <w:highlight w:val="none"/>
          <w:lang w:val="en-US" w:eastAsia="zh-CN"/>
        </w:rPr>
        <w:t>33852.67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城乡社区</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政府性基金项目支出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包括征地和拆迁补偿支出16833.16万元；土地开发支出7899.58万元；城市建设支出12947万元；补助被征地农民支出2826.38万元及土地出让业务支出736.55万元</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lang w:val="en-US" w:eastAsia="zh-CN"/>
        </w:rPr>
        <w:t>52.38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经开区</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spacing w:line="584"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经开区</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w:t>
      </w: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年相比持平，无增减变化。</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预算绩效信息</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在区委、区政府的坚强领导下，强作风，转观念，勇于担当，紧密结合辖区实际，以推进产业发展、项目建设、服务企业为抓手，在狠抓经济建设的基础上，扎实推进各项事业全面发展。</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提质强素，持续抓好班子带好队伍</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深入十九届五中全会精神，扎实推进党风廉政建设，全面落实从严治党，着力转变干部作风，层层传导压力，管党治党更加有力。营造安全稳定的社会环境，严格落实意识形态工作责任制，强化正面宣传引导，积极参与文明城市创建活动；深入企业开展普法宣传，加强园区内巡查指导，社会治安形势总体平稳；深入企业排查化解矛盾纠纷，下大气力解决信访问题。</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强化运营，促进经济运行持续向好</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在面对疫情带来的不利情况影响下，坚持稳中求进，着力推进完成园区各项目标任务，经济社会发展取得显著成效。在园区经营管理上，着力抓服务、强调度、促增长；着力抓好重点企业，培育科技创新型、专业型企业发展；着力引进北京外溢企业，千方百计保持经济平稳增长。</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拓展平台，不断加大招商引资力度</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经开区抢抓临空经济发展带来的机遇，疏解非首都功能所带来的资源外溢效应，充分发挥自身的优势，深挖园区的潜在承载力，在项目选择上有特色、讲品质、看贡献，做到精准招商引资，形成良好格局。</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攻坚克难，推进项目建设</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为了保障重点项目顺利推进，经开区成立了工作专班，由管委会主要领导牵头，采取专人包联的方式，明确了每个项目的包联领导和负责人，不分部门、协同作战；制订了重点项目工作台账，规定了每个项目进度的时间节点，让每个包联人员都了解自己的项目进展情况和工作职责；建立沟通协调机制，完善自身的管理措施，积极协调市、区相关职能部门，在项目立项审批、规划环评、土地建设等环节提供尽可能的便利，如项目在推进过程中遇到问题，第一时间与企业沟通，尽快协调解决。</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服务企业，全面开展优化营商环境</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以京津冀协调发展为契机，持续优化营商环境，深入企业多次走访调研，实地了解企业在建设运营、经营管理和科技发展等方面的困难与诉求，全面掌握第一手材料，开展企业帮扶、促进企业发展。</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履职尽责，抓好安全生产“双控”机制建设</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安全生产工作坚持关口前移、源头管控、预防为主、综合治理的原则，深入推进园区安全生产“双控”机制建设，形成生产经营单位“风险自查、隐患自改、责任自负”的工作模式，把风险控制在隐患形成之前，把隐患消灭在事故发生之前，全面提升生产经营单位安全生产管理水平，确保全区安全生产形势稳定。</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7</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持续发力，打赢碧水蓝天保卫战</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健全完善河渠管理机制，全面推进河长制工作，结合河长巡河APP现代化软件，加强规划区内九干渠和十干渠进行巡河工作。</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政务服务</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职责描述：经开区管委会做好政务公开、督察督办、政务联络等工作。以突出政务、加强事务、提升服务为准则，力求重点工作出精品，难点工作求突破、基础工作有创新、常规工作见特色。以机关干部作风量化指标为依据，增强工作的综合服务实力。</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年度绩效目标：通过完成管委会政务信息公开工作的指导监督工作，使管委会信息公开业务队伍素质不断提高，业务水平进一步提升；政府政务信息公开范围不断扩大，公开内容得到进一步细化。</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政府办公室政务管理</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职责描述：经开区管委会做好公务办理及后勤保障工作。要以服务领导和机关保障有力为目标，增强优质后勤管理水平，通过加强公车管理，降低运行成本，为创建节约型机关打下了良好的基础。采取保障领导和机关工作办公环境的措施，提升了服务管理水平，保障了机关工作的正常运转。</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年度绩效目标：协助领导组织起草或审核的公文；组织起草领导重要讲话及其他重要文稿；组织专题调研；开发区会议的准备和服务工作，协助管委会领导组织会议决定事项的落实；承办领导交办的其他事项。</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环境监测与监察</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职责描述：经开区管委会开展环境要素的监测与综合分析评价，提高环境监测和预警能力，加大环境监管力度，完善环境基本公共服务体系建设。</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年度绩效目标：加强开发区环境整体质量改进，确保不发生环境安全事故。加强环境行政监察，排污费管理、纠纷调查处理。</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组织安全生产综合监督管理</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职责描述：经开区管委会定期组织在开发区开展安全生产督导检查活动，对重点行业和作业场所职业卫生安全生产加强行政监督监察，依法对违法行为实施行政处罚；不断加强安全生产监管能力建设，改善执法检测、监察检查等能力。</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年度绩效目标：通过督导检查域内企业安全生产，最大限度地发现、纠正、督促企业消除各类隐患，预防和减少事故的发生，确保开发区安全生产形势持续稳定好。</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对外贸易管理</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职责描述：促进对外贸易稳定增长，优化产品结构。完成县政府下达的外贸进出口指标。</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年度绩效目标：通过开展“主体招商活动”，瞄准重点区域、重点客商和商务机构，推动和引领全县做好招商工作。突出引进战略投资者，力争在重点产业引进一批战略支撑项目、龙头企业和协力配套企业。</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促进区域经济发展</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职责描述：研究提出区域经济协调发展、加快城镇化发展的政策建议；负责区域经济合作统筹协调。</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年度绩效目标：配合国家首都经济圈发展规划，做好与国家规划的有效衔接；组织争取国家政策、资金等支持。与北京、天津开展战略合作，推动合作协议的落实，深化拓展合作领域，实质性推动一批重大合作事项进展。</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7</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土地储备征收开发管理</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职责描述：负责规划区内的土地开发、开发管理。完成年度土地收购储备计划、供地计划；进一步提高土地供应效率，加快土地出让速度，扩大土地出让规模，实现政府收益最大化。</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年度绩效目标：开展新增地、棚改项目用地、存量土地征地、收储等工作。实现土地收储，确保完成年度土地收储计划，做好土地征收赔偿等工作。</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推进园区重点项目建设。</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加大力度，推进科技型企业创建。梳理科技型中小企业、国高新资质申报政策，盘点梳理园区具备资质企业，统一搜集统一申报，加快企业资质申请流程，重点扶持符合资质的厦门吉宏、航顺机械等进行科技型企业申报。</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积极争取，解决项目用地新增计划指标及占补平衡指标。</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继续推进“九通一平”等基础设施改造提升和建设。</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扎实做好安全生产、大气污染治理和水环境治理工作。对经开区现有企业抓好日常管理工作的同时，全力配合上级部门加强企业监管，督促企业在生产过程符合相关要求及流程，保证水环境、空气环境不被污染，确保不发生安全生产事故。</w:t>
      </w: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2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32"/>
        <w:gridCol w:w="1159"/>
        <w:gridCol w:w="2114"/>
        <w:gridCol w:w="1746"/>
        <w:gridCol w:w="2608"/>
        <w:gridCol w:w="580"/>
        <w:gridCol w:w="630"/>
        <w:gridCol w:w="1108"/>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03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15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11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74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60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31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50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032" w:type="dxa"/>
            <w:vMerge w:val="continue"/>
            <w:tcBorders>
              <w:tl2br w:val="nil"/>
              <w:tr2bl w:val="nil"/>
            </w:tcBorders>
            <w:vAlign w:val="center"/>
          </w:tcPr>
          <w:p/>
        </w:tc>
        <w:tc>
          <w:tcPr>
            <w:tcW w:w="1159" w:type="dxa"/>
            <w:vMerge w:val="continue"/>
            <w:tcBorders>
              <w:tl2br w:val="nil"/>
              <w:tr2bl w:val="nil"/>
            </w:tcBorders>
            <w:vAlign w:val="center"/>
          </w:tcPr>
          <w:p/>
        </w:tc>
        <w:tc>
          <w:tcPr>
            <w:tcW w:w="2114" w:type="dxa"/>
            <w:vMerge w:val="continue"/>
            <w:tcBorders>
              <w:tl2br w:val="nil"/>
              <w:tr2bl w:val="nil"/>
            </w:tcBorders>
            <w:vAlign w:val="center"/>
          </w:tcPr>
          <w:p/>
        </w:tc>
        <w:tc>
          <w:tcPr>
            <w:tcW w:w="1746" w:type="dxa"/>
            <w:vMerge w:val="continue"/>
            <w:tcBorders>
              <w:tl2br w:val="nil"/>
              <w:tr2bl w:val="nil"/>
            </w:tcBorders>
            <w:vAlign w:val="center"/>
          </w:tcPr>
          <w:p/>
        </w:tc>
        <w:tc>
          <w:tcPr>
            <w:tcW w:w="2608" w:type="dxa"/>
            <w:vMerge w:val="continue"/>
            <w:tcBorders>
              <w:tl2br w:val="nil"/>
              <w:tr2bl w:val="nil"/>
            </w:tcBorders>
            <w:vAlign w:val="center"/>
          </w:tcPr>
          <w:p/>
        </w:tc>
        <w:tc>
          <w:tcPr>
            <w:tcW w:w="58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3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10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502"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032" w:type="dxa"/>
            <w:vMerge w:val="restart"/>
            <w:tcBorders>
              <w:tl2br w:val="nil"/>
              <w:tr2bl w:val="nil"/>
            </w:tcBorders>
            <w:vAlign w:val="center"/>
          </w:tcPr>
          <w:p>
            <w:pPr>
              <w:spacing w:line="300" w:lineRule="exact"/>
              <w:jc w:val="center"/>
              <w:rPr>
                <w:rFonts w:hint="eastAsia" w:ascii="Times New Roman" w:hAnsi="Times New Roman" w:eastAsia="仿宋_GB2312" w:cs="Times New Roman"/>
                <w:b w:val="0"/>
                <w:bCs/>
              </w:rPr>
            </w:pPr>
            <w:r>
              <w:rPr>
                <w:rFonts w:hint="eastAsia" w:ascii="Times New Roman" w:hAnsi="Times New Roman" w:eastAsia="仿宋_GB2312" w:cs="Times New Roman"/>
                <w:b w:val="0"/>
                <w:bCs/>
              </w:rPr>
              <w:t>部门产出</w:t>
            </w:r>
          </w:p>
        </w:tc>
        <w:tc>
          <w:tcPr>
            <w:tcW w:w="1159" w:type="dxa"/>
            <w:tcBorders>
              <w:tl2br w:val="nil"/>
              <w:tr2bl w:val="nil"/>
            </w:tcBorders>
            <w:vAlign w:val="center"/>
          </w:tcPr>
          <w:p>
            <w:pPr>
              <w:spacing w:line="300" w:lineRule="exact"/>
              <w:jc w:val="center"/>
              <w:rPr>
                <w:rFonts w:hint="eastAsia" w:ascii="Times New Roman" w:hAnsi="Times New Roman" w:eastAsia="仿宋_GB2312" w:cs="Times New Roman"/>
                <w:b w:val="0"/>
                <w:bCs/>
              </w:rPr>
            </w:pPr>
            <w:r>
              <w:rPr>
                <w:rFonts w:hint="eastAsia" w:ascii="Times New Roman" w:hAnsi="Times New Roman" w:eastAsia="仿宋_GB2312" w:cs="Times New Roman"/>
                <w:b w:val="0"/>
                <w:bCs/>
              </w:rPr>
              <w:t>数量</w:t>
            </w:r>
          </w:p>
        </w:tc>
        <w:tc>
          <w:tcPr>
            <w:tcW w:w="2114"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发放工资人员数量</w:t>
            </w:r>
          </w:p>
        </w:tc>
        <w:tc>
          <w:tcPr>
            <w:tcW w:w="1746" w:type="dxa"/>
            <w:tcBorders>
              <w:tl2br w:val="nil"/>
              <w:tr2bl w:val="nil"/>
            </w:tcBorders>
            <w:vAlign w:val="center"/>
          </w:tcPr>
          <w:p>
            <w:pPr>
              <w:spacing w:line="300" w:lineRule="exact"/>
              <w:jc w:val="center"/>
              <w:rPr>
                <w:rFonts w:hint="default" w:ascii="Times New Roman" w:hAnsi="Times New Roman" w:eastAsia="仿宋_GB2312" w:cs="Times New Roman"/>
                <w:b w:val="0"/>
                <w:bCs/>
                <w:lang w:val="en-US" w:eastAsia="zh-CN"/>
              </w:rPr>
            </w:pPr>
            <w:r>
              <w:rPr>
                <w:rFonts w:hint="eastAsia" w:ascii="Times New Roman" w:hAnsi="Times New Roman" w:eastAsia="仿宋_GB2312" w:cs="Times New Roman"/>
                <w:b w:val="0"/>
                <w:bCs/>
              </w:rPr>
              <w:t>达到标准得满分，达不到标准不得分</w:t>
            </w:r>
          </w:p>
        </w:tc>
        <w:tc>
          <w:tcPr>
            <w:tcW w:w="2608"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发放工资人员数量</w:t>
            </w:r>
          </w:p>
        </w:tc>
        <w:tc>
          <w:tcPr>
            <w:tcW w:w="580"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rPr>
              <w:t>≤</w:t>
            </w:r>
          </w:p>
        </w:tc>
        <w:tc>
          <w:tcPr>
            <w:tcW w:w="630" w:type="dxa"/>
            <w:tcBorders>
              <w:tl2br w:val="nil"/>
              <w:tr2bl w:val="nil"/>
            </w:tcBorders>
            <w:vAlign w:val="center"/>
          </w:tcPr>
          <w:p>
            <w:pPr>
              <w:spacing w:line="300" w:lineRule="exact"/>
              <w:jc w:val="center"/>
              <w:rPr>
                <w:rFonts w:hint="default"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30</w:t>
            </w:r>
          </w:p>
        </w:tc>
        <w:tc>
          <w:tcPr>
            <w:tcW w:w="1108" w:type="dxa"/>
            <w:tcBorders>
              <w:tl2br w:val="nil"/>
              <w:tr2bl w:val="nil"/>
            </w:tcBorders>
            <w:vAlign w:val="center"/>
          </w:tcPr>
          <w:p>
            <w:pPr>
              <w:spacing w:line="300" w:lineRule="exact"/>
              <w:jc w:val="center"/>
              <w:rPr>
                <w:rFonts w:hint="default"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人</w:t>
            </w:r>
          </w:p>
        </w:tc>
        <w:tc>
          <w:tcPr>
            <w:tcW w:w="1502" w:type="dxa"/>
            <w:tcBorders>
              <w:tl2br w:val="nil"/>
              <w:tr2bl w:val="nil"/>
            </w:tcBorders>
            <w:vAlign w:val="center"/>
          </w:tcPr>
          <w:p>
            <w:pPr>
              <w:spacing w:line="300" w:lineRule="exact"/>
              <w:jc w:val="center"/>
              <w:rPr>
                <w:rFonts w:hint="default" w:ascii="Times New Roman" w:hAnsi="Times New Roman" w:eastAsia="仿宋_GB2312" w:cs="Times New Roman"/>
                <w:b w:val="0"/>
                <w:bCs/>
                <w:lang w:val="en-US" w:eastAsia="zh-CN"/>
              </w:rPr>
            </w:pPr>
            <w:r>
              <w:rPr>
                <w:rFonts w:hint="eastAsia" w:ascii="Times New Roman" w:hAnsi="Times New Roman" w:eastAsia="仿宋_GB2312" w:cs="Times New Roman"/>
                <w:b w:val="0"/>
                <w:bCs/>
              </w:rPr>
              <w:t>实际在岗人员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32" w:type="dxa"/>
            <w:vMerge w:val="continue"/>
            <w:tcBorders>
              <w:tl2br w:val="nil"/>
              <w:tr2bl w:val="nil"/>
            </w:tcBorders>
            <w:vAlign w:val="center"/>
          </w:tcPr>
          <w:p>
            <w:pPr>
              <w:spacing w:line="300" w:lineRule="exact"/>
              <w:jc w:val="center"/>
              <w:rPr>
                <w:rFonts w:ascii="Times New Roman" w:hAnsi="Times New Roman" w:eastAsia="仿宋_GB2312" w:cs="Times New Roman"/>
                <w:b w:val="0"/>
                <w:bCs/>
              </w:rPr>
            </w:pPr>
          </w:p>
        </w:tc>
        <w:tc>
          <w:tcPr>
            <w:tcW w:w="1159" w:type="dxa"/>
            <w:tcBorders>
              <w:tl2br w:val="nil"/>
              <w:tr2bl w:val="nil"/>
            </w:tcBorders>
            <w:vAlign w:val="center"/>
          </w:tcPr>
          <w:p>
            <w:pPr>
              <w:spacing w:line="300" w:lineRule="exact"/>
              <w:jc w:val="center"/>
              <w:rPr>
                <w:rFonts w:ascii="Times New Roman" w:hAnsi="Times New Roman" w:eastAsia="仿宋_GB2312" w:cs="Times New Roman"/>
                <w:b w:val="0"/>
                <w:bCs/>
              </w:rPr>
            </w:pPr>
            <w:r>
              <w:rPr>
                <w:rFonts w:ascii="Times New Roman" w:hAnsi="Times New Roman" w:eastAsia="仿宋_GB2312" w:cs="Times New Roman"/>
                <w:b w:val="0"/>
                <w:bCs/>
              </w:rPr>
              <w:t>质量</w:t>
            </w:r>
          </w:p>
        </w:tc>
        <w:tc>
          <w:tcPr>
            <w:tcW w:w="2114"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正常运行率</w:t>
            </w:r>
          </w:p>
        </w:tc>
        <w:tc>
          <w:tcPr>
            <w:tcW w:w="1746"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rPr>
              <w:t>达到标准得满分，达不到标准不得分</w:t>
            </w:r>
          </w:p>
        </w:tc>
        <w:tc>
          <w:tcPr>
            <w:tcW w:w="2608" w:type="dxa"/>
            <w:tcBorders>
              <w:tl2br w:val="nil"/>
              <w:tr2bl w:val="nil"/>
            </w:tcBorders>
            <w:vAlign w:val="center"/>
          </w:tcPr>
          <w:p>
            <w:pPr>
              <w:spacing w:line="300" w:lineRule="exact"/>
              <w:jc w:val="center"/>
              <w:rPr>
                <w:rFonts w:hint="default"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办公用品及设备满足工作需求的比率</w:t>
            </w:r>
          </w:p>
        </w:tc>
        <w:tc>
          <w:tcPr>
            <w:tcW w:w="580"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w:t>
            </w:r>
          </w:p>
        </w:tc>
        <w:tc>
          <w:tcPr>
            <w:tcW w:w="630"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95.00</w:t>
            </w:r>
          </w:p>
        </w:tc>
        <w:tc>
          <w:tcPr>
            <w:tcW w:w="1108"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w:t>
            </w:r>
          </w:p>
        </w:tc>
        <w:tc>
          <w:tcPr>
            <w:tcW w:w="1502"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工作实际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032" w:type="dxa"/>
            <w:vMerge w:val="continue"/>
            <w:tcBorders>
              <w:tl2br w:val="nil"/>
              <w:tr2bl w:val="nil"/>
            </w:tcBorders>
            <w:vAlign w:val="center"/>
          </w:tcPr>
          <w:p>
            <w:pPr>
              <w:spacing w:line="300" w:lineRule="exact"/>
              <w:jc w:val="center"/>
              <w:rPr>
                <w:rFonts w:ascii="Times New Roman" w:hAnsi="Times New Roman" w:eastAsia="仿宋_GB2312" w:cs="Times New Roman"/>
                <w:b w:val="0"/>
                <w:bCs/>
              </w:rPr>
            </w:pPr>
          </w:p>
        </w:tc>
        <w:tc>
          <w:tcPr>
            <w:tcW w:w="1159" w:type="dxa"/>
            <w:tcBorders>
              <w:tl2br w:val="nil"/>
              <w:tr2bl w:val="nil"/>
            </w:tcBorders>
            <w:vAlign w:val="center"/>
          </w:tcPr>
          <w:p>
            <w:pPr>
              <w:spacing w:line="300" w:lineRule="exact"/>
              <w:jc w:val="center"/>
              <w:rPr>
                <w:rFonts w:hint="eastAsia" w:ascii="Times New Roman" w:hAnsi="Times New Roman" w:eastAsia="仿宋_GB2312" w:cs="Times New Roman"/>
                <w:b w:val="0"/>
                <w:bCs/>
              </w:rPr>
            </w:pPr>
            <w:r>
              <w:rPr>
                <w:rFonts w:hint="eastAsia" w:ascii="Times New Roman" w:hAnsi="Times New Roman" w:eastAsia="仿宋_GB2312" w:cs="Times New Roman"/>
                <w:b w:val="0"/>
                <w:bCs/>
              </w:rPr>
              <w:t>时效</w:t>
            </w:r>
          </w:p>
        </w:tc>
        <w:tc>
          <w:tcPr>
            <w:tcW w:w="2114"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经费保障及时性</w:t>
            </w:r>
          </w:p>
        </w:tc>
        <w:tc>
          <w:tcPr>
            <w:tcW w:w="1746"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rPr>
              <w:t>达到标准得满分，达不到标准不得分</w:t>
            </w:r>
          </w:p>
        </w:tc>
        <w:tc>
          <w:tcPr>
            <w:tcW w:w="2608"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及时保障各项日常办公需要</w:t>
            </w:r>
          </w:p>
        </w:tc>
        <w:tc>
          <w:tcPr>
            <w:tcW w:w="580"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文字描述</w:t>
            </w:r>
          </w:p>
        </w:tc>
        <w:tc>
          <w:tcPr>
            <w:tcW w:w="630"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p>
        </w:tc>
        <w:tc>
          <w:tcPr>
            <w:tcW w:w="1108"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及时保障</w:t>
            </w:r>
          </w:p>
        </w:tc>
        <w:tc>
          <w:tcPr>
            <w:tcW w:w="1502"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70" w:hRule="atLeast"/>
          <w:jc w:val="center"/>
        </w:trPr>
        <w:tc>
          <w:tcPr>
            <w:tcW w:w="1032" w:type="dxa"/>
            <w:vMerge w:val="continue"/>
            <w:tcBorders>
              <w:tl2br w:val="nil"/>
              <w:tr2bl w:val="nil"/>
            </w:tcBorders>
            <w:vAlign w:val="center"/>
          </w:tcPr>
          <w:p>
            <w:pPr>
              <w:spacing w:line="300" w:lineRule="exact"/>
              <w:jc w:val="center"/>
              <w:rPr>
                <w:rFonts w:ascii="Times New Roman" w:hAnsi="Times New Roman" w:eastAsia="仿宋_GB2312" w:cs="Times New Roman"/>
                <w:b w:val="0"/>
                <w:bCs/>
              </w:rPr>
            </w:pPr>
          </w:p>
        </w:tc>
        <w:tc>
          <w:tcPr>
            <w:tcW w:w="1159" w:type="dxa"/>
            <w:tcBorders>
              <w:tl2br w:val="nil"/>
              <w:tr2bl w:val="nil"/>
            </w:tcBorders>
            <w:vAlign w:val="center"/>
          </w:tcPr>
          <w:p>
            <w:pPr>
              <w:spacing w:line="300" w:lineRule="exact"/>
              <w:jc w:val="center"/>
              <w:rPr>
                <w:rFonts w:hint="eastAsia" w:ascii="Times New Roman" w:hAnsi="Times New Roman" w:eastAsia="仿宋_GB2312" w:cs="Times New Roman"/>
                <w:b w:val="0"/>
                <w:bCs/>
              </w:rPr>
            </w:pPr>
            <w:r>
              <w:rPr>
                <w:rFonts w:hint="eastAsia" w:ascii="Times New Roman" w:hAnsi="Times New Roman" w:eastAsia="仿宋_GB2312" w:cs="Times New Roman"/>
                <w:b w:val="0"/>
                <w:bCs/>
              </w:rPr>
              <w:t>成本</w:t>
            </w:r>
          </w:p>
        </w:tc>
        <w:tc>
          <w:tcPr>
            <w:tcW w:w="2114" w:type="dxa"/>
            <w:tcBorders>
              <w:tl2br w:val="nil"/>
              <w:tr2bl w:val="nil"/>
            </w:tcBorders>
            <w:vAlign w:val="center"/>
          </w:tcPr>
          <w:p>
            <w:pPr>
              <w:spacing w:line="300" w:lineRule="exact"/>
              <w:jc w:val="center"/>
              <w:rPr>
                <w:rFonts w:hint="default"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工资（福利）、社会保障（公积金）等发放（缴纳）标准</w:t>
            </w:r>
          </w:p>
        </w:tc>
        <w:tc>
          <w:tcPr>
            <w:tcW w:w="1746"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rPr>
              <w:t>达到标准得满分，达不到标准不得分</w:t>
            </w:r>
          </w:p>
        </w:tc>
        <w:tc>
          <w:tcPr>
            <w:tcW w:w="2608"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工资（福利）、社会保障（公积金）等发放（缴纳）标准</w:t>
            </w:r>
          </w:p>
        </w:tc>
        <w:tc>
          <w:tcPr>
            <w:tcW w:w="580"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文字描述</w:t>
            </w:r>
          </w:p>
        </w:tc>
        <w:tc>
          <w:tcPr>
            <w:tcW w:w="630"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p>
        </w:tc>
        <w:tc>
          <w:tcPr>
            <w:tcW w:w="1108" w:type="dxa"/>
            <w:tcBorders>
              <w:tl2br w:val="nil"/>
              <w:tr2bl w:val="nil"/>
            </w:tcBorders>
            <w:vAlign w:val="center"/>
          </w:tcPr>
          <w:p>
            <w:pPr>
              <w:spacing w:line="300" w:lineRule="exact"/>
              <w:jc w:val="center"/>
              <w:rPr>
                <w:rFonts w:hint="default"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按规定执行</w:t>
            </w:r>
          </w:p>
        </w:tc>
        <w:tc>
          <w:tcPr>
            <w:tcW w:w="1502"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实际测算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32" w:type="dxa"/>
            <w:vMerge w:val="restart"/>
            <w:tcBorders>
              <w:tl2br w:val="nil"/>
              <w:tr2bl w:val="nil"/>
            </w:tcBorders>
            <w:vAlign w:val="center"/>
          </w:tcPr>
          <w:p>
            <w:pPr>
              <w:spacing w:line="300" w:lineRule="exact"/>
              <w:jc w:val="center"/>
              <w:rPr>
                <w:rFonts w:ascii="Times New Roman" w:hAnsi="Times New Roman" w:eastAsia="仿宋_GB2312" w:cs="Times New Roman"/>
                <w:b w:val="0"/>
                <w:bCs/>
              </w:rPr>
            </w:pPr>
            <w:r>
              <w:rPr>
                <w:rFonts w:ascii="Times New Roman" w:hAnsi="Times New Roman" w:eastAsia="仿宋_GB2312" w:cs="Times New Roman"/>
                <w:b w:val="0"/>
                <w:bCs/>
              </w:rPr>
              <w:t>部门</w:t>
            </w:r>
            <w:r>
              <w:rPr>
                <w:rFonts w:hint="eastAsia" w:ascii="Times New Roman" w:hAnsi="Times New Roman" w:eastAsia="仿宋_GB2312" w:cs="Times New Roman"/>
                <w:b w:val="0"/>
                <w:bCs/>
              </w:rPr>
              <w:t>效果</w:t>
            </w:r>
          </w:p>
        </w:tc>
        <w:tc>
          <w:tcPr>
            <w:tcW w:w="1159" w:type="dxa"/>
            <w:tcBorders>
              <w:tl2br w:val="nil"/>
              <w:tr2bl w:val="nil"/>
            </w:tcBorders>
            <w:vAlign w:val="center"/>
          </w:tcPr>
          <w:p>
            <w:pPr>
              <w:spacing w:line="300" w:lineRule="exact"/>
              <w:jc w:val="center"/>
              <w:rPr>
                <w:rFonts w:hint="eastAsia" w:ascii="Times New Roman" w:hAnsi="Times New Roman" w:eastAsia="仿宋_GB2312" w:cs="Times New Roman"/>
                <w:b w:val="0"/>
                <w:bCs/>
              </w:rPr>
            </w:pPr>
            <w:r>
              <w:rPr>
                <w:rFonts w:hint="eastAsia" w:ascii="Times New Roman" w:hAnsi="Times New Roman" w:eastAsia="仿宋_GB2312" w:cs="Times New Roman"/>
                <w:b w:val="0"/>
                <w:bCs/>
              </w:rPr>
              <w:t>社会</w:t>
            </w:r>
          </w:p>
          <w:p>
            <w:pPr>
              <w:spacing w:line="300" w:lineRule="exact"/>
              <w:jc w:val="center"/>
              <w:rPr>
                <w:rFonts w:hint="eastAsia" w:ascii="Times New Roman" w:hAnsi="Times New Roman" w:eastAsia="仿宋_GB2312" w:cs="Times New Roman"/>
                <w:b w:val="0"/>
                <w:bCs/>
              </w:rPr>
            </w:pPr>
            <w:r>
              <w:rPr>
                <w:rFonts w:hint="eastAsia" w:ascii="Times New Roman" w:hAnsi="Times New Roman" w:eastAsia="仿宋_GB2312" w:cs="Times New Roman"/>
                <w:b w:val="0"/>
                <w:bCs/>
              </w:rPr>
              <w:t>效益</w:t>
            </w:r>
          </w:p>
        </w:tc>
        <w:tc>
          <w:tcPr>
            <w:tcW w:w="2114"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加强工作人员归属感，保持干部队伍稳定</w:t>
            </w:r>
          </w:p>
        </w:tc>
        <w:tc>
          <w:tcPr>
            <w:tcW w:w="1746"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rPr>
              <w:t>达到标准得满分，达不到标准不得分</w:t>
            </w:r>
          </w:p>
        </w:tc>
        <w:tc>
          <w:tcPr>
            <w:tcW w:w="2608"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通过按时按标准发放工资福利等，进一步增强干部职工得归属感，保持干部队伍相对稳定，保障办公正常运转</w:t>
            </w:r>
          </w:p>
        </w:tc>
        <w:tc>
          <w:tcPr>
            <w:tcW w:w="580"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文字描述</w:t>
            </w:r>
          </w:p>
        </w:tc>
        <w:tc>
          <w:tcPr>
            <w:tcW w:w="630"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p>
        </w:tc>
        <w:tc>
          <w:tcPr>
            <w:tcW w:w="1108"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保持干部队伍相对稳定</w:t>
            </w:r>
          </w:p>
        </w:tc>
        <w:tc>
          <w:tcPr>
            <w:tcW w:w="1502"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032" w:type="dxa"/>
            <w:vMerge w:val="continue"/>
            <w:tcBorders>
              <w:tl2br w:val="nil"/>
              <w:tr2bl w:val="nil"/>
            </w:tcBorders>
            <w:vAlign w:val="center"/>
          </w:tcPr>
          <w:p>
            <w:pPr>
              <w:spacing w:line="300" w:lineRule="exact"/>
              <w:jc w:val="center"/>
              <w:rPr>
                <w:rFonts w:ascii="Times New Roman" w:hAnsi="Times New Roman" w:eastAsia="仿宋_GB2312" w:cs="Times New Roman"/>
                <w:b w:val="0"/>
                <w:bCs/>
              </w:rPr>
            </w:pPr>
          </w:p>
        </w:tc>
        <w:tc>
          <w:tcPr>
            <w:tcW w:w="1159" w:type="dxa"/>
            <w:tcBorders>
              <w:tl2br w:val="nil"/>
              <w:tr2bl w:val="nil"/>
            </w:tcBorders>
            <w:vAlign w:val="center"/>
          </w:tcPr>
          <w:p>
            <w:pPr>
              <w:spacing w:line="300" w:lineRule="exact"/>
              <w:jc w:val="center"/>
              <w:rPr>
                <w:rFonts w:ascii="Times New Roman" w:hAnsi="Times New Roman" w:eastAsia="仿宋_GB2312" w:cs="Times New Roman"/>
                <w:b w:val="0"/>
                <w:bCs/>
              </w:rPr>
            </w:pPr>
            <w:r>
              <w:rPr>
                <w:rFonts w:hint="eastAsia" w:ascii="Times New Roman" w:hAnsi="Times New Roman" w:eastAsia="仿宋_GB2312" w:cs="Times New Roman"/>
                <w:b w:val="0"/>
                <w:bCs/>
              </w:rPr>
              <w:t>满意度</w:t>
            </w:r>
          </w:p>
        </w:tc>
        <w:tc>
          <w:tcPr>
            <w:tcW w:w="2114" w:type="dxa"/>
            <w:tcBorders>
              <w:tl2br w:val="nil"/>
              <w:tr2bl w:val="nil"/>
            </w:tcBorders>
            <w:noWrap/>
            <w:vAlign w:val="center"/>
          </w:tcPr>
          <w:p>
            <w:pPr>
              <w:spacing w:line="300" w:lineRule="exact"/>
              <w:jc w:val="center"/>
              <w:rPr>
                <w:rFonts w:ascii="Times New Roman" w:hAnsi="Times New Roman" w:eastAsia="仿宋_GB2312" w:cs="Times New Roman"/>
                <w:b w:val="0"/>
                <w:bCs/>
              </w:rPr>
            </w:pPr>
            <w:r>
              <w:rPr>
                <w:rFonts w:hint="eastAsia" w:ascii="Times New Roman" w:hAnsi="Times New Roman" w:eastAsia="仿宋_GB2312" w:cs="Times New Roman"/>
                <w:b w:val="0"/>
                <w:bCs/>
              </w:rPr>
              <w:t>单位人员满意度</w:t>
            </w:r>
          </w:p>
        </w:tc>
        <w:tc>
          <w:tcPr>
            <w:tcW w:w="1746" w:type="dxa"/>
            <w:tcBorders>
              <w:tl2br w:val="nil"/>
              <w:tr2bl w:val="nil"/>
            </w:tcBorders>
            <w:noWrap/>
            <w:vAlign w:val="center"/>
          </w:tcPr>
          <w:p>
            <w:pPr>
              <w:spacing w:line="300" w:lineRule="exact"/>
              <w:jc w:val="center"/>
              <w:rPr>
                <w:rFonts w:ascii="Times New Roman" w:hAnsi="Times New Roman" w:eastAsia="仿宋_GB2312" w:cs="Times New Roman"/>
                <w:b w:val="0"/>
                <w:bCs/>
              </w:rPr>
            </w:pPr>
            <w:r>
              <w:rPr>
                <w:rFonts w:hint="eastAsia" w:ascii="Times New Roman" w:hAnsi="Times New Roman" w:eastAsia="仿宋_GB2312" w:cs="Times New Roman"/>
                <w:b w:val="0"/>
                <w:bCs/>
                <w:lang w:val="en-US" w:eastAsia="zh-CN"/>
              </w:rPr>
              <w:t>达到标准得满分，达不到标准不得分</w:t>
            </w:r>
          </w:p>
        </w:tc>
        <w:tc>
          <w:tcPr>
            <w:tcW w:w="2608" w:type="dxa"/>
            <w:tcBorders>
              <w:tl2br w:val="nil"/>
              <w:tr2bl w:val="nil"/>
            </w:tcBorders>
            <w:noWrap/>
            <w:vAlign w:val="center"/>
          </w:tcPr>
          <w:p>
            <w:pPr>
              <w:spacing w:line="300" w:lineRule="exact"/>
              <w:jc w:val="center"/>
              <w:rPr>
                <w:rFonts w:ascii="Times New Roman" w:hAnsi="Times New Roman" w:eastAsia="仿宋_GB2312" w:cs="Times New Roman"/>
                <w:b w:val="0"/>
                <w:bCs/>
              </w:rPr>
            </w:pPr>
            <w:r>
              <w:rPr>
                <w:rFonts w:hint="eastAsia" w:ascii="Times New Roman" w:hAnsi="Times New Roman" w:eastAsia="仿宋_GB2312" w:cs="Times New Roman"/>
                <w:b w:val="0"/>
                <w:bCs/>
              </w:rPr>
              <w:t>单位人员对工资福利等发放工作的满意程度</w:t>
            </w:r>
          </w:p>
        </w:tc>
        <w:tc>
          <w:tcPr>
            <w:tcW w:w="580"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w:t>
            </w:r>
          </w:p>
        </w:tc>
        <w:tc>
          <w:tcPr>
            <w:tcW w:w="630"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90</w:t>
            </w:r>
          </w:p>
        </w:tc>
        <w:tc>
          <w:tcPr>
            <w:tcW w:w="1108" w:type="dxa"/>
            <w:tcBorders>
              <w:tl2br w:val="nil"/>
              <w:tr2bl w:val="nil"/>
            </w:tcBorders>
            <w:vAlign w:val="center"/>
          </w:tcPr>
          <w:p>
            <w:pPr>
              <w:spacing w:line="300" w:lineRule="exact"/>
              <w:jc w:val="center"/>
              <w:rPr>
                <w:rFonts w:hint="eastAsia"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w:t>
            </w:r>
          </w:p>
        </w:tc>
        <w:tc>
          <w:tcPr>
            <w:tcW w:w="1502" w:type="dxa"/>
            <w:tcBorders>
              <w:tl2br w:val="nil"/>
              <w:tr2bl w:val="nil"/>
            </w:tcBorders>
            <w:vAlign w:val="center"/>
          </w:tcPr>
          <w:p>
            <w:pPr>
              <w:spacing w:line="300" w:lineRule="exact"/>
              <w:jc w:val="center"/>
              <w:rPr>
                <w:rFonts w:hint="default" w:ascii="Times New Roman" w:hAnsi="Times New Roman" w:eastAsia="仿宋_GB2312" w:cs="Times New Roman"/>
                <w:b w:val="0"/>
                <w:bCs/>
                <w:lang w:val="en-US" w:eastAsia="zh-CN"/>
              </w:rPr>
            </w:pPr>
            <w:r>
              <w:rPr>
                <w:rFonts w:hint="eastAsia" w:ascii="Times New Roman" w:hAnsi="Times New Roman" w:eastAsia="仿宋_GB2312" w:cs="Times New Roman"/>
                <w:b w:val="0"/>
                <w:bCs/>
                <w:lang w:val="en-US" w:eastAsia="zh-CN"/>
              </w:rPr>
              <w:t>调查问卷</w:t>
            </w:r>
          </w:p>
        </w:tc>
      </w:tr>
    </w:tbl>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3"/>
        <w:rPr>
          <w:rFonts w:hint="eastAsia" w:ascii="仿宋_GB2312" w:hAnsi="仿宋_GB2312" w:eastAsia="仿宋_GB2312" w:cs="仿宋_GB2312"/>
        </w:rPr>
      </w:pPr>
      <w:bookmarkStart w:id="0" w:name="_Toc_4_4_0000000004"/>
      <w:r>
        <w:rPr>
          <w:rFonts w:hint="eastAsia" w:ascii="仿宋_GB2312" w:hAnsi="仿宋_GB2312" w:eastAsia="仿宋_GB2312" w:cs="仿宋_GB2312"/>
          <w:color w:val="000000"/>
          <w:sz w:val="28"/>
        </w:rPr>
        <w:t>1.补助被征地农民资金绩效目标表</w:t>
      </w:r>
      <w:bookmarkEnd w:id="0"/>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补助被征地农民资金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数量指标</w:t>
            </w:r>
          </w:p>
        </w:tc>
        <w:tc>
          <w:tcPr>
            <w:tcW w:w="198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社会保障费及风险基金缴纳比例</w:t>
            </w:r>
          </w:p>
        </w:tc>
        <w:tc>
          <w:tcPr>
            <w:tcW w:w="340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社会保障费及风险基金缴纳比例</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100%</w:t>
            </w:r>
          </w:p>
        </w:tc>
        <w:tc>
          <w:tcPr>
            <w:tcW w:w="215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质量指标</w:t>
            </w:r>
          </w:p>
        </w:tc>
        <w:tc>
          <w:tcPr>
            <w:tcW w:w="198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资金使用合规性</w:t>
            </w:r>
          </w:p>
        </w:tc>
        <w:tc>
          <w:tcPr>
            <w:tcW w:w="340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资金使用合规性</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100%</w:t>
            </w:r>
          </w:p>
        </w:tc>
        <w:tc>
          <w:tcPr>
            <w:tcW w:w="215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时效指标</w:t>
            </w:r>
          </w:p>
        </w:tc>
        <w:tc>
          <w:tcPr>
            <w:tcW w:w="198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缴纳及时性</w:t>
            </w:r>
          </w:p>
        </w:tc>
        <w:tc>
          <w:tcPr>
            <w:tcW w:w="340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按照进度及时拨付缴纳</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及时缴纳</w:t>
            </w:r>
          </w:p>
        </w:tc>
        <w:tc>
          <w:tcPr>
            <w:tcW w:w="215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成本指标</w:t>
            </w:r>
          </w:p>
        </w:tc>
        <w:tc>
          <w:tcPr>
            <w:tcW w:w="198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成本控制率</w:t>
            </w:r>
          </w:p>
        </w:tc>
        <w:tc>
          <w:tcPr>
            <w:tcW w:w="340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按自然资源和规划部门提供区片价的25%征收被征地农民社会保障费，按照土地出让平均纯收益的10%提取被征地农民风险基金。</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≤100%</w:t>
            </w:r>
          </w:p>
        </w:tc>
        <w:tc>
          <w:tcPr>
            <w:tcW w:w="215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b w:val="0"/>
                <w:bCs/>
              </w:rPr>
            </w:pPr>
            <w:r>
              <w:rPr>
                <w:rFonts w:hint="eastAsia" w:ascii="仿宋_GB2312" w:hAnsi="仿宋_GB2312" w:eastAsia="仿宋_GB2312" w:cs="仿宋_GB2312"/>
                <w:b w:val="0"/>
                <w:bCs/>
              </w:rPr>
              <w:t>效果指标</w:t>
            </w:r>
          </w:p>
        </w:tc>
        <w:tc>
          <w:tcPr>
            <w:tcW w:w="226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社会效益指标</w:t>
            </w:r>
          </w:p>
        </w:tc>
        <w:tc>
          <w:tcPr>
            <w:tcW w:w="198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被征地农民参加城乡居民基本养老保险</w:t>
            </w:r>
          </w:p>
        </w:tc>
        <w:tc>
          <w:tcPr>
            <w:tcW w:w="340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按发放标准计发</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及时发放</w:t>
            </w:r>
          </w:p>
        </w:tc>
        <w:tc>
          <w:tcPr>
            <w:tcW w:w="215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b w:val="0"/>
                <w:bCs/>
              </w:rPr>
            </w:pPr>
          </w:p>
        </w:tc>
        <w:tc>
          <w:tcPr>
            <w:tcW w:w="226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可持续影响指标</w:t>
            </w:r>
          </w:p>
        </w:tc>
        <w:tc>
          <w:tcPr>
            <w:tcW w:w="198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维护社会稳定</w:t>
            </w:r>
          </w:p>
        </w:tc>
        <w:tc>
          <w:tcPr>
            <w:tcW w:w="340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维护社会稳定保障征地工作推进</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有效推进</w:t>
            </w:r>
          </w:p>
        </w:tc>
        <w:tc>
          <w:tcPr>
            <w:tcW w:w="215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val="0"/>
                <w:bCs/>
              </w:rPr>
            </w:pPr>
            <w:r>
              <w:rPr>
                <w:rFonts w:hint="eastAsia" w:ascii="仿宋_GB2312" w:hAnsi="仿宋_GB2312" w:eastAsia="仿宋_GB2312" w:cs="仿宋_GB2312"/>
                <w:b w:val="0"/>
                <w:bCs/>
              </w:rPr>
              <w:t>满意度指标</w:t>
            </w:r>
          </w:p>
        </w:tc>
        <w:tc>
          <w:tcPr>
            <w:tcW w:w="226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服务对象满意度指标</w:t>
            </w:r>
          </w:p>
        </w:tc>
        <w:tc>
          <w:tcPr>
            <w:tcW w:w="198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被征地农民满意度</w:t>
            </w:r>
          </w:p>
        </w:tc>
        <w:tc>
          <w:tcPr>
            <w:tcW w:w="340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被征地农民满意度</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≥90%</w:t>
            </w:r>
          </w:p>
        </w:tc>
        <w:tc>
          <w:tcPr>
            <w:tcW w:w="215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调查问卷</w:t>
            </w:r>
          </w:p>
        </w:tc>
      </w:tr>
    </w:tbl>
    <w:p>
      <w:pPr>
        <w:ind w:firstLine="560" w:firstLineChars="200"/>
        <w:jc w:val="left"/>
        <w:outlineLvl w:val="1"/>
        <w:rPr>
          <w:rFonts w:hint="eastAsia" w:ascii="仿宋_GB2312" w:hAnsi="仿宋_GB2312" w:eastAsia="仿宋_GB2312" w:cs="仿宋_GB2312"/>
          <w:sz w:val="28"/>
        </w:rPr>
      </w:pPr>
    </w:p>
    <w:p>
      <w:pPr>
        <w:spacing w:before="0" w:after="0"/>
        <w:ind w:firstLine="560"/>
        <w:jc w:val="left"/>
        <w:outlineLvl w:val="3"/>
        <w:rPr>
          <w:rFonts w:hint="eastAsia" w:ascii="仿宋_GB2312" w:hAnsi="仿宋_GB2312" w:eastAsia="仿宋_GB2312" w:cs="仿宋_GB2312"/>
          <w:sz w:val="28"/>
        </w:rPr>
      </w:pPr>
    </w:p>
    <w:p>
      <w:pPr>
        <w:spacing w:before="0" w:after="0"/>
        <w:ind w:firstLine="560"/>
        <w:jc w:val="left"/>
        <w:outlineLvl w:val="3"/>
        <w:rPr>
          <w:rFonts w:hint="eastAsia" w:ascii="仿宋_GB2312" w:hAnsi="仿宋_GB2312" w:eastAsia="仿宋_GB2312" w:cs="仿宋_GB2312"/>
          <w:sz w:val="28"/>
        </w:rPr>
      </w:pPr>
      <w:r>
        <w:rPr>
          <w:rFonts w:hint="eastAsia" w:ascii="仿宋_GB2312" w:hAnsi="仿宋_GB2312" w:eastAsia="仿宋_GB2312" w:cs="仿宋_GB2312"/>
          <w:sz w:val="28"/>
        </w:rPr>
        <w:t>2.</w:t>
      </w:r>
      <w:r>
        <w:rPr>
          <w:rFonts w:hint="eastAsia" w:ascii="仿宋_GB2312" w:hAnsi="仿宋_GB2312" w:eastAsia="仿宋_GB2312" w:cs="仿宋_GB2312"/>
          <w:color w:val="000000"/>
          <w:sz w:val="28"/>
        </w:rPr>
        <w:t>基础设施建设资金绩效目标表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pStyle w:val="14"/>
              <w:rPr>
                <w:rFonts w:hint="eastAsia" w:ascii="仿宋_GB2312" w:hAnsi="仿宋_GB2312" w:eastAsia="仿宋_GB2312" w:cs="仿宋_GB2312"/>
                <w:kern w:val="0"/>
                <w:sz w:val="21"/>
                <w:szCs w:val="24"/>
                <w:lang w:val="en-US" w:eastAsia="zh-CN" w:bidi="ar-SA"/>
              </w:rPr>
            </w:pPr>
            <w:r>
              <w:rPr>
                <w:rFonts w:hint="eastAsia" w:ascii="仿宋_GB2312" w:hAnsi="仿宋_GB2312" w:eastAsia="仿宋_GB2312" w:cs="仿宋_GB2312"/>
              </w:rPr>
              <w:t>基础设施建设资金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数量指标</w:t>
            </w:r>
          </w:p>
        </w:tc>
        <w:tc>
          <w:tcPr>
            <w:tcW w:w="198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工程完工率</w:t>
            </w:r>
          </w:p>
        </w:tc>
        <w:tc>
          <w:tcPr>
            <w:tcW w:w="340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工程完工率</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≥90%</w:t>
            </w:r>
          </w:p>
        </w:tc>
        <w:tc>
          <w:tcPr>
            <w:tcW w:w="215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质量指标</w:t>
            </w:r>
          </w:p>
        </w:tc>
        <w:tc>
          <w:tcPr>
            <w:tcW w:w="198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工程质量合格率</w:t>
            </w:r>
          </w:p>
        </w:tc>
        <w:tc>
          <w:tcPr>
            <w:tcW w:w="340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工程质量合格率</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100%</w:t>
            </w:r>
          </w:p>
        </w:tc>
        <w:tc>
          <w:tcPr>
            <w:tcW w:w="215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时效指标</w:t>
            </w:r>
          </w:p>
        </w:tc>
        <w:tc>
          <w:tcPr>
            <w:tcW w:w="198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资金支付及时性</w:t>
            </w:r>
          </w:p>
        </w:tc>
        <w:tc>
          <w:tcPr>
            <w:tcW w:w="340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资金支付及时性</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及时支付</w:t>
            </w:r>
          </w:p>
        </w:tc>
        <w:tc>
          <w:tcPr>
            <w:tcW w:w="215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成本指标</w:t>
            </w:r>
          </w:p>
        </w:tc>
        <w:tc>
          <w:tcPr>
            <w:tcW w:w="198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成本控制率</w:t>
            </w:r>
          </w:p>
        </w:tc>
        <w:tc>
          <w:tcPr>
            <w:tcW w:w="340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成本控制率</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≤100%</w:t>
            </w:r>
          </w:p>
        </w:tc>
        <w:tc>
          <w:tcPr>
            <w:tcW w:w="215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社会效益指标</w:t>
            </w:r>
          </w:p>
        </w:tc>
        <w:tc>
          <w:tcPr>
            <w:tcW w:w="198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设施正常运转率</w:t>
            </w:r>
          </w:p>
        </w:tc>
        <w:tc>
          <w:tcPr>
            <w:tcW w:w="340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正常运转设施占总设施的比率</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≥90%</w:t>
            </w:r>
          </w:p>
        </w:tc>
        <w:tc>
          <w:tcPr>
            <w:tcW w:w="215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b w:val="0"/>
                <w:bCs/>
              </w:rPr>
            </w:pPr>
          </w:p>
        </w:tc>
        <w:tc>
          <w:tcPr>
            <w:tcW w:w="1985" w:type="dxa"/>
            <w:shd w:val="clear" w:color="auto" w:fill="auto"/>
            <w:vAlign w:val="center"/>
          </w:tcPr>
          <w:p>
            <w:pPr>
              <w:spacing w:line="300" w:lineRule="exact"/>
              <w:jc w:val="center"/>
              <w:rPr>
                <w:rFonts w:hint="eastAsia" w:ascii="仿宋_GB2312" w:hAnsi="仿宋_GB2312" w:eastAsia="仿宋_GB2312" w:cs="仿宋_GB2312"/>
                <w:b w:val="0"/>
                <w:bCs/>
              </w:rPr>
            </w:pPr>
          </w:p>
        </w:tc>
        <w:tc>
          <w:tcPr>
            <w:tcW w:w="3402" w:type="dxa"/>
            <w:shd w:val="clear" w:color="auto" w:fill="auto"/>
            <w:vAlign w:val="center"/>
          </w:tcPr>
          <w:p>
            <w:pPr>
              <w:spacing w:line="300" w:lineRule="exact"/>
              <w:jc w:val="center"/>
              <w:rPr>
                <w:rFonts w:hint="eastAsia" w:ascii="仿宋_GB2312" w:hAnsi="仿宋_GB2312" w:eastAsia="仿宋_GB2312" w:cs="仿宋_GB2312"/>
                <w:b w:val="0"/>
                <w:bCs/>
              </w:rPr>
            </w:pPr>
          </w:p>
        </w:tc>
        <w:tc>
          <w:tcPr>
            <w:tcW w:w="1843" w:type="dxa"/>
            <w:shd w:val="clear" w:color="auto" w:fill="auto"/>
            <w:vAlign w:val="center"/>
          </w:tcPr>
          <w:p>
            <w:pPr>
              <w:spacing w:line="300" w:lineRule="exact"/>
              <w:jc w:val="center"/>
              <w:rPr>
                <w:rFonts w:hint="eastAsia" w:ascii="仿宋_GB2312" w:hAnsi="仿宋_GB2312" w:eastAsia="仿宋_GB2312" w:cs="仿宋_GB2312"/>
                <w:b w:val="0"/>
                <w:bCs/>
              </w:rPr>
            </w:pPr>
          </w:p>
        </w:tc>
        <w:tc>
          <w:tcPr>
            <w:tcW w:w="2155" w:type="dxa"/>
            <w:shd w:val="clear" w:color="auto" w:fill="auto"/>
            <w:vAlign w:val="center"/>
          </w:tcPr>
          <w:p>
            <w:pPr>
              <w:spacing w:line="300" w:lineRule="exact"/>
              <w:jc w:val="center"/>
              <w:rPr>
                <w:rFonts w:hint="eastAsia" w:ascii="仿宋_GB2312" w:hAnsi="仿宋_GB2312" w:eastAsia="仿宋_GB2312" w:cs="仿宋_GB2312"/>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服务对象满意度指标</w:t>
            </w:r>
          </w:p>
        </w:tc>
        <w:tc>
          <w:tcPr>
            <w:tcW w:w="198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受益群体满意度</w:t>
            </w:r>
          </w:p>
        </w:tc>
        <w:tc>
          <w:tcPr>
            <w:tcW w:w="340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受益群体满意度</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≥90%</w:t>
            </w:r>
          </w:p>
        </w:tc>
        <w:tc>
          <w:tcPr>
            <w:tcW w:w="215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调查问卷</w:t>
            </w:r>
          </w:p>
        </w:tc>
      </w:tr>
    </w:tbl>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spacing w:before="0" w:after="0"/>
        <w:ind w:firstLine="560" w:firstLineChars="200"/>
        <w:jc w:val="left"/>
        <w:outlineLvl w:val="3"/>
        <w:rPr>
          <w:rFonts w:hint="eastAsia" w:ascii="仿宋_GB2312" w:hAnsi="仿宋_GB2312" w:eastAsia="仿宋_GB2312" w:cs="仿宋_GB2312"/>
          <w:sz w:val="28"/>
          <w:lang w:val="en-US" w:eastAsia="zh-CN"/>
        </w:rPr>
      </w:pPr>
    </w:p>
    <w:p>
      <w:pPr>
        <w:spacing w:before="0" w:after="0"/>
        <w:ind w:firstLine="560" w:firstLineChars="200"/>
        <w:jc w:val="left"/>
        <w:outlineLvl w:val="3"/>
        <w:rPr>
          <w:rFonts w:hint="eastAsia" w:ascii="仿宋_GB2312" w:hAnsi="仿宋_GB2312" w:eastAsia="仿宋_GB2312" w:cs="仿宋_GB2312"/>
          <w:sz w:val="28"/>
          <w:lang w:val="en-US" w:eastAsia="zh-CN"/>
        </w:rPr>
      </w:pPr>
    </w:p>
    <w:p>
      <w:pPr>
        <w:spacing w:before="0" w:after="0"/>
        <w:ind w:firstLine="560" w:firstLineChars="200"/>
        <w:jc w:val="left"/>
        <w:outlineLvl w:val="3"/>
        <w:rPr>
          <w:rFonts w:hint="eastAsia" w:ascii="仿宋_GB2312" w:hAnsi="仿宋_GB2312" w:eastAsia="仿宋_GB2312" w:cs="仿宋_GB2312"/>
          <w:sz w:val="28"/>
          <w:lang w:val="en-US" w:eastAsia="zh-CN"/>
        </w:rPr>
      </w:pPr>
    </w:p>
    <w:p>
      <w:pPr>
        <w:spacing w:before="0" w:after="0"/>
        <w:ind w:firstLine="560" w:firstLineChars="200"/>
        <w:jc w:val="left"/>
        <w:outlineLvl w:val="3"/>
        <w:rPr>
          <w:rFonts w:hint="eastAsia" w:ascii="仿宋_GB2312" w:hAnsi="仿宋_GB2312" w:eastAsia="仿宋_GB2312" w:cs="仿宋_GB2312"/>
          <w:sz w:val="28"/>
          <w:lang w:val="en-US" w:eastAsia="zh-CN"/>
        </w:rPr>
      </w:pPr>
    </w:p>
    <w:p>
      <w:pPr>
        <w:spacing w:before="0" w:after="0"/>
        <w:ind w:firstLine="560" w:firstLineChars="200"/>
        <w:jc w:val="left"/>
        <w:outlineLvl w:val="3"/>
        <w:rPr>
          <w:rFonts w:hint="eastAsia" w:ascii="仿宋_GB2312" w:hAnsi="仿宋_GB2312" w:eastAsia="仿宋_GB2312" w:cs="仿宋_GB2312"/>
          <w:sz w:val="28"/>
          <w:lang w:val="en-US" w:eastAsia="zh-CN"/>
        </w:rPr>
      </w:pPr>
    </w:p>
    <w:p>
      <w:pPr>
        <w:spacing w:before="0" w:after="0"/>
        <w:ind w:firstLine="560" w:firstLineChars="200"/>
        <w:jc w:val="left"/>
        <w:outlineLvl w:val="3"/>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3</w:t>
      </w:r>
      <w:r>
        <w:rPr>
          <w:rFonts w:hint="eastAsia" w:ascii="仿宋_GB2312" w:hAnsi="仿宋_GB2312" w:eastAsia="仿宋_GB2312" w:cs="仿宋_GB2312"/>
          <w:sz w:val="28"/>
        </w:rPr>
        <w:t>.</w:t>
      </w:r>
      <w:r>
        <w:rPr>
          <w:rFonts w:hint="eastAsia" w:ascii="仿宋_GB2312" w:hAnsi="仿宋_GB2312" w:eastAsia="仿宋_GB2312" w:cs="仿宋_GB2312"/>
          <w:color w:val="000000"/>
          <w:sz w:val="28"/>
        </w:rPr>
        <w:t>聘用人员工资经费绩效目标表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363"/>
        <w:gridCol w:w="1890"/>
        <w:gridCol w:w="2934"/>
        <w:gridCol w:w="1602"/>
        <w:gridCol w:w="28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聘用人员工资经费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36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890"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293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6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86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36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数量指标</w:t>
            </w:r>
          </w:p>
        </w:tc>
        <w:tc>
          <w:tcPr>
            <w:tcW w:w="1890"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发放人数</w:t>
            </w:r>
          </w:p>
        </w:tc>
        <w:tc>
          <w:tcPr>
            <w:tcW w:w="2934"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发放人数</w:t>
            </w:r>
          </w:p>
        </w:tc>
        <w:tc>
          <w:tcPr>
            <w:tcW w:w="160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≤20人</w:t>
            </w:r>
          </w:p>
        </w:tc>
        <w:tc>
          <w:tcPr>
            <w:tcW w:w="2864"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广阳经开区人事薪酬改革岗位设置、薪酬管理、人员聘用、绩效考核等实施方案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36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质量指标</w:t>
            </w:r>
          </w:p>
        </w:tc>
        <w:tc>
          <w:tcPr>
            <w:tcW w:w="1890"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工资(福利)等发放精准性</w:t>
            </w:r>
          </w:p>
        </w:tc>
        <w:tc>
          <w:tcPr>
            <w:tcW w:w="2934"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工资福利等发放人员范围的精准性和发放数据的准确性</w:t>
            </w:r>
          </w:p>
        </w:tc>
        <w:tc>
          <w:tcPr>
            <w:tcW w:w="160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lang w:val="en-US" w:eastAsia="zh-CN"/>
              </w:rPr>
              <w:t>100</w:t>
            </w:r>
            <w:r>
              <w:rPr>
                <w:rFonts w:hint="eastAsia" w:ascii="仿宋_GB2312" w:hAnsi="仿宋_GB2312" w:eastAsia="仿宋_GB2312" w:cs="仿宋_GB2312"/>
                <w:b w:val="0"/>
                <w:bCs/>
              </w:rPr>
              <w:t>%</w:t>
            </w:r>
          </w:p>
        </w:tc>
        <w:tc>
          <w:tcPr>
            <w:tcW w:w="2864"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广阳经开区人事薪酬改革岗位设置、薪酬管理、人员聘用、绩效考核等实施方案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36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时效指标</w:t>
            </w:r>
          </w:p>
        </w:tc>
        <w:tc>
          <w:tcPr>
            <w:tcW w:w="1890"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社会保障（公积金）缴纳的准确性</w:t>
            </w:r>
          </w:p>
        </w:tc>
        <w:tc>
          <w:tcPr>
            <w:tcW w:w="2934"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社会保障（公积金）缴纳数据的准确性</w:t>
            </w:r>
          </w:p>
        </w:tc>
        <w:tc>
          <w:tcPr>
            <w:tcW w:w="160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按规定时间发放</w:t>
            </w:r>
          </w:p>
        </w:tc>
        <w:tc>
          <w:tcPr>
            <w:tcW w:w="2864"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广阳经开区人事薪酬改革岗位设置、薪酬管理、人员聘用、绩效考核等实施方案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36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成本指标</w:t>
            </w:r>
          </w:p>
        </w:tc>
        <w:tc>
          <w:tcPr>
            <w:tcW w:w="1890"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工资（福利）、社会保障（公积金）等发放（缴纳）标准</w:t>
            </w:r>
          </w:p>
        </w:tc>
        <w:tc>
          <w:tcPr>
            <w:tcW w:w="2934"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工资（福利）、社会保障（公积金）等发放（缴纳）标准</w:t>
            </w:r>
          </w:p>
        </w:tc>
        <w:tc>
          <w:tcPr>
            <w:tcW w:w="160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按规定执行</w:t>
            </w:r>
          </w:p>
        </w:tc>
        <w:tc>
          <w:tcPr>
            <w:tcW w:w="2864"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广阳经开区人事薪酬改革岗位设置、薪酬管理、人员聘用、绩效考核等实施方案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36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社会效益指标</w:t>
            </w:r>
          </w:p>
        </w:tc>
        <w:tc>
          <w:tcPr>
            <w:tcW w:w="1890"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加强工作人员归属感，保持干部队伍稳定</w:t>
            </w:r>
          </w:p>
        </w:tc>
        <w:tc>
          <w:tcPr>
            <w:tcW w:w="2934"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通过按时按标准发放工资福利等，进一步增强干部职工得归属感，保持干部队伍相对稳定，保障办公正常运转</w:t>
            </w:r>
          </w:p>
        </w:tc>
        <w:tc>
          <w:tcPr>
            <w:tcW w:w="160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保持干部队伍相对稳定</w:t>
            </w:r>
          </w:p>
        </w:tc>
        <w:tc>
          <w:tcPr>
            <w:tcW w:w="2864"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广阳经开区人事薪酬改革岗位设置、薪酬管理、人员聘用、绩效考核等实施方案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36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服务对象满意度指标</w:t>
            </w:r>
          </w:p>
        </w:tc>
        <w:tc>
          <w:tcPr>
            <w:tcW w:w="1890"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聘用人员满意度</w:t>
            </w:r>
          </w:p>
        </w:tc>
        <w:tc>
          <w:tcPr>
            <w:tcW w:w="2934"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聘用人员对工资福利等发放工作的满意程度</w:t>
            </w:r>
          </w:p>
        </w:tc>
        <w:tc>
          <w:tcPr>
            <w:tcW w:w="160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≥98%</w:t>
            </w:r>
          </w:p>
        </w:tc>
        <w:tc>
          <w:tcPr>
            <w:tcW w:w="2864"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调查问卷</w:t>
            </w:r>
          </w:p>
        </w:tc>
      </w:tr>
    </w:tbl>
    <w:p>
      <w:pPr>
        <w:autoSpaceDE w:val="0"/>
        <w:autoSpaceDN w:val="0"/>
        <w:adjustRightInd w:val="0"/>
        <w:spacing w:line="584" w:lineRule="exact"/>
        <w:ind w:firstLine="880" w:firstLineChars="200"/>
        <w:jc w:val="left"/>
        <w:rPr>
          <w:rFonts w:hint="eastAsia" w:ascii="仿宋_GB2312" w:hAnsi="仿宋_GB2312" w:eastAsia="仿宋_GB2312" w:cs="仿宋_GB2312"/>
          <w:sz w:val="44"/>
          <w:szCs w:val="44"/>
        </w:rPr>
      </w:pPr>
    </w:p>
    <w:p>
      <w:pPr>
        <w:spacing w:before="0" w:after="0"/>
        <w:ind w:firstLine="560"/>
        <w:jc w:val="left"/>
        <w:outlineLvl w:val="3"/>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4</w:t>
      </w:r>
      <w:r>
        <w:rPr>
          <w:rFonts w:hint="eastAsia" w:ascii="仿宋_GB2312" w:hAnsi="仿宋_GB2312" w:eastAsia="仿宋_GB2312" w:cs="仿宋_GB2312"/>
          <w:sz w:val="28"/>
        </w:rPr>
        <w:t>.</w:t>
      </w:r>
      <w:r>
        <w:rPr>
          <w:rFonts w:hint="eastAsia" w:ascii="仿宋_GB2312" w:hAnsi="仿宋_GB2312" w:eastAsia="仿宋_GB2312" w:cs="仿宋_GB2312"/>
          <w:color w:val="000000"/>
          <w:sz w:val="28"/>
        </w:rPr>
        <w:t>土地开发支出资金绩效目标表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土地开发支出资金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数量指标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土地开发面积</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经开区土地开发面积</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≤1599亩</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质量指标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资金使用合规性</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资金使用合规性</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时效指标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资金拨付及时性</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按照土地开发进度及时拨付资金</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及时拨付资金</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成本控制率</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成本控制率</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≤100%</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社会效益指标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提高经开区土地开发利用率</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提高经开区土地开发利用率</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有效提高</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合作运营协议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spacing w:line="300" w:lineRule="exact"/>
              <w:jc w:val="left"/>
              <w:rPr>
                <w:rFonts w:hint="eastAsia" w:ascii="仿宋_GB2312" w:hAnsi="仿宋_GB2312" w:eastAsia="仿宋_GB2312" w:cs="仿宋_GB2312"/>
              </w:rPr>
            </w:pPr>
          </w:p>
        </w:tc>
        <w:tc>
          <w:tcPr>
            <w:tcW w:w="1985" w:type="dxa"/>
            <w:shd w:val="clear" w:color="auto" w:fill="auto"/>
            <w:vAlign w:val="center"/>
          </w:tcPr>
          <w:p>
            <w:pPr>
              <w:spacing w:line="300" w:lineRule="exact"/>
              <w:jc w:val="left"/>
              <w:rPr>
                <w:rFonts w:hint="eastAsia" w:ascii="仿宋_GB2312" w:hAnsi="仿宋_GB2312" w:eastAsia="仿宋_GB2312" w:cs="仿宋_GB2312"/>
              </w:rPr>
            </w:pPr>
          </w:p>
        </w:tc>
        <w:tc>
          <w:tcPr>
            <w:tcW w:w="3402" w:type="dxa"/>
            <w:shd w:val="clear" w:color="auto" w:fill="auto"/>
            <w:vAlign w:val="center"/>
          </w:tcPr>
          <w:p>
            <w:pPr>
              <w:spacing w:line="300" w:lineRule="exact"/>
              <w:jc w:val="left"/>
              <w:rPr>
                <w:rFonts w:hint="eastAsia" w:ascii="仿宋_GB2312" w:hAnsi="仿宋_GB2312" w:eastAsia="仿宋_GB2312" w:cs="仿宋_GB2312"/>
              </w:rPr>
            </w:pPr>
          </w:p>
        </w:tc>
        <w:tc>
          <w:tcPr>
            <w:tcW w:w="1843" w:type="dxa"/>
            <w:shd w:val="clear" w:color="auto" w:fill="auto"/>
            <w:vAlign w:val="center"/>
          </w:tcPr>
          <w:p>
            <w:pPr>
              <w:spacing w:line="300" w:lineRule="exact"/>
              <w:jc w:val="left"/>
              <w:rPr>
                <w:rFonts w:hint="eastAsia" w:ascii="仿宋_GB2312" w:hAnsi="仿宋_GB2312" w:eastAsia="仿宋_GB2312" w:cs="仿宋_GB2312"/>
              </w:rPr>
            </w:pPr>
          </w:p>
        </w:tc>
        <w:tc>
          <w:tcPr>
            <w:tcW w:w="2155" w:type="dxa"/>
            <w:shd w:val="clear" w:color="auto" w:fill="auto"/>
            <w:vAlign w:val="center"/>
          </w:tcPr>
          <w:p>
            <w:pPr>
              <w:spacing w:line="300" w:lineRule="exact"/>
              <w:jc w:val="left"/>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受益群体满意程度</w:t>
            </w:r>
          </w:p>
        </w:tc>
        <w:tc>
          <w:tcPr>
            <w:tcW w:w="3402"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受益群体满意程度</w:t>
            </w:r>
          </w:p>
        </w:tc>
        <w:tc>
          <w:tcPr>
            <w:tcW w:w="184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5</w:t>
      </w:r>
      <w:r>
        <w:rPr>
          <w:rFonts w:hint="eastAsia" w:ascii="仿宋_GB2312" w:hAnsi="仿宋_GB2312" w:eastAsia="仿宋_GB2312" w:cs="仿宋_GB2312"/>
          <w:sz w:val="28"/>
        </w:rPr>
        <w:t>.</w:t>
      </w:r>
      <w:r>
        <w:rPr>
          <w:rFonts w:hint="eastAsia" w:ascii="仿宋_GB2312" w:hAnsi="仿宋_GB2312" w:eastAsia="仿宋_GB2312" w:cs="仿宋_GB2312"/>
          <w:color w:val="000000"/>
          <w:sz w:val="28"/>
        </w:rPr>
        <w:t>新业路（兴业道-光明东道）道路工程绩效目标表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152"/>
        <w:gridCol w:w="2475"/>
        <w:gridCol w:w="1826"/>
        <w:gridCol w:w="39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tabs>
                <w:tab w:val="left" w:pos="636"/>
              </w:tabs>
              <w:spacing w:line="300" w:lineRule="exact"/>
              <w:rPr>
                <w:rFonts w:hint="eastAsia" w:ascii="仿宋_GB2312" w:hAnsi="仿宋_GB2312" w:eastAsia="仿宋_GB2312" w:cs="仿宋_GB2312"/>
                <w:b/>
                <w:lang w:eastAsia="zh-CN"/>
              </w:rPr>
            </w:pPr>
            <w:r>
              <w:rPr>
                <w:rFonts w:hint="eastAsia" w:ascii="仿宋_GB2312" w:hAnsi="仿宋_GB2312" w:eastAsia="仿宋_GB2312" w:cs="仿宋_GB2312"/>
              </w:rPr>
              <w:t>新业路（兴业道-光明东道）道路工程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15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247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26"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393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成本指标</w:t>
            </w:r>
          </w:p>
        </w:tc>
        <w:tc>
          <w:tcPr>
            <w:tcW w:w="115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项目投资控制</w:t>
            </w:r>
          </w:p>
        </w:tc>
        <w:tc>
          <w:tcPr>
            <w:tcW w:w="247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项目建设资金</w:t>
            </w:r>
          </w:p>
        </w:tc>
        <w:tc>
          <w:tcPr>
            <w:tcW w:w="1826"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≤1298.97万元</w:t>
            </w:r>
          </w:p>
        </w:tc>
        <w:tc>
          <w:tcPr>
            <w:tcW w:w="393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廊广发改﹝2021﹞48号《区发改局关于新业路道路工程可行性研究报告的批复》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数量指标</w:t>
            </w:r>
          </w:p>
        </w:tc>
        <w:tc>
          <w:tcPr>
            <w:tcW w:w="115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规划建设长度</w:t>
            </w:r>
          </w:p>
        </w:tc>
        <w:tc>
          <w:tcPr>
            <w:tcW w:w="247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新建新业路长度</w:t>
            </w:r>
          </w:p>
        </w:tc>
        <w:tc>
          <w:tcPr>
            <w:tcW w:w="1826"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≤1194米</w:t>
            </w:r>
          </w:p>
        </w:tc>
        <w:tc>
          <w:tcPr>
            <w:tcW w:w="393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廊广发改﹝2021﹞48号《区发改局关于新业路道路工程可行性研究报告的批复》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时效指标</w:t>
            </w:r>
          </w:p>
        </w:tc>
        <w:tc>
          <w:tcPr>
            <w:tcW w:w="115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资金拨付及时性</w:t>
            </w:r>
          </w:p>
        </w:tc>
        <w:tc>
          <w:tcPr>
            <w:tcW w:w="247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按照工程进度及时拨付资金</w:t>
            </w:r>
          </w:p>
        </w:tc>
        <w:tc>
          <w:tcPr>
            <w:tcW w:w="1826"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及时拨付资金</w:t>
            </w:r>
          </w:p>
        </w:tc>
        <w:tc>
          <w:tcPr>
            <w:tcW w:w="393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廊广发改﹝2021﹞48号《区发改局关于新业路道路工程可行性研究报告的批复》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质量指标</w:t>
            </w:r>
          </w:p>
        </w:tc>
        <w:tc>
          <w:tcPr>
            <w:tcW w:w="115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工程验收合格率</w:t>
            </w:r>
          </w:p>
        </w:tc>
        <w:tc>
          <w:tcPr>
            <w:tcW w:w="247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工程验收合格比例</w:t>
            </w:r>
          </w:p>
        </w:tc>
        <w:tc>
          <w:tcPr>
            <w:tcW w:w="1826"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100%</w:t>
            </w:r>
          </w:p>
        </w:tc>
        <w:tc>
          <w:tcPr>
            <w:tcW w:w="393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廊广发改﹝2021﹞48号《区发改局关于新业路道路工程可行性研究报告的批复》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b w:val="0"/>
                <w:bCs/>
              </w:rPr>
            </w:pPr>
            <w:r>
              <w:rPr>
                <w:rFonts w:hint="eastAsia" w:ascii="仿宋_GB2312" w:hAnsi="仿宋_GB2312" w:eastAsia="仿宋_GB2312" w:cs="仿宋_GB2312"/>
                <w:b w:val="0"/>
                <w:bCs/>
              </w:rPr>
              <w:t>效果指标</w:t>
            </w:r>
          </w:p>
        </w:tc>
        <w:tc>
          <w:tcPr>
            <w:tcW w:w="226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可</w:t>
            </w:r>
            <w:r>
              <w:rPr>
                <w:rFonts w:hint="eastAsia" w:ascii="仿宋_GB2312" w:hAnsi="仿宋_GB2312" w:eastAsia="仿宋_GB2312" w:cs="仿宋_GB2312"/>
                <w:b w:val="0"/>
                <w:bCs/>
                <w:lang w:val="en-US" w:eastAsia="zh-CN"/>
              </w:rPr>
              <w:t>持续影响指标</w:t>
            </w:r>
          </w:p>
        </w:tc>
        <w:tc>
          <w:tcPr>
            <w:tcW w:w="115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可持续使用时间</w:t>
            </w:r>
          </w:p>
        </w:tc>
        <w:tc>
          <w:tcPr>
            <w:tcW w:w="247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可持续使用时间</w:t>
            </w:r>
          </w:p>
        </w:tc>
        <w:tc>
          <w:tcPr>
            <w:tcW w:w="1826"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lang w:val="en-US" w:eastAsia="zh-CN"/>
              </w:rPr>
              <w:t>显著延长</w:t>
            </w:r>
          </w:p>
        </w:tc>
        <w:tc>
          <w:tcPr>
            <w:tcW w:w="393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lang w:val="en-US" w:eastAsia="zh-CN"/>
              </w:rPr>
              <w:t>廊广发改﹝2021﹞48号《区发改局关于新业路道路工程可行性研究报告的批复》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社会效益指标</w:t>
            </w:r>
          </w:p>
        </w:tc>
        <w:tc>
          <w:tcPr>
            <w:tcW w:w="115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完善基础建设改善投资环境</w:t>
            </w:r>
          </w:p>
        </w:tc>
        <w:tc>
          <w:tcPr>
            <w:tcW w:w="247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完善基础建设，改善投资环境</w:t>
            </w:r>
          </w:p>
        </w:tc>
        <w:tc>
          <w:tcPr>
            <w:tcW w:w="1826"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明显改善</w:t>
            </w:r>
          </w:p>
        </w:tc>
        <w:tc>
          <w:tcPr>
            <w:tcW w:w="3932" w:type="dxa"/>
            <w:shd w:val="clear" w:color="auto" w:fill="auto"/>
            <w:vAlign w:val="center"/>
          </w:tcPr>
          <w:p>
            <w:pPr>
              <w:pStyle w:val="14"/>
              <w:rPr>
                <w:rFonts w:hint="eastAsia" w:ascii="仿宋_GB2312" w:hAnsi="仿宋_GB2312" w:eastAsia="仿宋_GB2312" w:cs="仿宋_GB2312"/>
                <w:b w:val="0"/>
                <w:bCs/>
                <w:kern w:val="2"/>
                <w:sz w:val="21"/>
                <w:szCs w:val="22"/>
                <w:lang w:val="en-US" w:eastAsia="uk-UA" w:bidi="ar-SA"/>
              </w:rPr>
            </w:pPr>
            <w:r>
              <w:rPr>
                <w:rFonts w:hint="eastAsia" w:ascii="仿宋_GB2312" w:hAnsi="仿宋_GB2312" w:eastAsia="仿宋_GB2312" w:cs="仿宋_GB2312"/>
                <w:b w:val="0"/>
                <w:bCs/>
                <w:kern w:val="2"/>
                <w:sz w:val="21"/>
                <w:szCs w:val="22"/>
                <w:lang w:val="en-US" w:eastAsia="zh-CN" w:bidi="ar-SA"/>
              </w:rPr>
              <w:t>廊广发改﹝2021﹞48号《区发改局关于新业路道路工程可行性研究报告的批复》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经济效益指标</w:t>
            </w:r>
          </w:p>
        </w:tc>
        <w:tc>
          <w:tcPr>
            <w:tcW w:w="115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促进域内经济发展</w:t>
            </w:r>
          </w:p>
        </w:tc>
        <w:tc>
          <w:tcPr>
            <w:tcW w:w="247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促进域内经济发展</w:t>
            </w:r>
          </w:p>
        </w:tc>
        <w:tc>
          <w:tcPr>
            <w:tcW w:w="1826"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有利促进</w:t>
            </w:r>
          </w:p>
        </w:tc>
        <w:tc>
          <w:tcPr>
            <w:tcW w:w="393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lang w:val="en-US" w:eastAsia="zh-CN"/>
              </w:rPr>
              <w:t>廊广发改﹝2021﹞48号《区发改局关于新业路道路工程可行性研究报告的批复》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生态效益指标</w:t>
            </w:r>
          </w:p>
        </w:tc>
        <w:tc>
          <w:tcPr>
            <w:tcW w:w="115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改善区域内环境</w:t>
            </w:r>
          </w:p>
        </w:tc>
        <w:tc>
          <w:tcPr>
            <w:tcW w:w="247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提高绿化率；降低车辆燃油和轮胎的消耗</w:t>
            </w:r>
          </w:p>
        </w:tc>
        <w:tc>
          <w:tcPr>
            <w:tcW w:w="1826"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显著提高</w:t>
            </w:r>
          </w:p>
        </w:tc>
        <w:tc>
          <w:tcPr>
            <w:tcW w:w="393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廊广发改﹝2021﹞48号《区发改局关于新业路道路工程可行性研究报告的批复》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服务对象满意度指标</w:t>
            </w:r>
          </w:p>
        </w:tc>
        <w:tc>
          <w:tcPr>
            <w:tcW w:w="115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群众满意度</w:t>
            </w:r>
          </w:p>
        </w:tc>
        <w:tc>
          <w:tcPr>
            <w:tcW w:w="247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群众对此项民生工程的满意度</w:t>
            </w:r>
          </w:p>
        </w:tc>
        <w:tc>
          <w:tcPr>
            <w:tcW w:w="1826"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≥95%</w:t>
            </w:r>
          </w:p>
        </w:tc>
        <w:tc>
          <w:tcPr>
            <w:tcW w:w="3932"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调查问卷</w:t>
            </w:r>
          </w:p>
        </w:tc>
      </w:tr>
    </w:tbl>
    <w:p>
      <w:pPr>
        <w:autoSpaceDE w:val="0"/>
        <w:autoSpaceDN w:val="0"/>
        <w:adjustRightInd w:val="0"/>
        <w:spacing w:line="584" w:lineRule="exact"/>
        <w:ind w:firstLine="640" w:firstLineChars="200"/>
        <w:jc w:val="left"/>
        <w:rPr>
          <w:rFonts w:hint="eastAsia" w:ascii="仿宋_GB2312" w:hAnsi="仿宋_GB2312" w:eastAsia="仿宋_GB2312" w:cs="仿宋_GB2312"/>
          <w:sz w:val="32"/>
          <w:szCs w:val="32"/>
          <w:lang w:val="en-US" w:eastAsia="zh-CN"/>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color w:val="000000"/>
          <w:sz w:val="28"/>
        </w:rPr>
        <w:t>新业路（兴业道-光明东道）道路工程绩效目标表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62"/>
        <w:gridCol w:w="2241"/>
        <w:gridCol w:w="2024"/>
        <w:gridCol w:w="1808"/>
        <w:gridCol w:w="2096"/>
        <w:gridCol w:w="41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6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2300" w:type="dxa"/>
            <w:gridSpan w:val="5"/>
            <w:shd w:val="clear" w:color="auto" w:fill="auto"/>
            <w:vAlign w:val="center"/>
          </w:tcPr>
          <w:p>
            <w:pPr>
              <w:tabs>
                <w:tab w:val="left" w:pos="636"/>
              </w:tabs>
              <w:spacing w:line="300" w:lineRule="exact"/>
              <w:rPr>
                <w:rFonts w:hint="eastAsia" w:ascii="仿宋_GB2312" w:hAnsi="仿宋_GB2312" w:eastAsia="仿宋_GB2312" w:cs="仿宋_GB2312"/>
                <w:b/>
                <w:lang w:eastAsia="zh-CN"/>
              </w:rPr>
            </w:pPr>
            <w:r>
              <w:rPr>
                <w:rFonts w:hint="eastAsia" w:ascii="仿宋_GB2312" w:hAnsi="仿宋_GB2312" w:eastAsia="仿宋_GB2312" w:cs="仿宋_GB2312"/>
              </w:rPr>
              <w:t>新业路（兴业道-光明东道）道路工程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6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41"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2024"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180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2096"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4131"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62"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41"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成本指标</w:t>
            </w:r>
          </w:p>
        </w:tc>
        <w:tc>
          <w:tcPr>
            <w:tcW w:w="2024"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项目投资控制</w:t>
            </w:r>
          </w:p>
        </w:tc>
        <w:tc>
          <w:tcPr>
            <w:tcW w:w="180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项目建设资金</w:t>
            </w:r>
          </w:p>
        </w:tc>
        <w:tc>
          <w:tcPr>
            <w:tcW w:w="2096"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w:t>
            </w:r>
            <w:r>
              <w:rPr>
                <w:rFonts w:hint="eastAsia" w:ascii="仿宋_GB2312" w:hAnsi="仿宋_GB2312" w:eastAsia="仿宋_GB2312" w:cs="仿宋_GB2312"/>
                <w:b w:val="0"/>
                <w:bCs/>
                <w:lang w:val="en-US" w:eastAsia="zh-CN"/>
              </w:rPr>
              <w:t>900</w:t>
            </w:r>
            <w:r>
              <w:rPr>
                <w:rFonts w:hint="eastAsia" w:ascii="仿宋_GB2312" w:hAnsi="仿宋_GB2312" w:eastAsia="仿宋_GB2312" w:cs="仿宋_GB2312"/>
                <w:b w:val="0"/>
                <w:bCs/>
              </w:rPr>
              <w:t>万元</w:t>
            </w:r>
          </w:p>
        </w:tc>
        <w:tc>
          <w:tcPr>
            <w:tcW w:w="4131"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廊广发改﹝2021﹞48号《区发改局关于新业路道路工程可行性研究报告的批复》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62" w:type="dxa"/>
            <w:vMerge w:val="continue"/>
            <w:shd w:val="clear" w:color="auto" w:fill="auto"/>
            <w:vAlign w:val="center"/>
          </w:tcPr>
          <w:p>
            <w:pPr>
              <w:rPr>
                <w:rFonts w:hint="eastAsia" w:ascii="仿宋_GB2312" w:hAnsi="仿宋_GB2312" w:eastAsia="仿宋_GB2312" w:cs="仿宋_GB2312"/>
              </w:rPr>
            </w:pPr>
          </w:p>
        </w:tc>
        <w:tc>
          <w:tcPr>
            <w:tcW w:w="2241"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数量指标</w:t>
            </w:r>
          </w:p>
        </w:tc>
        <w:tc>
          <w:tcPr>
            <w:tcW w:w="2024"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规划建设长度</w:t>
            </w:r>
          </w:p>
        </w:tc>
        <w:tc>
          <w:tcPr>
            <w:tcW w:w="180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新建新业路长度</w:t>
            </w:r>
          </w:p>
        </w:tc>
        <w:tc>
          <w:tcPr>
            <w:tcW w:w="2096"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≤1194米</w:t>
            </w:r>
          </w:p>
        </w:tc>
        <w:tc>
          <w:tcPr>
            <w:tcW w:w="4131"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廊广发改﹝2021﹞48号《区发改局关于新业路道路工程可行性研究报告的批复》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62" w:type="dxa"/>
            <w:vMerge w:val="continue"/>
            <w:shd w:val="clear" w:color="auto" w:fill="auto"/>
            <w:vAlign w:val="center"/>
          </w:tcPr>
          <w:p>
            <w:pPr>
              <w:rPr>
                <w:rFonts w:hint="eastAsia" w:ascii="仿宋_GB2312" w:hAnsi="仿宋_GB2312" w:eastAsia="仿宋_GB2312" w:cs="仿宋_GB2312"/>
              </w:rPr>
            </w:pPr>
          </w:p>
        </w:tc>
        <w:tc>
          <w:tcPr>
            <w:tcW w:w="2241"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时效指标</w:t>
            </w:r>
          </w:p>
        </w:tc>
        <w:tc>
          <w:tcPr>
            <w:tcW w:w="2024"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资金拨付及时性</w:t>
            </w:r>
          </w:p>
        </w:tc>
        <w:tc>
          <w:tcPr>
            <w:tcW w:w="180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按照工程进度及时拨付资金</w:t>
            </w:r>
          </w:p>
        </w:tc>
        <w:tc>
          <w:tcPr>
            <w:tcW w:w="2096"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及时拨付资金</w:t>
            </w:r>
          </w:p>
        </w:tc>
        <w:tc>
          <w:tcPr>
            <w:tcW w:w="4131"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廊广发改﹝2021﹞48号《区发改局关于新业路道路工程可行性研究报告的批复》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62" w:type="dxa"/>
            <w:vMerge w:val="continue"/>
            <w:shd w:val="clear" w:color="auto" w:fill="auto"/>
            <w:vAlign w:val="center"/>
          </w:tcPr>
          <w:p>
            <w:pPr>
              <w:rPr>
                <w:rFonts w:hint="eastAsia" w:ascii="仿宋_GB2312" w:hAnsi="仿宋_GB2312" w:eastAsia="仿宋_GB2312" w:cs="仿宋_GB2312"/>
              </w:rPr>
            </w:pPr>
          </w:p>
        </w:tc>
        <w:tc>
          <w:tcPr>
            <w:tcW w:w="2241"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质量指标</w:t>
            </w:r>
          </w:p>
        </w:tc>
        <w:tc>
          <w:tcPr>
            <w:tcW w:w="2024"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工程验收合格率</w:t>
            </w:r>
          </w:p>
        </w:tc>
        <w:tc>
          <w:tcPr>
            <w:tcW w:w="180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工程验收合格比例</w:t>
            </w:r>
          </w:p>
        </w:tc>
        <w:tc>
          <w:tcPr>
            <w:tcW w:w="2096"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100%</w:t>
            </w:r>
          </w:p>
        </w:tc>
        <w:tc>
          <w:tcPr>
            <w:tcW w:w="4131"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廊广发改﹝2021﹞48号《区发改局关于新业路道路工程可行性研究报告的批复》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62" w:type="dxa"/>
            <w:vMerge w:val="restart"/>
            <w:shd w:val="clear" w:color="auto" w:fill="auto"/>
            <w:vAlign w:val="center"/>
          </w:tcPr>
          <w:p>
            <w:pPr>
              <w:spacing w:line="300" w:lineRule="exact"/>
              <w:jc w:val="center"/>
              <w:rPr>
                <w:rFonts w:hint="eastAsia" w:ascii="仿宋_GB2312" w:hAnsi="仿宋_GB2312" w:eastAsia="仿宋_GB2312" w:cs="仿宋_GB2312"/>
                <w:b w:val="0"/>
                <w:bCs/>
              </w:rPr>
            </w:pPr>
            <w:r>
              <w:rPr>
                <w:rFonts w:hint="eastAsia" w:ascii="仿宋_GB2312" w:hAnsi="仿宋_GB2312" w:eastAsia="仿宋_GB2312" w:cs="仿宋_GB2312"/>
                <w:b w:val="0"/>
                <w:bCs/>
              </w:rPr>
              <w:t>效果指标</w:t>
            </w:r>
          </w:p>
        </w:tc>
        <w:tc>
          <w:tcPr>
            <w:tcW w:w="2241"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可</w:t>
            </w:r>
            <w:r>
              <w:rPr>
                <w:rFonts w:hint="eastAsia" w:ascii="仿宋_GB2312" w:hAnsi="仿宋_GB2312" w:eastAsia="仿宋_GB2312" w:cs="仿宋_GB2312"/>
                <w:b w:val="0"/>
                <w:bCs/>
                <w:lang w:val="en-US" w:eastAsia="zh-CN"/>
              </w:rPr>
              <w:t>持续影响指标</w:t>
            </w:r>
          </w:p>
        </w:tc>
        <w:tc>
          <w:tcPr>
            <w:tcW w:w="2024"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可持续使用时间</w:t>
            </w:r>
          </w:p>
        </w:tc>
        <w:tc>
          <w:tcPr>
            <w:tcW w:w="180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可持续使用时间</w:t>
            </w:r>
          </w:p>
        </w:tc>
        <w:tc>
          <w:tcPr>
            <w:tcW w:w="2096"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lang w:val="en-US" w:eastAsia="zh-CN"/>
              </w:rPr>
              <w:t>显著延长</w:t>
            </w:r>
          </w:p>
        </w:tc>
        <w:tc>
          <w:tcPr>
            <w:tcW w:w="4131"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lang w:val="en-US" w:eastAsia="zh-CN"/>
              </w:rPr>
              <w:t>廊广发改﹝2021﹞48号《区发改局关于新业路道路工程可行性研究报告的批复》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62" w:type="dxa"/>
            <w:vMerge w:val="continue"/>
            <w:shd w:val="clear" w:color="auto" w:fill="auto"/>
            <w:vAlign w:val="center"/>
          </w:tcPr>
          <w:p>
            <w:pPr>
              <w:rPr>
                <w:rFonts w:hint="eastAsia" w:ascii="仿宋_GB2312" w:hAnsi="仿宋_GB2312" w:eastAsia="仿宋_GB2312" w:cs="仿宋_GB2312"/>
              </w:rPr>
            </w:pPr>
          </w:p>
        </w:tc>
        <w:tc>
          <w:tcPr>
            <w:tcW w:w="2241"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社会效益指标</w:t>
            </w:r>
          </w:p>
        </w:tc>
        <w:tc>
          <w:tcPr>
            <w:tcW w:w="2024"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完善基础建设改善投资环境</w:t>
            </w:r>
          </w:p>
        </w:tc>
        <w:tc>
          <w:tcPr>
            <w:tcW w:w="180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完善基础建设，改善投资环境</w:t>
            </w:r>
          </w:p>
        </w:tc>
        <w:tc>
          <w:tcPr>
            <w:tcW w:w="2096"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明显改善</w:t>
            </w:r>
          </w:p>
        </w:tc>
        <w:tc>
          <w:tcPr>
            <w:tcW w:w="4131" w:type="dxa"/>
            <w:shd w:val="clear" w:color="auto" w:fill="auto"/>
            <w:vAlign w:val="center"/>
          </w:tcPr>
          <w:p>
            <w:pPr>
              <w:pStyle w:val="14"/>
              <w:rPr>
                <w:rFonts w:hint="eastAsia" w:ascii="仿宋_GB2312" w:hAnsi="仿宋_GB2312" w:eastAsia="仿宋_GB2312" w:cs="仿宋_GB2312"/>
                <w:b w:val="0"/>
                <w:bCs/>
                <w:kern w:val="2"/>
                <w:sz w:val="21"/>
                <w:szCs w:val="22"/>
                <w:lang w:val="en-US" w:eastAsia="uk-UA" w:bidi="ar-SA"/>
              </w:rPr>
            </w:pPr>
            <w:r>
              <w:rPr>
                <w:rFonts w:hint="eastAsia" w:ascii="仿宋_GB2312" w:hAnsi="仿宋_GB2312" w:eastAsia="仿宋_GB2312" w:cs="仿宋_GB2312"/>
                <w:b w:val="0"/>
                <w:bCs/>
                <w:kern w:val="2"/>
                <w:sz w:val="21"/>
                <w:szCs w:val="22"/>
                <w:lang w:val="en-US" w:eastAsia="zh-CN" w:bidi="ar-SA"/>
              </w:rPr>
              <w:t>廊广发改﹝2021﹞48号《区发改局关于新业路道路工程可行性研究报告的批复》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62" w:type="dxa"/>
            <w:vMerge w:val="continue"/>
            <w:shd w:val="clear" w:color="auto" w:fill="auto"/>
            <w:vAlign w:val="center"/>
          </w:tcPr>
          <w:p>
            <w:pPr>
              <w:rPr>
                <w:rFonts w:hint="eastAsia" w:ascii="仿宋_GB2312" w:hAnsi="仿宋_GB2312" w:eastAsia="仿宋_GB2312" w:cs="仿宋_GB2312"/>
              </w:rPr>
            </w:pPr>
          </w:p>
        </w:tc>
        <w:tc>
          <w:tcPr>
            <w:tcW w:w="2241"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经济效益指标</w:t>
            </w:r>
          </w:p>
        </w:tc>
        <w:tc>
          <w:tcPr>
            <w:tcW w:w="2024"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促进域内经济发展</w:t>
            </w:r>
          </w:p>
        </w:tc>
        <w:tc>
          <w:tcPr>
            <w:tcW w:w="180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促进域内经济发展</w:t>
            </w:r>
          </w:p>
        </w:tc>
        <w:tc>
          <w:tcPr>
            <w:tcW w:w="2096"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有利促进</w:t>
            </w:r>
          </w:p>
        </w:tc>
        <w:tc>
          <w:tcPr>
            <w:tcW w:w="4131"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lang w:val="en-US" w:eastAsia="zh-CN"/>
              </w:rPr>
              <w:t>廊广发改﹝2021﹞48号《区发改局关于新业路道路工程可行性研究报告的批复》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62" w:type="dxa"/>
            <w:vMerge w:val="continue"/>
            <w:shd w:val="clear" w:color="auto" w:fill="auto"/>
            <w:vAlign w:val="center"/>
          </w:tcPr>
          <w:p>
            <w:pPr>
              <w:rPr>
                <w:rFonts w:hint="eastAsia" w:ascii="仿宋_GB2312" w:hAnsi="仿宋_GB2312" w:eastAsia="仿宋_GB2312" w:cs="仿宋_GB2312"/>
              </w:rPr>
            </w:pPr>
          </w:p>
        </w:tc>
        <w:tc>
          <w:tcPr>
            <w:tcW w:w="2241"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生态效益指标</w:t>
            </w:r>
          </w:p>
        </w:tc>
        <w:tc>
          <w:tcPr>
            <w:tcW w:w="2024"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改善区域内环境</w:t>
            </w:r>
          </w:p>
        </w:tc>
        <w:tc>
          <w:tcPr>
            <w:tcW w:w="180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提高绿化率；降低车辆燃油和轮胎的消耗</w:t>
            </w:r>
          </w:p>
        </w:tc>
        <w:tc>
          <w:tcPr>
            <w:tcW w:w="2096"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显著提高</w:t>
            </w:r>
          </w:p>
        </w:tc>
        <w:tc>
          <w:tcPr>
            <w:tcW w:w="4131"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廊广发改﹝2021﹞48号《区发改局关于新业路道路工程可行性研究报告的批复》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62"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41"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服务对象满意度指标</w:t>
            </w:r>
          </w:p>
        </w:tc>
        <w:tc>
          <w:tcPr>
            <w:tcW w:w="2024"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群众满意度</w:t>
            </w:r>
          </w:p>
        </w:tc>
        <w:tc>
          <w:tcPr>
            <w:tcW w:w="1808"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群众对此项民生工程的满意度</w:t>
            </w:r>
          </w:p>
        </w:tc>
        <w:tc>
          <w:tcPr>
            <w:tcW w:w="2096"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≥95%</w:t>
            </w:r>
          </w:p>
        </w:tc>
        <w:tc>
          <w:tcPr>
            <w:tcW w:w="4131"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调查问卷</w:t>
            </w:r>
          </w:p>
        </w:tc>
      </w:tr>
    </w:tbl>
    <w:p>
      <w:pPr>
        <w:autoSpaceDE w:val="0"/>
        <w:autoSpaceDN w:val="0"/>
        <w:adjustRightInd w:val="0"/>
        <w:spacing w:line="584" w:lineRule="exact"/>
        <w:ind w:firstLine="640" w:firstLineChars="200"/>
        <w:jc w:val="left"/>
        <w:rPr>
          <w:rFonts w:hint="eastAsia" w:ascii="仿宋_GB2312" w:hAnsi="仿宋_GB2312" w:eastAsia="仿宋_GB2312" w:cs="仿宋_GB2312"/>
          <w:sz w:val="32"/>
          <w:szCs w:val="32"/>
          <w:lang w:val="en-US" w:eastAsia="zh-CN"/>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color w:val="000000"/>
          <w:sz w:val="28"/>
        </w:rPr>
        <w:t>新业路（兴业道-光明东道）道路工程绩效目标表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215"/>
        <w:gridCol w:w="1843"/>
        <w:gridCol w:w="1843"/>
        <w:gridCol w:w="1663"/>
        <w:gridCol w:w="50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tabs>
                <w:tab w:val="left" w:pos="636"/>
              </w:tabs>
              <w:spacing w:line="300" w:lineRule="exact"/>
              <w:rPr>
                <w:rFonts w:hint="eastAsia" w:ascii="仿宋_GB2312" w:hAnsi="仿宋_GB2312" w:eastAsia="仿宋_GB2312" w:cs="仿宋_GB2312"/>
                <w:b/>
                <w:lang w:eastAsia="zh-CN"/>
              </w:rPr>
            </w:pPr>
            <w:r>
              <w:rPr>
                <w:rFonts w:hint="eastAsia" w:ascii="仿宋_GB2312" w:hAnsi="仿宋_GB2312" w:eastAsia="仿宋_GB2312" w:cs="仿宋_GB2312"/>
              </w:rPr>
              <w:t>新业路（兴业道-光明东道）道路工程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121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66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508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121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成本指标</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项目投资控制</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项目建设资金</w:t>
            </w:r>
          </w:p>
        </w:tc>
        <w:tc>
          <w:tcPr>
            <w:tcW w:w="166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w:t>
            </w:r>
            <w:r>
              <w:rPr>
                <w:rFonts w:hint="eastAsia" w:ascii="仿宋_GB2312" w:hAnsi="仿宋_GB2312" w:eastAsia="仿宋_GB2312" w:cs="仿宋_GB2312"/>
                <w:b w:val="0"/>
                <w:bCs/>
                <w:lang w:val="en-US" w:eastAsia="zh-CN"/>
              </w:rPr>
              <w:t>1000</w:t>
            </w:r>
            <w:r>
              <w:rPr>
                <w:rFonts w:hint="eastAsia" w:ascii="仿宋_GB2312" w:hAnsi="仿宋_GB2312" w:eastAsia="仿宋_GB2312" w:cs="仿宋_GB2312"/>
                <w:b w:val="0"/>
                <w:bCs/>
              </w:rPr>
              <w:t>万元</w:t>
            </w:r>
          </w:p>
        </w:tc>
        <w:tc>
          <w:tcPr>
            <w:tcW w:w="5089"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廊广发改﹝2021﹞48号《区发改局关于新业路道路工程可行性研究报告的批复》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121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数量指标</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规划建设长度</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新建新业路长度</w:t>
            </w:r>
          </w:p>
        </w:tc>
        <w:tc>
          <w:tcPr>
            <w:tcW w:w="166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≤1194米</w:t>
            </w:r>
          </w:p>
        </w:tc>
        <w:tc>
          <w:tcPr>
            <w:tcW w:w="5089"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廊广发改﹝2021﹞48号《区发改局关于新业路道路工程可行性研究报告的批复》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121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时效指标</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资金拨付及时性</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按照工程进度及时拨付资金</w:t>
            </w:r>
          </w:p>
        </w:tc>
        <w:tc>
          <w:tcPr>
            <w:tcW w:w="166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及时拨付资金</w:t>
            </w:r>
          </w:p>
        </w:tc>
        <w:tc>
          <w:tcPr>
            <w:tcW w:w="5089"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廊广发改﹝2021﹞48号《区发改局关于新业路道路工程可行性研究报告的批复》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121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质量指标</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工程验收合格率</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工程验收合格比例</w:t>
            </w:r>
          </w:p>
        </w:tc>
        <w:tc>
          <w:tcPr>
            <w:tcW w:w="166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100%</w:t>
            </w:r>
          </w:p>
        </w:tc>
        <w:tc>
          <w:tcPr>
            <w:tcW w:w="5089"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廊广发改﹝2021﹞48号《区发改局关于新业路道路工程可行性研究报告的批复》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b w:val="0"/>
                <w:bCs/>
              </w:rPr>
            </w:pPr>
            <w:r>
              <w:rPr>
                <w:rFonts w:hint="eastAsia" w:ascii="仿宋_GB2312" w:hAnsi="仿宋_GB2312" w:eastAsia="仿宋_GB2312" w:cs="仿宋_GB2312"/>
                <w:b w:val="0"/>
                <w:bCs/>
              </w:rPr>
              <w:t>效果指标</w:t>
            </w:r>
          </w:p>
        </w:tc>
        <w:tc>
          <w:tcPr>
            <w:tcW w:w="121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可</w:t>
            </w:r>
            <w:r>
              <w:rPr>
                <w:rFonts w:hint="eastAsia" w:ascii="仿宋_GB2312" w:hAnsi="仿宋_GB2312" w:eastAsia="仿宋_GB2312" w:cs="仿宋_GB2312"/>
                <w:b w:val="0"/>
                <w:bCs/>
                <w:lang w:val="en-US" w:eastAsia="zh-CN"/>
              </w:rPr>
              <w:t>持续影响指标</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可持续使用时间</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可持续使用时间</w:t>
            </w:r>
          </w:p>
        </w:tc>
        <w:tc>
          <w:tcPr>
            <w:tcW w:w="166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lang w:val="en-US" w:eastAsia="zh-CN"/>
              </w:rPr>
              <w:t>显著延长</w:t>
            </w:r>
          </w:p>
        </w:tc>
        <w:tc>
          <w:tcPr>
            <w:tcW w:w="5089"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lang w:val="en-US" w:eastAsia="zh-CN"/>
              </w:rPr>
              <w:t>廊广发改﹝2021﹞48号《区发改局关于新业路道路工程可行性研究报告的批复》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121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社会效益指标</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完善基础建设改善投资环境</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完善基础建设，改善投资环境</w:t>
            </w:r>
          </w:p>
        </w:tc>
        <w:tc>
          <w:tcPr>
            <w:tcW w:w="1663" w:type="dxa"/>
            <w:shd w:val="clear" w:color="auto" w:fill="auto"/>
            <w:vAlign w:val="center"/>
          </w:tcPr>
          <w:p>
            <w:pPr>
              <w:pStyle w:val="14"/>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明显改善</w:t>
            </w:r>
          </w:p>
        </w:tc>
        <w:tc>
          <w:tcPr>
            <w:tcW w:w="5089" w:type="dxa"/>
            <w:shd w:val="clear" w:color="auto" w:fill="auto"/>
            <w:vAlign w:val="center"/>
          </w:tcPr>
          <w:p>
            <w:pPr>
              <w:pStyle w:val="14"/>
              <w:rPr>
                <w:rFonts w:hint="eastAsia" w:ascii="仿宋_GB2312" w:hAnsi="仿宋_GB2312" w:eastAsia="仿宋_GB2312" w:cs="仿宋_GB2312"/>
                <w:b w:val="0"/>
                <w:bCs/>
                <w:kern w:val="2"/>
                <w:sz w:val="21"/>
                <w:szCs w:val="22"/>
                <w:lang w:val="en-US" w:eastAsia="uk-UA" w:bidi="ar-SA"/>
              </w:rPr>
            </w:pPr>
            <w:r>
              <w:rPr>
                <w:rFonts w:hint="eastAsia" w:ascii="仿宋_GB2312" w:hAnsi="仿宋_GB2312" w:eastAsia="仿宋_GB2312" w:cs="仿宋_GB2312"/>
                <w:b w:val="0"/>
                <w:bCs/>
                <w:kern w:val="2"/>
                <w:sz w:val="21"/>
                <w:szCs w:val="22"/>
                <w:lang w:val="en-US" w:eastAsia="zh-CN" w:bidi="ar-SA"/>
              </w:rPr>
              <w:t>廊广发改﹝2021﹞48号《区发改局关于新业路道路工程可行性研究报告的批复》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121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经济效益指标</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促进域内经济发展</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促进域内经济发展</w:t>
            </w:r>
          </w:p>
        </w:tc>
        <w:tc>
          <w:tcPr>
            <w:tcW w:w="166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有利促进</w:t>
            </w:r>
          </w:p>
        </w:tc>
        <w:tc>
          <w:tcPr>
            <w:tcW w:w="5089"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lang w:val="en-US" w:eastAsia="zh-CN"/>
              </w:rPr>
              <w:t>廊广发改﹝2021﹞48号《区发改局关于新业路道路工程可行性研究报告的批复》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121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生态效益指标</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改善区域内环境</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提高绿化率；降低车辆燃油和轮胎的消耗</w:t>
            </w:r>
          </w:p>
        </w:tc>
        <w:tc>
          <w:tcPr>
            <w:tcW w:w="166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显著提高</w:t>
            </w:r>
          </w:p>
        </w:tc>
        <w:tc>
          <w:tcPr>
            <w:tcW w:w="5089"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廊广发改﹝2021﹞48号《区发改局关于新业路道路工程可行性研究报告的批复》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15"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服务对象满意度指标</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群众满意度</w:t>
            </w:r>
          </w:p>
        </w:tc>
        <w:tc>
          <w:tcPr>
            <w:tcW w:w="184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群众对此项民生工程的满意度</w:t>
            </w:r>
          </w:p>
        </w:tc>
        <w:tc>
          <w:tcPr>
            <w:tcW w:w="1663"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≥95%</w:t>
            </w:r>
          </w:p>
        </w:tc>
        <w:tc>
          <w:tcPr>
            <w:tcW w:w="5089" w:type="dxa"/>
            <w:shd w:val="clear" w:color="auto" w:fill="auto"/>
            <w:vAlign w:val="center"/>
          </w:tcPr>
          <w:p>
            <w:pPr>
              <w:spacing w:line="300" w:lineRule="exact"/>
              <w:jc w:val="center"/>
              <w:rPr>
                <w:rFonts w:hint="eastAsia" w:ascii="仿宋_GB2312" w:hAnsi="仿宋_GB2312" w:eastAsia="仿宋_GB2312" w:cs="仿宋_GB2312"/>
                <w:b w:val="0"/>
                <w:bCs/>
                <w:lang w:val="en-US" w:eastAsia="uk-UA"/>
              </w:rPr>
            </w:pPr>
            <w:r>
              <w:rPr>
                <w:rFonts w:hint="eastAsia" w:ascii="仿宋_GB2312" w:hAnsi="仿宋_GB2312" w:eastAsia="仿宋_GB2312" w:cs="仿宋_GB2312"/>
                <w:b w:val="0"/>
                <w:bCs/>
              </w:rPr>
              <w:t>调查问卷</w:t>
            </w:r>
          </w:p>
        </w:tc>
      </w:tr>
    </w:tbl>
    <w:p>
      <w:pPr>
        <w:autoSpaceDE w:val="0"/>
        <w:autoSpaceDN w:val="0"/>
        <w:adjustRightInd w:val="0"/>
        <w:spacing w:line="584" w:lineRule="exact"/>
        <w:ind w:firstLine="640" w:firstLineChars="200"/>
        <w:jc w:val="left"/>
        <w:rPr>
          <w:rFonts w:hint="eastAsia" w:ascii="仿宋_GB2312" w:hAnsi="仿宋_GB2312" w:eastAsia="仿宋_GB2312" w:cs="仿宋_GB2312"/>
          <w:sz w:val="32"/>
          <w:szCs w:val="32"/>
        </w:rPr>
      </w:pPr>
    </w:p>
    <w:p>
      <w:pPr>
        <w:spacing w:before="0" w:after="0"/>
        <w:ind w:firstLine="560"/>
        <w:jc w:val="left"/>
        <w:outlineLvl w:val="3"/>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8</w:t>
      </w:r>
      <w:r>
        <w:rPr>
          <w:rFonts w:hint="eastAsia" w:ascii="仿宋_GB2312" w:hAnsi="仿宋_GB2312" w:eastAsia="仿宋_GB2312" w:cs="仿宋_GB2312"/>
          <w:sz w:val="28"/>
        </w:rPr>
        <w:t>.</w:t>
      </w:r>
      <w:r>
        <w:rPr>
          <w:rFonts w:hint="eastAsia" w:ascii="仿宋_GB2312" w:hAnsi="仿宋_GB2312" w:eastAsia="仿宋_GB2312" w:cs="仿宋_GB2312"/>
          <w:color w:val="000000"/>
          <w:sz w:val="28"/>
        </w:rPr>
        <w:t>征地和拆迁补偿资金绩效目标表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rPr>
                <w:rFonts w:hint="eastAsia" w:ascii="仿宋_GB2312" w:hAnsi="仿宋_GB2312" w:eastAsia="仿宋_GB2312" w:cs="仿宋_GB2312"/>
                <w:lang w:val="en-US" w:eastAsia="zh-CN"/>
              </w:rPr>
            </w:pPr>
            <w:r>
              <w:rPr>
                <w:rFonts w:hint="eastAsia" w:ascii="仿宋_GB2312" w:hAnsi="仿宋_GB2312" w:eastAsia="仿宋_GB2312" w:cs="仿宋_GB2312"/>
              </w:rPr>
              <w:t>征地和拆迁补偿资金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数量指标</w:t>
            </w:r>
          </w:p>
        </w:tc>
        <w:tc>
          <w:tcPr>
            <w:tcW w:w="1985"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征地面积</w:t>
            </w:r>
          </w:p>
        </w:tc>
        <w:tc>
          <w:tcPr>
            <w:tcW w:w="3402"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征收土地面积</w:t>
            </w:r>
          </w:p>
        </w:tc>
        <w:tc>
          <w:tcPr>
            <w:tcW w:w="1843"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≤1599亩</w:t>
            </w:r>
          </w:p>
        </w:tc>
        <w:tc>
          <w:tcPr>
            <w:tcW w:w="2155"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质量指标</w:t>
            </w:r>
          </w:p>
        </w:tc>
        <w:tc>
          <w:tcPr>
            <w:tcW w:w="1985"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土地利用率</w:t>
            </w:r>
          </w:p>
        </w:tc>
        <w:tc>
          <w:tcPr>
            <w:tcW w:w="3402"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征收土地利用率</w:t>
            </w:r>
          </w:p>
        </w:tc>
        <w:tc>
          <w:tcPr>
            <w:tcW w:w="1843"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≥90%</w:t>
            </w:r>
          </w:p>
        </w:tc>
        <w:tc>
          <w:tcPr>
            <w:tcW w:w="2155"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时效指标</w:t>
            </w:r>
          </w:p>
        </w:tc>
        <w:tc>
          <w:tcPr>
            <w:tcW w:w="1985"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资金拨付及时性</w:t>
            </w:r>
          </w:p>
        </w:tc>
        <w:tc>
          <w:tcPr>
            <w:tcW w:w="3402"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按照征收进度及时拨付资金</w:t>
            </w:r>
          </w:p>
        </w:tc>
        <w:tc>
          <w:tcPr>
            <w:tcW w:w="1843"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及时拨付</w:t>
            </w:r>
          </w:p>
        </w:tc>
        <w:tc>
          <w:tcPr>
            <w:tcW w:w="2155"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成本指标</w:t>
            </w:r>
          </w:p>
        </w:tc>
        <w:tc>
          <w:tcPr>
            <w:tcW w:w="1985"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成本控制率</w:t>
            </w:r>
          </w:p>
        </w:tc>
        <w:tc>
          <w:tcPr>
            <w:tcW w:w="3402"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成本控制率</w:t>
            </w:r>
          </w:p>
        </w:tc>
        <w:tc>
          <w:tcPr>
            <w:tcW w:w="1843"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≤100%</w:t>
            </w:r>
          </w:p>
        </w:tc>
        <w:tc>
          <w:tcPr>
            <w:tcW w:w="2155"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社会效益指标</w:t>
            </w:r>
          </w:p>
        </w:tc>
        <w:tc>
          <w:tcPr>
            <w:tcW w:w="1985"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提高土地利用率</w:t>
            </w:r>
          </w:p>
        </w:tc>
        <w:tc>
          <w:tcPr>
            <w:tcW w:w="3402"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提高经开区土地利用率</w:t>
            </w:r>
          </w:p>
        </w:tc>
        <w:tc>
          <w:tcPr>
            <w:tcW w:w="1843"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有效提高</w:t>
            </w:r>
          </w:p>
        </w:tc>
        <w:tc>
          <w:tcPr>
            <w:tcW w:w="2155"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p>
        </w:tc>
        <w:tc>
          <w:tcPr>
            <w:tcW w:w="1985"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p>
        </w:tc>
        <w:tc>
          <w:tcPr>
            <w:tcW w:w="3402"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p>
        </w:tc>
        <w:tc>
          <w:tcPr>
            <w:tcW w:w="1843"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p>
        </w:tc>
        <w:tc>
          <w:tcPr>
            <w:tcW w:w="2155"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服务对象满意度指标</w:t>
            </w:r>
          </w:p>
        </w:tc>
        <w:tc>
          <w:tcPr>
            <w:tcW w:w="1985"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受益群体满意度</w:t>
            </w:r>
          </w:p>
        </w:tc>
        <w:tc>
          <w:tcPr>
            <w:tcW w:w="3402"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受益群体满意度</w:t>
            </w:r>
          </w:p>
        </w:tc>
        <w:tc>
          <w:tcPr>
            <w:tcW w:w="1843"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≥90%</w:t>
            </w:r>
          </w:p>
        </w:tc>
        <w:tc>
          <w:tcPr>
            <w:tcW w:w="2155"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调查问卷</w:t>
            </w:r>
          </w:p>
        </w:tc>
      </w:tr>
    </w:tbl>
    <w:p>
      <w:pPr>
        <w:spacing w:before="0" w:after="0"/>
        <w:ind w:firstLine="560"/>
        <w:jc w:val="left"/>
        <w:outlineLvl w:val="3"/>
        <w:rPr>
          <w:rFonts w:hint="eastAsia" w:ascii="仿宋_GB2312" w:hAnsi="仿宋_GB2312" w:eastAsia="仿宋_GB2312" w:cs="仿宋_GB2312"/>
          <w:sz w:val="28"/>
          <w:lang w:val="en-US" w:eastAsia="zh-CN"/>
        </w:rPr>
      </w:pPr>
    </w:p>
    <w:p>
      <w:pPr>
        <w:spacing w:before="0" w:after="0"/>
        <w:ind w:firstLine="560"/>
        <w:jc w:val="left"/>
        <w:outlineLvl w:val="3"/>
        <w:rPr>
          <w:rFonts w:hint="eastAsia" w:ascii="仿宋_GB2312" w:hAnsi="仿宋_GB2312" w:eastAsia="仿宋_GB2312" w:cs="仿宋_GB2312"/>
          <w:sz w:val="28"/>
          <w:lang w:val="en-US" w:eastAsia="zh-CN"/>
        </w:rPr>
      </w:pPr>
    </w:p>
    <w:p>
      <w:pPr>
        <w:spacing w:before="0" w:after="0"/>
        <w:ind w:firstLine="560"/>
        <w:jc w:val="left"/>
        <w:outlineLvl w:val="3"/>
        <w:rPr>
          <w:rFonts w:hint="eastAsia" w:ascii="仿宋_GB2312" w:hAnsi="仿宋_GB2312" w:eastAsia="仿宋_GB2312" w:cs="仿宋_GB2312"/>
          <w:sz w:val="28"/>
          <w:lang w:val="en-US" w:eastAsia="zh-CN"/>
        </w:rPr>
      </w:pPr>
    </w:p>
    <w:p>
      <w:pPr>
        <w:spacing w:before="0" w:after="0"/>
        <w:ind w:firstLine="560"/>
        <w:jc w:val="left"/>
        <w:outlineLvl w:val="3"/>
        <w:rPr>
          <w:rFonts w:hint="eastAsia" w:ascii="仿宋_GB2312" w:hAnsi="仿宋_GB2312" w:eastAsia="仿宋_GB2312" w:cs="仿宋_GB2312"/>
          <w:sz w:val="28"/>
          <w:lang w:val="en-US" w:eastAsia="zh-CN"/>
        </w:rPr>
      </w:pPr>
    </w:p>
    <w:p>
      <w:pPr>
        <w:spacing w:before="0" w:after="0"/>
        <w:ind w:firstLine="560"/>
        <w:jc w:val="left"/>
        <w:outlineLvl w:val="3"/>
        <w:rPr>
          <w:rFonts w:hint="eastAsia" w:ascii="仿宋_GB2312" w:hAnsi="仿宋_GB2312" w:eastAsia="仿宋_GB2312" w:cs="仿宋_GB2312"/>
          <w:sz w:val="28"/>
          <w:lang w:val="en-US" w:eastAsia="zh-CN"/>
        </w:rPr>
      </w:pPr>
    </w:p>
    <w:p>
      <w:pPr>
        <w:spacing w:before="0" w:after="0"/>
        <w:ind w:firstLine="560"/>
        <w:jc w:val="left"/>
        <w:outlineLvl w:val="3"/>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9</w:t>
      </w:r>
      <w:r>
        <w:rPr>
          <w:rFonts w:hint="eastAsia" w:ascii="仿宋_GB2312" w:hAnsi="仿宋_GB2312" w:eastAsia="仿宋_GB2312" w:cs="仿宋_GB2312"/>
          <w:sz w:val="28"/>
        </w:rPr>
        <w:t>.</w:t>
      </w:r>
      <w:r>
        <w:rPr>
          <w:rFonts w:hint="eastAsia" w:ascii="仿宋_GB2312" w:hAnsi="仿宋_GB2312" w:eastAsia="仿宋_GB2312" w:cs="仿宋_GB2312"/>
          <w:color w:val="000000"/>
          <w:sz w:val="28"/>
        </w:rPr>
        <w:t>征地和拆迁补偿资金绩效目标表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rPr>
                <w:rFonts w:hint="eastAsia" w:ascii="仿宋_GB2312" w:hAnsi="仿宋_GB2312" w:eastAsia="仿宋_GB2312" w:cs="仿宋_GB2312"/>
                <w:lang w:val="en-US" w:eastAsia="zh-CN"/>
              </w:rPr>
            </w:pPr>
            <w:r>
              <w:rPr>
                <w:rFonts w:hint="eastAsia" w:ascii="仿宋_GB2312" w:hAnsi="仿宋_GB2312" w:eastAsia="仿宋_GB2312" w:cs="仿宋_GB2312"/>
              </w:rPr>
              <w:t>征地和拆迁补偿资金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数量指标</w:t>
            </w:r>
          </w:p>
        </w:tc>
        <w:tc>
          <w:tcPr>
            <w:tcW w:w="1985"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征地面积</w:t>
            </w:r>
          </w:p>
        </w:tc>
        <w:tc>
          <w:tcPr>
            <w:tcW w:w="3402"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征收土地面积</w:t>
            </w:r>
          </w:p>
        </w:tc>
        <w:tc>
          <w:tcPr>
            <w:tcW w:w="1843"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≤1599亩</w:t>
            </w:r>
          </w:p>
        </w:tc>
        <w:tc>
          <w:tcPr>
            <w:tcW w:w="2155"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质量指标</w:t>
            </w:r>
          </w:p>
        </w:tc>
        <w:tc>
          <w:tcPr>
            <w:tcW w:w="1985"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土地利用率</w:t>
            </w:r>
          </w:p>
        </w:tc>
        <w:tc>
          <w:tcPr>
            <w:tcW w:w="3402"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征收土地利用率</w:t>
            </w:r>
          </w:p>
        </w:tc>
        <w:tc>
          <w:tcPr>
            <w:tcW w:w="1843"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≥90%</w:t>
            </w:r>
          </w:p>
        </w:tc>
        <w:tc>
          <w:tcPr>
            <w:tcW w:w="2155"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时效指标</w:t>
            </w:r>
          </w:p>
        </w:tc>
        <w:tc>
          <w:tcPr>
            <w:tcW w:w="1985"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资金拨付及时性</w:t>
            </w:r>
          </w:p>
        </w:tc>
        <w:tc>
          <w:tcPr>
            <w:tcW w:w="3402"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按照征收进度及时拨付资金</w:t>
            </w:r>
          </w:p>
        </w:tc>
        <w:tc>
          <w:tcPr>
            <w:tcW w:w="1843"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及时拨付</w:t>
            </w:r>
          </w:p>
        </w:tc>
        <w:tc>
          <w:tcPr>
            <w:tcW w:w="2155"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成本指标</w:t>
            </w:r>
          </w:p>
        </w:tc>
        <w:tc>
          <w:tcPr>
            <w:tcW w:w="1985"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成本控制率</w:t>
            </w:r>
          </w:p>
        </w:tc>
        <w:tc>
          <w:tcPr>
            <w:tcW w:w="3402"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成本控制率</w:t>
            </w:r>
          </w:p>
        </w:tc>
        <w:tc>
          <w:tcPr>
            <w:tcW w:w="1843"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≤100%</w:t>
            </w:r>
          </w:p>
        </w:tc>
        <w:tc>
          <w:tcPr>
            <w:tcW w:w="2155"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社会效益指标</w:t>
            </w:r>
          </w:p>
        </w:tc>
        <w:tc>
          <w:tcPr>
            <w:tcW w:w="1985"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提高土地利用率</w:t>
            </w:r>
          </w:p>
        </w:tc>
        <w:tc>
          <w:tcPr>
            <w:tcW w:w="3402"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提高经开区土地利用率</w:t>
            </w:r>
          </w:p>
        </w:tc>
        <w:tc>
          <w:tcPr>
            <w:tcW w:w="1843"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有效提高</w:t>
            </w:r>
          </w:p>
        </w:tc>
        <w:tc>
          <w:tcPr>
            <w:tcW w:w="2155"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开发运营协议及补充协议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p>
        </w:tc>
        <w:tc>
          <w:tcPr>
            <w:tcW w:w="1985"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p>
        </w:tc>
        <w:tc>
          <w:tcPr>
            <w:tcW w:w="3402"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p>
        </w:tc>
        <w:tc>
          <w:tcPr>
            <w:tcW w:w="1843"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p>
        </w:tc>
        <w:tc>
          <w:tcPr>
            <w:tcW w:w="2155" w:type="dxa"/>
            <w:shd w:val="clear" w:color="auto" w:fill="auto"/>
            <w:vAlign w:val="center"/>
          </w:tcPr>
          <w:p>
            <w:pPr>
              <w:spacing w:line="300" w:lineRule="exact"/>
              <w:jc w:val="center"/>
              <w:rPr>
                <w:rFonts w:hint="eastAsia" w:ascii="仿宋_GB2312" w:hAnsi="仿宋_GB2312" w:eastAsia="仿宋_GB2312" w:cs="仿宋_GB2312"/>
                <w:kern w:val="2"/>
                <w:sz w:val="21"/>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服务对象满意度指标</w:t>
            </w:r>
          </w:p>
        </w:tc>
        <w:tc>
          <w:tcPr>
            <w:tcW w:w="1985"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受益群体满意度</w:t>
            </w:r>
          </w:p>
        </w:tc>
        <w:tc>
          <w:tcPr>
            <w:tcW w:w="3402"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受益群体满意度</w:t>
            </w:r>
          </w:p>
        </w:tc>
        <w:tc>
          <w:tcPr>
            <w:tcW w:w="1843"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≥90%</w:t>
            </w:r>
          </w:p>
        </w:tc>
        <w:tc>
          <w:tcPr>
            <w:tcW w:w="2155" w:type="dxa"/>
            <w:shd w:val="clear" w:color="auto" w:fill="auto"/>
            <w:vAlign w:val="center"/>
          </w:tcPr>
          <w:p>
            <w:pPr>
              <w:pStyle w:val="14"/>
              <w:rPr>
                <w:rFonts w:hint="eastAsia" w:ascii="仿宋_GB2312" w:hAnsi="仿宋_GB2312" w:eastAsia="仿宋_GB2312" w:cs="仿宋_GB2312"/>
                <w:kern w:val="2"/>
                <w:sz w:val="21"/>
                <w:szCs w:val="22"/>
                <w:lang w:val="en-US" w:eastAsia="uk-UA" w:bidi="ar-SA"/>
              </w:rPr>
            </w:pPr>
            <w:r>
              <w:rPr>
                <w:rFonts w:hint="eastAsia" w:ascii="仿宋_GB2312" w:hAnsi="仿宋_GB2312" w:eastAsia="仿宋_GB2312" w:cs="仿宋_GB2312"/>
                <w:kern w:val="2"/>
                <w:sz w:val="21"/>
                <w:szCs w:val="22"/>
                <w:lang w:val="en-US" w:eastAsia="zh-CN" w:bidi="ar-SA"/>
              </w:rP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outlineLvl w:val="1"/>
        <w:rPr>
          <w:rFonts w:ascii="方正小标宋_GBK" w:eastAsia="方正小标宋_GBK" w:cs="Times New Roman"/>
          <w:sz w:val="32"/>
        </w:rPr>
      </w:pPr>
      <w:r>
        <w:rPr>
          <w:rFonts w:hint="eastAsia"/>
          <w:lang w:eastAsia="zh-CN"/>
        </w:rPr>
        <w:t>河北廊坊广阳经济开发区管理委员会</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061" w:type="dxa"/>
            <w:gridSpan w:val="2"/>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政府采购项目来源</w:t>
            </w:r>
          </w:p>
        </w:tc>
        <w:tc>
          <w:tcPr>
            <w:tcW w:w="1134"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采购物品名称</w:t>
            </w:r>
          </w:p>
        </w:tc>
        <w:tc>
          <w:tcPr>
            <w:tcW w:w="1134"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政府采购目录序号</w:t>
            </w:r>
          </w:p>
        </w:tc>
        <w:tc>
          <w:tcPr>
            <w:tcW w:w="709"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计量  单位</w:t>
            </w:r>
          </w:p>
        </w:tc>
        <w:tc>
          <w:tcPr>
            <w:tcW w:w="850"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数量</w:t>
            </w:r>
          </w:p>
        </w:tc>
        <w:tc>
          <w:tcPr>
            <w:tcW w:w="850"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单价</w:t>
            </w:r>
          </w:p>
        </w:tc>
        <w:tc>
          <w:tcPr>
            <w:tcW w:w="7712" w:type="dxa"/>
            <w:gridSpan w:val="8"/>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政府采购金额（当年部门预算安排资金）</w:t>
            </w:r>
          </w:p>
        </w:tc>
        <w:tc>
          <w:tcPr>
            <w:tcW w:w="964"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河北廊坊广阳经济开发区管理委员会</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85.6063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hint="eastAsia" w:ascii="Times New Roman" w:hAnsi="Times New Roman" w:eastAsia="仿宋_GB2312" w:cs="Times New Roman"/>
          <w:sz w:val="32"/>
          <w:szCs w:val="32"/>
          <w:lang w:eastAsia="zh-CN"/>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河北廊坊广阳经济开发区管理委员会</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河北廊坊广阳经济开发区管理委员会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85.6063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23.78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61.8263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B562E7"/>
    <w:multiLevelType w:val="singleLevel"/>
    <w:tmpl w:val="78B562E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0E6"/>
    <w:rsid w:val="000F6018"/>
    <w:rsid w:val="0025632D"/>
    <w:rsid w:val="003059E0"/>
    <w:rsid w:val="004A54AA"/>
    <w:rsid w:val="00944233"/>
    <w:rsid w:val="00B40732"/>
    <w:rsid w:val="00B80935"/>
    <w:rsid w:val="00D347CC"/>
    <w:rsid w:val="00DC72B4"/>
    <w:rsid w:val="013869A5"/>
    <w:rsid w:val="02877550"/>
    <w:rsid w:val="09F004DA"/>
    <w:rsid w:val="0CEC1180"/>
    <w:rsid w:val="124F0FD4"/>
    <w:rsid w:val="1EE1673C"/>
    <w:rsid w:val="391D204F"/>
    <w:rsid w:val="597F48C6"/>
    <w:rsid w:val="5ED67348"/>
    <w:rsid w:val="73693C55"/>
    <w:rsid w:val="74653AAC"/>
    <w:rsid w:val="7B1A2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504</Words>
  <Characters>2877</Characters>
  <Lines>23</Lines>
  <Paragraphs>6</Paragraphs>
  <TotalTime>223</TotalTime>
  <ScaleCrop>false</ScaleCrop>
  <LinksUpToDate>false</LinksUpToDate>
  <CharactersWithSpaces>3375</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2022-07-06T10:16:28Z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8253E640F3E44EB48F38B14D59C8C486</vt:lpwstr>
  </property>
</Properties>
</file>