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仿宋_GB2312" w:cs="Times New Roman"/>
          <w:sz w:val="44"/>
          <w:szCs w:val="44"/>
          <w:lang w:eastAsia="zh-CN"/>
        </w:rPr>
      </w:pP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bookmarkStart w:id="3" w:name="_GoBack"/>
      <w:r>
        <w:rPr>
          <w:rFonts w:hint="eastAsia" w:ascii="Times New Roman" w:hAnsi="Times New Roman" w:eastAsia="方正小标宋简体" w:cs="Times New Roman"/>
          <w:sz w:val="44"/>
          <w:szCs w:val="44"/>
        </w:rPr>
        <w:t>第十六中学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3"/>
    </w:p>
    <w:p>
      <w:pPr>
        <w:spacing w:line="579"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第十六中学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19"/>
        <w:widowControl/>
        <w:adjustRightInd w:val="0"/>
        <w:spacing w:line="579" w:lineRule="exact"/>
        <w:ind w:left="630" w:firstLine="0" w:firstLineChars="0"/>
        <w:jc w:val="lef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（一）实施中小学义务教育，促进基础教育发展，完成中小学学历教育；</w:t>
      </w:r>
    </w:p>
    <w:p>
      <w:pPr>
        <w:pStyle w:val="19"/>
        <w:widowControl/>
        <w:adjustRightInd w:val="0"/>
        <w:spacing w:line="579" w:lineRule="exact"/>
        <w:ind w:firstLine="640"/>
        <w:jc w:val="lef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（二）发展城市义务教育；</w:t>
      </w:r>
    </w:p>
    <w:p>
      <w:pPr>
        <w:pStyle w:val="19"/>
        <w:widowControl/>
        <w:adjustRightInd w:val="0"/>
        <w:spacing w:line="579" w:lineRule="exact"/>
        <w:ind w:firstLine="640"/>
        <w:jc w:val="lef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（三）开展教师教研及学生德育活动；</w:t>
      </w:r>
    </w:p>
    <w:p>
      <w:pPr>
        <w:pStyle w:val="19"/>
        <w:widowControl/>
        <w:adjustRightInd w:val="0"/>
        <w:spacing w:line="579" w:lineRule="exact"/>
        <w:ind w:firstLine="640"/>
        <w:jc w:val="lef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（四）改善薄弱学校办学条件；</w:t>
      </w:r>
    </w:p>
    <w:p>
      <w:pPr>
        <w:pStyle w:val="19"/>
        <w:widowControl/>
        <w:adjustRightInd w:val="0"/>
        <w:snapToGrid w:val="0"/>
        <w:spacing w:line="579" w:lineRule="exact"/>
        <w:ind w:firstLine="64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（五）提升特殊教育保障水平。</w:t>
      </w:r>
    </w:p>
    <w:p>
      <w:pPr>
        <w:pStyle w:val="19"/>
        <w:widowControl/>
        <w:adjustRightInd w:val="0"/>
        <w:spacing w:line="579" w:lineRule="exact"/>
        <w:ind w:firstLine="640"/>
        <w:jc w:val="left"/>
        <w:rPr>
          <w:rFonts w:ascii="Times New Roman" w:hAnsi="Times New Roman" w:eastAsia="仿宋_GB2312" w:cs="Times New Roman"/>
          <w:sz w:val="32"/>
          <w:szCs w:val="32"/>
        </w:rPr>
      </w:pP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79" w:lineRule="exact"/>
            </w:pPr>
          </w:p>
        </w:tc>
        <w:tc>
          <w:tcPr>
            <w:tcW w:w="1134"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2902"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廊坊市第十六中学</w:t>
            </w:r>
          </w:p>
        </w:tc>
        <w:tc>
          <w:tcPr>
            <w:tcW w:w="1134"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2902"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left"/>
              <w:rPr>
                <w:rFonts w:ascii="Times New Roman" w:hAnsi="Times New Roman" w:eastAsia="仿宋_GB2312" w:cs="Times New Roman"/>
              </w:rPr>
            </w:pPr>
          </w:p>
        </w:tc>
        <w:tc>
          <w:tcPr>
            <w:tcW w:w="1134"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2902" w:type="dxa"/>
            <w:shd w:val="clear" w:color="auto" w:fill="auto"/>
            <w:vAlign w:val="center"/>
          </w:tcPr>
          <w:p>
            <w:pPr>
              <w:spacing w:line="579"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left"/>
              <w:rPr>
                <w:rFonts w:ascii="Times New Roman" w:hAnsi="Times New Roman" w:eastAsia="仿宋_GB2312" w:cs="Times New Roman"/>
              </w:rPr>
            </w:pPr>
          </w:p>
        </w:tc>
        <w:tc>
          <w:tcPr>
            <w:tcW w:w="1134"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2902" w:type="dxa"/>
            <w:shd w:val="clear" w:color="auto" w:fill="auto"/>
            <w:vAlign w:val="center"/>
          </w:tcPr>
          <w:p>
            <w:pPr>
              <w:spacing w:line="579" w:lineRule="exact"/>
              <w:jc w:val="center"/>
              <w:rPr>
                <w:rFonts w:ascii="Times New Roman" w:hAnsi="Times New Roman" w:eastAsia="仿宋_GB2312" w:cs="Times New Roman"/>
              </w:rPr>
            </w:pPr>
          </w:p>
        </w:tc>
      </w:tr>
    </w:tbl>
    <w:p>
      <w:pPr>
        <w:spacing w:line="579" w:lineRule="exact"/>
        <w:rPr>
          <w:rFonts w:ascii="Times New Roman" w:hAnsi="Times New Roman" w:eastAsia="仿宋" w:cs="Times New Roman"/>
          <w:color w:val="FF0000"/>
          <w:sz w:val="32"/>
          <w:szCs w:val="32"/>
        </w:rPr>
      </w:pP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第十六中学</w:t>
      </w:r>
      <w:r>
        <w:rPr>
          <w:rFonts w:ascii="Times New Roman" w:hAnsi="Times New Roman" w:eastAsia="仿宋_GB2312" w:cs="Times New Roman"/>
          <w:sz w:val="32"/>
          <w:szCs w:val="32"/>
        </w:rPr>
        <w:t>的收支包含在部门预算中。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2201.57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2201.57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第十六中学2022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2201.57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671.2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1156.77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373.6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2201.57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2099.37</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671.2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在编人员经费及公用经费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1428.17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合同制教师经费及生均公用经费</w:t>
      </w:r>
      <w:r>
        <w:rPr>
          <w:rFonts w:ascii="Times New Roman" w:hAnsi="Times New Roman" w:eastAsia="仿宋_GB2312" w:cs="Times New Roman"/>
          <w:sz w:val="32"/>
          <w:szCs w:val="32"/>
        </w:rPr>
        <w:t>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 xml:space="preserve">1、发展城市义务教育  </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免除城市区中小学生学杂费，提高公用经费保障水平，为贫困中小学生免费提供教科书，</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对接收进城务工农民工子女的学校进行补助。</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改善城区中小学办学条件。</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 xml:space="preserve"> 保障中小学公用经费水平逐年提高，解决大班额问题及入学难问题。</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保障小学入学率。</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2、改善学校办学条件</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保障义务教育阶段学校基本教学条件，改善学校生活设施，保障后勤社会化服务，解决学校大班额问题。</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开展学生社会实践活动，建立学生实践教育基地，推进学校教育信息化。</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使义务教育学校教学设施和生活设施满足基本教学需要，保障后勤社会化服务资金充足，使学校能够正常运转，超大班额现象消除，教师数量、素质、结构基本适应教学需要。</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3、提升特殊教育保障水平</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保证教学设备设施配备齐全，保障学生校园安全，支持贫困学生和爱心家园学生完成学业。</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改善办学条件，配置基础教育资源</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4、开展教师教研及学生德育活动</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开展各类课题研究、校本研究，加强教师培训和教学交流，加强德育培训与研究，举办各类教育教学活动。</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提高教师教学水平，调动教师积极性，培养专家型教师人才，提高学生的综合素质。</w:t>
      </w:r>
    </w:p>
    <w:p>
      <w:pPr>
        <w:widowControl/>
        <w:shd w:val="clear" w:color="auto" w:fill="FFFFFF"/>
        <w:spacing w:line="579" w:lineRule="exact"/>
        <w:ind w:firstLine="640" w:firstLineChars="200"/>
        <w:jc w:val="left"/>
        <w:rPr>
          <w:rFonts w:ascii="仿宋_GB2312" w:hAnsi="宋体" w:eastAsia="仿宋_GB2312"/>
          <w:color w:val="000000"/>
          <w:sz w:val="32"/>
          <w:szCs w:val="32"/>
        </w:rPr>
      </w:pP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spacing w:line="579" w:lineRule="exact"/>
        <w:ind w:firstLine="640" w:firstLineChars="200"/>
        <w:rPr>
          <w:rFonts w:ascii="仿宋_GB2312" w:hAnsi="宋体" w:eastAsia="仿宋_GB2312" w:cs="Arial"/>
          <w:color w:val="000000"/>
          <w:sz w:val="32"/>
          <w:szCs w:val="32"/>
        </w:rPr>
      </w:pPr>
      <w:r>
        <w:rPr>
          <w:rFonts w:hint="eastAsia" w:ascii="仿宋_GB2312" w:hAnsi="宋体" w:eastAsia="仿宋_GB2312" w:cs="Arial"/>
          <w:color w:val="00000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1"/>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1、提高义务教育水平，免除城市区中小学生学杂费，提供免费教科书，解决大班额问题及入学难问题。对贫困中小学生进行补助。</w:t>
      </w:r>
    </w:p>
    <w:p>
      <w:pPr>
        <w:pStyle w:val="21"/>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2、按质按量完成教育教学方面的各项任务，稳步提升学校的教育教学质量，学生综合素质评价优秀率达到85%,合格率达到100%。</w:t>
      </w:r>
    </w:p>
    <w:p>
      <w:pPr>
        <w:pStyle w:val="21"/>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1"/>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4、提升学校基础设施设备的整体水平。加强学校基础设施设备的维护,确保校园安全,落实校园防火及其他安全隐患的预防工作。确保校园各设施设备的正常运行。</w:t>
      </w:r>
    </w:p>
    <w:p>
      <w:pPr>
        <w:pStyle w:val="21"/>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1"/>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6、学校的文化宣传整体布局,建成学校校史馆,完成各班级、各科室及教师办公室的文化宣传布置。加大学校办学理念、目标的宣传,形成具有特色的校园文化氛围。</w:t>
      </w:r>
    </w:p>
    <w:p>
      <w:pPr>
        <w:pStyle w:val="21"/>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7、办人民满意的学校,教师、学生、家长整体满意度达到90%以上。</w:t>
      </w:r>
    </w:p>
    <w:p>
      <w:pPr>
        <w:spacing w:line="579" w:lineRule="exact"/>
        <w:ind w:firstLine="964" w:firstLineChars="3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2"/>
        <w:spacing w:line="579" w:lineRule="exact"/>
        <w:rPr>
          <w:rFonts w:ascii="仿宋_GB2312" w:hAnsi="宋体" w:eastAsia="仿宋_GB2312" w:cs="Arial"/>
          <w:color w:val="000000"/>
          <w:sz w:val="32"/>
          <w:szCs w:val="32"/>
        </w:rPr>
      </w:pPr>
      <w:r>
        <w:t>1</w:t>
      </w:r>
      <w:r>
        <w:rPr>
          <w:rFonts w:hint="eastAsia" w:ascii="仿宋_GB2312" w:hAnsi="宋体" w:eastAsia="仿宋_GB2312" w:cs="Arial"/>
          <w:color w:val="000000"/>
          <w:sz w:val="32"/>
          <w:szCs w:val="32"/>
        </w:rPr>
        <w:t>、成立学校监督小组，监督学校工作，强化工作落实。</w:t>
      </w:r>
    </w:p>
    <w:p>
      <w:pPr>
        <w:pStyle w:val="22"/>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2"/>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2"/>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2"/>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2"/>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6、加强政治理论学习，强化党风廉政建设。做好师德传承活动，落实老中青传帮带。弘扬办学精神。加强师德宣传与学习活动。开展形式多样、扎实有效的师德教育活动。</w:t>
      </w:r>
    </w:p>
    <w:p>
      <w:pPr>
        <w:pStyle w:val="22"/>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79" w:lineRule="exact"/>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5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924"/>
        <w:gridCol w:w="4730"/>
        <w:gridCol w:w="2770"/>
        <w:gridCol w:w="863"/>
        <w:gridCol w:w="709"/>
        <w:gridCol w:w="170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二级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1924"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三级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4730"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评（扣）分标准</w:t>
            </w:r>
          </w:p>
        </w:tc>
        <w:tc>
          <w:tcPr>
            <w:tcW w:w="2770"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绩效指标</w:t>
            </w:r>
          </w:p>
          <w:p>
            <w:pPr>
              <w:widowControl/>
              <w:adjustRightInd w:val="0"/>
              <w:snapToGrid w:val="0"/>
              <w:spacing w:line="240" w:lineRule="auto"/>
              <w:jc w:val="center"/>
              <w:rPr>
                <w:rFonts w:ascii="方正书宋_GBK" w:eastAsia="方正书宋_GBK"/>
                <w:b/>
              </w:rPr>
            </w:pPr>
            <w:r>
              <w:rPr>
                <w:rFonts w:ascii="方正书宋_GBK" w:eastAsia="方正书宋_GBK"/>
                <w:b/>
              </w:rPr>
              <w:t>描述</w:t>
            </w:r>
          </w:p>
        </w:tc>
        <w:tc>
          <w:tcPr>
            <w:tcW w:w="3281" w:type="dxa"/>
            <w:gridSpan w:val="3"/>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tc>
        <w:tc>
          <w:tcPr>
            <w:tcW w:w="1287"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p>
            <w:pPr>
              <w:widowControl/>
              <w:adjustRightInd w:val="0"/>
              <w:snapToGrid w:val="0"/>
              <w:spacing w:line="240" w:lineRule="auto"/>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pPr>
              <w:spacing w:line="240" w:lineRule="auto"/>
            </w:pPr>
          </w:p>
        </w:tc>
        <w:tc>
          <w:tcPr>
            <w:tcW w:w="825" w:type="dxa"/>
            <w:vMerge w:val="continue"/>
            <w:tcBorders>
              <w:tl2br w:val="nil"/>
              <w:tr2bl w:val="nil"/>
            </w:tcBorders>
            <w:vAlign w:val="center"/>
          </w:tcPr>
          <w:p>
            <w:pPr>
              <w:spacing w:line="240" w:lineRule="auto"/>
            </w:pPr>
          </w:p>
        </w:tc>
        <w:tc>
          <w:tcPr>
            <w:tcW w:w="1924" w:type="dxa"/>
            <w:vMerge w:val="continue"/>
            <w:tcBorders>
              <w:tl2br w:val="nil"/>
              <w:tr2bl w:val="nil"/>
            </w:tcBorders>
            <w:vAlign w:val="center"/>
          </w:tcPr>
          <w:p>
            <w:pPr>
              <w:spacing w:line="240" w:lineRule="auto"/>
            </w:pPr>
          </w:p>
        </w:tc>
        <w:tc>
          <w:tcPr>
            <w:tcW w:w="4730" w:type="dxa"/>
            <w:vMerge w:val="continue"/>
            <w:tcBorders>
              <w:tl2br w:val="nil"/>
              <w:tr2bl w:val="nil"/>
            </w:tcBorders>
            <w:vAlign w:val="center"/>
          </w:tcPr>
          <w:p>
            <w:pPr>
              <w:spacing w:line="240" w:lineRule="auto"/>
            </w:pPr>
          </w:p>
        </w:tc>
        <w:tc>
          <w:tcPr>
            <w:tcW w:w="2770" w:type="dxa"/>
            <w:vMerge w:val="continue"/>
            <w:tcBorders>
              <w:tl2br w:val="nil"/>
              <w:tr2bl w:val="nil"/>
            </w:tcBorders>
            <w:vAlign w:val="center"/>
          </w:tcPr>
          <w:p>
            <w:pPr>
              <w:spacing w:line="240" w:lineRule="auto"/>
            </w:pPr>
          </w:p>
        </w:tc>
        <w:tc>
          <w:tcPr>
            <w:tcW w:w="863"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符号</w:t>
            </w:r>
          </w:p>
        </w:tc>
        <w:tc>
          <w:tcPr>
            <w:tcW w:w="709"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值</w:t>
            </w:r>
          </w:p>
        </w:tc>
        <w:tc>
          <w:tcPr>
            <w:tcW w:w="1709"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单位</w:t>
            </w:r>
          </w:p>
        </w:tc>
        <w:tc>
          <w:tcPr>
            <w:tcW w:w="1287" w:type="dxa"/>
            <w:vMerge w:val="continue"/>
            <w:tcBorders>
              <w:tl2br w:val="nil"/>
              <w:tr2bl w:val="nil"/>
            </w:tcBorders>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adjustRightInd w:val="0"/>
              <w:snapToGrid w:val="0"/>
              <w:spacing w:line="240" w:lineRule="auto"/>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数量</w:t>
            </w:r>
          </w:p>
        </w:tc>
        <w:tc>
          <w:tcPr>
            <w:tcW w:w="1924" w:type="dxa"/>
            <w:tcBorders>
              <w:tl2br w:val="nil"/>
              <w:tr2bl w:val="nil"/>
            </w:tcBorders>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初中生毕业生合格率</w:t>
            </w:r>
          </w:p>
          <w:p>
            <w:pPr>
              <w:widowControl/>
              <w:adjustRightInd w:val="0"/>
              <w:snapToGrid w:val="0"/>
              <w:spacing w:line="240" w:lineRule="auto"/>
              <w:jc w:val="center"/>
              <w:rPr>
                <w:rFonts w:hint="eastAsia" w:ascii="仿宋_GB2312" w:hAnsi="仿宋_GB2312" w:eastAsia="仿宋_GB2312" w:cs="仿宋_GB2312"/>
              </w:rPr>
            </w:pPr>
          </w:p>
        </w:tc>
        <w:tc>
          <w:tcPr>
            <w:tcW w:w="4730" w:type="dxa"/>
            <w:tcBorders>
              <w:tl2br w:val="nil"/>
              <w:tr2bl w:val="nil"/>
            </w:tcBorders>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20分毕业生合格率100%得满分，否则不得分</w:t>
            </w:r>
          </w:p>
          <w:p>
            <w:pPr>
              <w:widowControl/>
              <w:adjustRightInd w:val="0"/>
              <w:snapToGrid w:val="0"/>
              <w:spacing w:line="240" w:lineRule="auto"/>
              <w:jc w:val="center"/>
              <w:rPr>
                <w:rFonts w:hint="eastAsia" w:ascii="仿宋_GB2312" w:hAnsi="仿宋_GB2312" w:eastAsia="仿宋_GB2312" w:cs="仿宋_GB2312"/>
              </w:rPr>
            </w:pPr>
          </w:p>
        </w:tc>
        <w:tc>
          <w:tcPr>
            <w:tcW w:w="2770" w:type="dxa"/>
            <w:tcBorders>
              <w:tl2br w:val="nil"/>
              <w:tr2bl w:val="nil"/>
            </w:tcBorders>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初中生毕业生合格率</w:t>
            </w:r>
          </w:p>
          <w:p>
            <w:pPr>
              <w:widowControl/>
              <w:adjustRightInd w:val="0"/>
              <w:snapToGrid w:val="0"/>
              <w:spacing w:line="240" w:lineRule="auto"/>
              <w:jc w:val="center"/>
              <w:rPr>
                <w:rFonts w:hint="eastAsia" w:ascii="仿宋_GB2312" w:hAnsi="仿宋_GB2312" w:eastAsia="仿宋_GB2312" w:cs="仿宋_GB2312"/>
              </w:rPr>
            </w:pPr>
          </w:p>
        </w:tc>
        <w:tc>
          <w:tcPr>
            <w:tcW w:w="863" w:type="dxa"/>
            <w:tcBorders>
              <w:tl2br w:val="nil"/>
              <w:tr2bl w:val="nil"/>
            </w:tcBorders>
          </w:tcPr>
          <w:p>
            <w:pPr>
              <w:spacing w:line="240" w:lineRule="auto"/>
              <w:ind w:firstLine="315" w:firstLineChars="150"/>
              <w:rPr>
                <w:rFonts w:hint="eastAsia" w:ascii="仿宋_GB2312" w:hAnsi="仿宋_GB2312" w:eastAsia="仿宋_GB2312" w:cs="仿宋_GB2312"/>
              </w:rPr>
            </w:pPr>
            <w:r>
              <w:rPr>
                <w:rFonts w:hint="eastAsia" w:ascii="仿宋_GB2312" w:hAnsi="仿宋_GB2312" w:eastAsia="仿宋_GB2312" w:cs="仿宋_GB2312"/>
              </w:rPr>
              <w:t>=</w:t>
            </w:r>
          </w:p>
        </w:tc>
        <w:tc>
          <w:tcPr>
            <w:tcW w:w="709" w:type="dxa"/>
            <w:tcBorders>
              <w:tl2br w:val="nil"/>
              <w:tr2bl w:val="nil"/>
            </w:tcBorders>
          </w:tcPr>
          <w:p>
            <w:pPr>
              <w:spacing w:line="240" w:lineRule="auto"/>
              <w:ind w:firstLine="105" w:firstLineChars="50"/>
              <w:rPr>
                <w:rFonts w:hint="eastAsia" w:ascii="仿宋_GB2312" w:hAnsi="仿宋_GB2312" w:eastAsia="仿宋_GB2312" w:cs="仿宋_GB2312"/>
              </w:rPr>
            </w:pPr>
            <w:r>
              <w:rPr>
                <w:rFonts w:hint="eastAsia" w:ascii="仿宋_GB2312" w:hAnsi="仿宋_GB2312" w:eastAsia="仿宋_GB2312" w:cs="仿宋_GB2312"/>
              </w:rPr>
              <w:t>100</w:t>
            </w:r>
          </w:p>
        </w:tc>
        <w:tc>
          <w:tcPr>
            <w:tcW w:w="1709" w:type="dxa"/>
            <w:tcBorders>
              <w:tl2br w:val="nil"/>
              <w:tr2bl w:val="nil"/>
            </w:tcBorders>
          </w:tcPr>
          <w:p>
            <w:pPr>
              <w:spacing w:line="240" w:lineRule="auto"/>
              <w:ind w:firstLine="735" w:firstLineChars="350"/>
              <w:rPr>
                <w:rFonts w:hint="eastAsia" w:ascii="仿宋_GB2312" w:hAnsi="仿宋_GB2312" w:eastAsia="仿宋_GB2312" w:cs="仿宋_GB2312"/>
              </w:rPr>
            </w:pPr>
            <w:r>
              <w:rPr>
                <w:rFonts w:hint="eastAsia" w:ascii="仿宋_GB2312" w:hAnsi="仿宋_GB2312" w:eastAsia="仿宋_GB2312" w:cs="仿宋_GB2312"/>
              </w:rPr>
              <w:t>%</w:t>
            </w:r>
          </w:p>
        </w:tc>
        <w:tc>
          <w:tcPr>
            <w:tcW w:w="1287" w:type="dxa"/>
            <w:tcBorders>
              <w:tl2br w:val="nil"/>
              <w:tr2bl w:val="nil"/>
            </w:tcBorders>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widowControl/>
              <w:adjustRightInd w:val="0"/>
              <w:snapToGrid w:val="0"/>
              <w:spacing w:line="240" w:lineRule="auto"/>
              <w:jc w:val="center"/>
              <w:rPr>
                <w:rFonts w:ascii="方正书宋_GBK" w:eastAsia="方正书宋_GBK"/>
              </w:rPr>
            </w:pP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数量</w:t>
            </w:r>
          </w:p>
        </w:tc>
        <w:tc>
          <w:tcPr>
            <w:tcW w:w="1924"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4730"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10分不低于95%得满分，否则不得分5每减少1%扣1分，扣完为止</w:t>
            </w:r>
          </w:p>
        </w:tc>
        <w:tc>
          <w:tcPr>
            <w:tcW w:w="2770" w:type="dxa"/>
            <w:tcBorders>
              <w:tl2br w:val="nil"/>
              <w:tr2bl w:val="nil"/>
            </w:tcBorders>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863"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1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87" w:type="dxa"/>
            <w:tcBorders>
              <w:tl2br w:val="nil"/>
              <w:tr2bl w:val="nil"/>
            </w:tcBorders>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质量</w:t>
            </w:r>
          </w:p>
        </w:tc>
        <w:tc>
          <w:tcPr>
            <w:tcW w:w="1924"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4730" w:type="dxa"/>
            <w:tcBorders>
              <w:tl2br w:val="nil"/>
              <w:tr2bl w:val="nil"/>
            </w:tcBorders>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2770" w:type="dxa"/>
            <w:tcBorders>
              <w:tl2br w:val="nil"/>
              <w:tr2bl w:val="nil"/>
            </w:tcBorders>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863"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1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87" w:type="dxa"/>
            <w:tcBorders>
              <w:tl2br w:val="nil"/>
              <w:tr2bl w:val="nil"/>
            </w:tcBorders>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时效</w:t>
            </w:r>
          </w:p>
        </w:tc>
        <w:tc>
          <w:tcPr>
            <w:tcW w:w="1924"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4730" w:type="dxa"/>
            <w:tcBorders>
              <w:tl2br w:val="nil"/>
              <w:tr2bl w:val="nil"/>
            </w:tcBorders>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tc>
        <w:tc>
          <w:tcPr>
            <w:tcW w:w="2770"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863"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p>
        </w:tc>
        <w:tc>
          <w:tcPr>
            <w:tcW w:w="1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及时</w:t>
            </w:r>
          </w:p>
        </w:tc>
        <w:tc>
          <w:tcPr>
            <w:tcW w:w="1287" w:type="dxa"/>
            <w:tcBorders>
              <w:tl2br w:val="nil"/>
              <w:tr2bl w:val="nil"/>
            </w:tcBorders>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18"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成本</w:t>
            </w:r>
          </w:p>
        </w:tc>
        <w:tc>
          <w:tcPr>
            <w:tcW w:w="1924"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教育经费使用控制率</w:t>
            </w:r>
          </w:p>
        </w:tc>
        <w:tc>
          <w:tcPr>
            <w:tcW w:w="4730"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10分教育经费决算数不大于调整预算数得满分，否则不得分</w:t>
            </w:r>
          </w:p>
        </w:tc>
        <w:tc>
          <w:tcPr>
            <w:tcW w:w="2770"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支出的公用经费总额与预算安排的比率</w:t>
            </w:r>
          </w:p>
        </w:tc>
        <w:tc>
          <w:tcPr>
            <w:tcW w:w="863"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p>
        </w:tc>
        <w:tc>
          <w:tcPr>
            <w:tcW w:w="1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教育经费决算数不大于调整预算数</w:t>
            </w:r>
          </w:p>
        </w:tc>
        <w:tc>
          <w:tcPr>
            <w:tcW w:w="1287" w:type="dxa"/>
            <w:tcBorders>
              <w:tl2br w:val="nil"/>
              <w:tr2bl w:val="nil"/>
            </w:tcBorders>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62" w:hRule="atLeast"/>
          <w:jc w:val="center"/>
        </w:trPr>
        <w:tc>
          <w:tcPr>
            <w:tcW w:w="558" w:type="dxa"/>
            <w:vMerge w:val="restart"/>
            <w:tcBorders>
              <w:tl2br w:val="nil"/>
              <w:tr2bl w:val="nil"/>
            </w:tcBorders>
            <w:vAlign w:val="center"/>
          </w:tcPr>
          <w:p>
            <w:pPr>
              <w:adjustRightInd w:val="0"/>
              <w:snapToGrid w:val="0"/>
              <w:spacing w:line="240" w:lineRule="auto"/>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社会</w:t>
            </w:r>
          </w:p>
          <w:p>
            <w:pPr>
              <w:widowControl/>
              <w:adjustRightInd w:val="0"/>
              <w:snapToGrid w:val="0"/>
              <w:spacing w:line="240" w:lineRule="auto"/>
              <w:jc w:val="center"/>
              <w:rPr>
                <w:rFonts w:ascii="方正书宋_GBK" w:eastAsia="方正书宋_GBK"/>
              </w:rPr>
            </w:pPr>
            <w:r>
              <w:rPr>
                <w:rFonts w:ascii="方正书宋_GBK" w:eastAsia="方正书宋_GBK"/>
              </w:rPr>
              <w:t>效益</w:t>
            </w:r>
          </w:p>
        </w:tc>
        <w:tc>
          <w:tcPr>
            <w:tcW w:w="19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义务教育高质量发展</w:t>
            </w:r>
          </w:p>
          <w:p>
            <w:pPr>
              <w:widowControl/>
              <w:adjustRightInd w:val="0"/>
              <w:snapToGrid w:val="0"/>
              <w:spacing w:line="240" w:lineRule="auto"/>
              <w:jc w:val="center"/>
              <w:rPr>
                <w:rFonts w:hint="eastAsia" w:ascii="仿宋_GB2312" w:hAnsi="仿宋_GB2312" w:eastAsia="仿宋_GB2312" w:cs="仿宋_GB2312"/>
              </w:rPr>
            </w:pPr>
          </w:p>
        </w:tc>
        <w:tc>
          <w:tcPr>
            <w:tcW w:w="473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10分学生、家长、社会对学校整体满意度达到95%得满分，每降低1%扣1分，扣完为止。</w:t>
            </w:r>
          </w:p>
          <w:p>
            <w:pPr>
              <w:widowControl/>
              <w:adjustRightInd w:val="0"/>
              <w:snapToGrid w:val="0"/>
              <w:spacing w:line="240" w:lineRule="auto"/>
              <w:jc w:val="center"/>
              <w:rPr>
                <w:rFonts w:hint="eastAsia" w:ascii="仿宋_GB2312" w:hAnsi="仿宋_GB2312" w:eastAsia="仿宋_GB2312" w:cs="仿宋_GB2312"/>
              </w:rPr>
            </w:pPr>
          </w:p>
        </w:tc>
        <w:tc>
          <w:tcPr>
            <w:tcW w:w="277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p>
            <w:pPr>
              <w:widowControl/>
              <w:adjustRightInd w:val="0"/>
              <w:snapToGrid w:val="0"/>
              <w:spacing w:line="240" w:lineRule="auto"/>
              <w:jc w:val="center"/>
              <w:rPr>
                <w:rFonts w:hint="eastAsia" w:ascii="仿宋_GB2312" w:hAnsi="仿宋_GB2312" w:eastAsia="仿宋_GB2312" w:cs="仿宋_GB2312"/>
              </w:rPr>
            </w:pPr>
          </w:p>
        </w:tc>
        <w:tc>
          <w:tcPr>
            <w:tcW w:w="863"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1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8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部门职责</w:t>
            </w:r>
          </w:p>
          <w:p>
            <w:pPr>
              <w:widowControl/>
              <w:adjustRightInd w:val="0"/>
              <w:snapToGrid w:val="0"/>
              <w:spacing w:line="240"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spacing w:line="240" w:lineRule="auto"/>
            </w:pPr>
          </w:p>
        </w:tc>
        <w:tc>
          <w:tcPr>
            <w:tcW w:w="825" w:type="dxa"/>
            <w:vMerge w:val="restart"/>
            <w:tcBorders>
              <w:tl2br w:val="nil"/>
              <w:tr2bl w:val="nil"/>
            </w:tcBorders>
            <w:vAlign w:val="center"/>
          </w:tcPr>
          <w:p>
            <w:pPr>
              <w:adjustRightInd w:val="0"/>
              <w:snapToGrid w:val="0"/>
              <w:spacing w:line="240" w:lineRule="auto"/>
              <w:jc w:val="center"/>
              <w:rPr>
                <w:rFonts w:ascii="方正书宋_GBK" w:eastAsia="方正书宋_GBK"/>
              </w:rPr>
            </w:pPr>
            <w:r>
              <w:rPr>
                <w:rFonts w:hint="eastAsia" w:ascii="方正书宋_GBK" w:eastAsia="方正书宋_GBK"/>
              </w:rPr>
              <w:t>满意度</w:t>
            </w:r>
          </w:p>
        </w:tc>
        <w:tc>
          <w:tcPr>
            <w:tcW w:w="1924" w:type="dxa"/>
            <w:tcBorders>
              <w:tl2br w:val="nil"/>
              <w:tr2bl w:val="nil"/>
            </w:tcBorders>
            <w:noWrap/>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730" w:type="dxa"/>
            <w:tcBorders>
              <w:tl2br w:val="nil"/>
              <w:tr2bl w:val="nil"/>
            </w:tcBorders>
            <w:noWrap/>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10分在校师生的满意度达到95%得满分，每降低1%扣1分，扣完为止。</w:t>
            </w:r>
          </w:p>
        </w:tc>
        <w:tc>
          <w:tcPr>
            <w:tcW w:w="2770" w:type="dxa"/>
            <w:tcBorders>
              <w:tl2br w:val="nil"/>
              <w:tr2bl w:val="nil"/>
            </w:tcBorders>
            <w:noWrap/>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63" w:type="dxa"/>
            <w:tcBorders>
              <w:tl2br w:val="nil"/>
              <w:tr2bl w:val="nil"/>
            </w:tcBorders>
          </w:tcPr>
          <w:p>
            <w:pPr>
              <w:spacing w:line="240" w:lineRule="auto"/>
              <w:ind w:firstLine="315" w:firstLineChars="150"/>
              <w:rPr>
                <w:rFonts w:hint="eastAsia" w:ascii="仿宋_GB2312" w:hAnsi="仿宋_GB2312" w:eastAsia="仿宋_GB2312" w:cs="仿宋_GB2312"/>
              </w:rPr>
            </w:pPr>
            <w:r>
              <w:rPr>
                <w:rFonts w:hint="eastAsia" w:ascii="仿宋_GB2312" w:hAnsi="仿宋_GB2312" w:eastAsia="仿宋_GB2312" w:cs="仿宋_GB2312"/>
              </w:rPr>
              <w:t>≥</w:t>
            </w:r>
          </w:p>
        </w:tc>
        <w:tc>
          <w:tcPr>
            <w:tcW w:w="709" w:type="dxa"/>
            <w:tcBorders>
              <w:tl2br w:val="nil"/>
              <w:tr2bl w:val="nil"/>
            </w:tcBorders>
          </w:tcPr>
          <w:p>
            <w:pPr>
              <w:spacing w:line="240" w:lineRule="auto"/>
              <w:ind w:firstLine="210" w:firstLineChars="100"/>
              <w:rPr>
                <w:rFonts w:hint="eastAsia" w:ascii="仿宋_GB2312" w:hAnsi="仿宋_GB2312" w:eastAsia="仿宋_GB2312" w:cs="仿宋_GB2312"/>
              </w:rPr>
            </w:pPr>
            <w:r>
              <w:rPr>
                <w:rFonts w:hint="eastAsia" w:ascii="仿宋_GB2312" w:hAnsi="仿宋_GB2312" w:eastAsia="仿宋_GB2312" w:cs="仿宋_GB2312"/>
              </w:rPr>
              <w:t>95</w:t>
            </w:r>
          </w:p>
        </w:tc>
        <w:tc>
          <w:tcPr>
            <w:tcW w:w="1709" w:type="dxa"/>
            <w:tcBorders>
              <w:tl2br w:val="nil"/>
              <w:tr2bl w:val="nil"/>
            </w:tcBorders>
          </w:tcPr>
          <w:p>
            <w:pPr>
              <w:spacing w:line="240" w:lineRule="auto"/>
              <w:ind w:firstLine="630" w:firstLineChars="300"/>
              <w:rPr>
                <w:rFonts w:hint="eastAsia" w:ascii="仿宋_GB2312" w:hAnsi="仿宋_GB2312" w:eastAsia="仿宋_GB2312" w:cs="仿宋_GB2312"/>
              </w:rPr>
            </w:pPr>
            <w:r>
              <w:rPr>
                <w:rFonts w:hint="eastAsia" w:ascii="仿宋_GB2312" w:hAnsi="仿宋_GB2312" w:eastAsia="仿宋_GB2312" w:cs="仿宋_GB2312"/>
              </w:rPr>
              <w:t>%</w:t>
            </w:r>
          </w:p>
        </w:tc>
        <w:tc>
          <w:tcPr>
            <w:tcW w:w="1287" w:type="dxa"/>
            <w:tcBorders>
              <w:tl2br w:val="nil"/>
              <w:tr2bl w:val="nil"/>
            </w:tcBorders>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spacing w:line="240" w:lineRule="auto"/>
            </w:pPr>
          </w:p>
        </w:tc>
        <w:tc>
          <w:tcPr>
            <w:tcW w:w="825" w:type="dxa"/>
            <w:vMerge w:val="continue"/>
            <w:tcBorders>
              <w:tl2br w:val="nil"/>
              <w:tr2bl w:val="nil"/>
            </w:tcBorders>
            <w:vAlign w:val="center"/>
          </w:tcPr>
          <w:p>
            <w:pPr>
              <w:widowControl/>
              <w:adjustRightInd w:val="0"/>
              <w:snapToGrid w:val="0"/>
              <w:spacing w:line="240" w:lineRule="auto"/>
              <w:jc w:val="center"/>
              <w:rPr>
                <w:rFonts w:ascii="方正书宋_GBK" w:eastAsia="方正书宋_GBK"/>
              </w:rPr>
            </w:pPr>
          </w:p>
        </w:tc>
        <w:tc>
          <w:tcPr>
            <w:tcW w:w="1924" w:type="dxa"/>
            <w:tcBorders>
              <w:tl2br w:val="nil"/>
              <w:tr2bl w:val="nil"/>
            </w:tcBorders>
            <w:noWrap/>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4730" w:type="dxa"/>
            <w:tcBorders>
              <w:tl2br w:val="nil"/>
              <w:tr2bl w:val="nil"/>
            </w:tcBorders>
            <w:noWrap/>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2770" w:type="dxa"/>
            <w:tcBorders>
              <w:tl2br w:val="nil"/>
              <w:tr2bl w:val="nil"/>
            </w:tcBorders>
            <w:noWrap/>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863" w:type="dxa"/>
            <w:tcBorders>
              <w:tl2br w:val="nil"/>
              <w:tr2bl w:val="nil"/>
            </w:tcBorders>
          </w:tcPr>
          <w:p>
            <w:pPr>
              <w:spacing w:line="240" w:lineRule="auto"/>
              <w:ind w:firstLine="315" w:firstLineChars="150"/>
              <w:rPr>
                <w:rFonts w:hint="eastAsia" w:ascii="仿宋_GB2312" w:hAnsi="仿宋_GB2312" w:eastAsia="仿宋_GB2312" w:cs="仿宋_GB2312"/>
              </w:rPr>
            </w:pPr>
            <w:r>
              <w:rPr>
                <w:rFonts w:hint="eastAsia" w:ascii="仿宋_GB2312" w:hAnsi="仿宋_GB2312" w:eastAsia="仿宋_GB2312" w:cs="仿宋_GB2312"/>
              </w:rPr>
              <w:t>≥</w:t>
            </w:r>
          </w:p>
        </w:tc>
        <w:tc>
          <w:tcPr>
            <w:tcW w:w="709" w:type="dxa"/>
            <w:tcBorders>
              <w:tl2br w:val="nil"/>
              <w:tr2bl w:val="nil"/>
            </w:tcBorders>
          </w:tcPr>
          <w:p>
            <w:pPr>
              <w:spacing w:line="240" w:lineRule="auto"/>
              <w:ind w:firstLine="210" w:firstLineChars="100"/>
              <w:rPr>
                <w:rFonts w:hint="eastAsia" w:ascii="仿宋_GB2312" w:hAnsi="仿宋_GB2312" w:eastAsia="仿宋_GB2312" w:cs="仿宋_GB2312"/>
              </w:rPr>
            </w:pPr>
            <w:r>
              <w:rPr>
                <w:rFonts w:hint="eastAsia" w:ascii="仿宋_GB2312" w:hAnsi="仿宋_GB2312" w:eastAsia="仿宋_GB2312" w:cs="仿宋_GB2312"/>
              </w:rPr>
              <w:t>95</w:t>
            </w:r>
          </w:p>
        </w:tc>
        <w:tc>
          <w:tcPr>
            <w:tcW w:w="1709" w:type="dxa"/>
            <w:tcBorders>
              <w:tl2br w:val="nil"/>
              <w:tr2bl w:val="nil"/>
            </w:tcBorders>
          </w:tcPr>
          <w:p>
            <w:pPr>
              <w:spacing w:line="240" w:lineRule="auto"/>
              <w:ind w:firstLine="630" w:firstLineChars="300"/>
              <w:rPr>
                <w:rFonts w:hint="eastAsia" w:ascii="仿宋_GB2312" w:hAnsi="仿宋_GB2312" w:eastAsia="仿宋_GB2312" w:cs="仿宋_GB2312"/>
              </w:rPr>
            </w:pPr>
            <w:r>
              <w:rPr>
                <w:rFonts w:hint="eastAsia" w:ascii="仿宋_GB2312" w:hAnsi="仿宋_GB2312" w:eastAsia="仿宋_GB2312" w:cs="仿宋_GB2312"/>
              </w:rPr>
              <w:t>%</w:t>
            </w:r>
          </w:p>
        </w:tc>
        <w:tc>
          <w:tcPr>
            <w:tcW w:w="1287" w:type="dxa"/>
            <w:tcBorders>
              <w:tl2br w:val="nil"/>
              <w:tr2bl w:val="nil"/>
            </w:tcBorders>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79" w:lineRule="exact"/>
        <w:rPr>
          <w:rFonts w:hint="eastAsia" w:ascii="Times New Roman" w:hAnsi="Times New Roman" w:eastAsia="黑体" w:cs="Times New Roman"/>
          <w:sz w:val="32"/>
          <w:szCs w:val="32"/>
        </w:rPr>
      </w:pPr>
    </w:p>
    <w:p>
      <w:pPr>
        <w:spacing w:line="579"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240" w:lineRule="auto"/>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1.城乡义务教育生均公用经费[区级]绩效目标表</w:t>
      </w:r>
      <w:bookmarkStart w:id="0" w:name="_Toc29799657"/>
      <w:bookmarkEnd w:id="0"/>
    </w:p>
    <w:p>
      <w:pPr>
        <w:spacing w:line="240" w:lineRule="auto"/>
        <w:ind w:firstLine="420" w:firstLineChars="200"/>
        <w:jc w:val="center"/>
        <w:rPr>
          <w:rFonts w:hint="eastAsia" w:ascii="仿宋_GB2312" w:hAnsi="仿宋_GB2312" w:eastAsia="仿宋_GB2312" w:cs="仿宋_GB2312"/>
        </w:rPr>
      </w:pPr>
    </w:p>
    <w:tbl>
      <w:tblPr>
        <w:tblStyle w:val="8"/>
        <w:tblW w:w="150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4"/>
        <w:gridCol w:w="1275"/>
        <w:gridCol w:w="3015"/>
        <w:gridCol w:w="4529"/>
        <w:gridCol w:w="825"/>
        <w:gridCol w:w="4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64"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4348" w:type="dxa"/>
            <w:gridSpan w:val="5"/>
            <w:shd w:val="clear" w:color="auto" w:fill="auto"/>
            <w:vAlign w:val="center"/>
          </w:tcPr>
          <w:p>
            <w:pPr>
              <w:pStyle w:val="14"/>
              <w:spacing w:line="240" w:lineRule="auto"/>
              <w:rPr>
                <w:rFonts w:hint="eastAsia" w:ascii="仿宋_GB2312" w:hAnsi="仿宋_GB2312" w:eastAsia="仿宋_GB2312" w:cs="仿宋_GB2312"/>
                <w:b/>
                <w:kern w:val="2"/>
                <w:szCs w:val="22"/>
                <w:lang w:eastAsia="zh-CN"/>
              </w:rPr>
            </w:pPr>
            <w:r>
              <w:rPr>
                <w:rFonts w:hint="eastAsia" w:ascii="仿宋_GB2312" w:hAnsi="仿宋_GB2312" w:eastAsia="仿宋_GB2312" w:cs="仿宋_GB2312"/>
                <w:b/>
                <w:kern w:val="2"/>
                <w:szCs w:val="22"/>
                <w:lang w:eastAsia="zh-CN"/>
              </w:rPr>
              <w:t>1.廊坊市第十六中学中学部2022年在校学生1135人，按照义务教育生均公用经费标准申请财政预算资金，通过合理、合规使用资金达到保证学校正常运转，改善办学条件，促进义务教育发展。</w:t>
            </w:r>
          </w:p>
          <w:p>
            <w:pPr>
              <w:pStyle w:val="14"/>
              <w:spacing w:line="240" w:lineRule="auto"/>
              <w:rPr>
                <w:rFonts w:hint="eastAsia" w:ascii="仿宋_GB2312" w:hAnsi="仿宋_GB2312" w:eastAsia="仿宋_GB2312" w:cs="仿宋_GB2312"/>
                <w:b/>
                <w:kern w:val="2"/>
                <w:szCs w:val="22"/>
                <w:lang w:eastAsia="zh-CN"/>
              </w:rPr>
            </w:pPr>
            <w:r>
              <w:rPr>
                <w:rFonts w:hint="eastAsia" w:ascii="仿宋_GB2312" w:hAnsi="仿宋_GB2312" w:eastAsia="仿宋_GB2312" w:cs="仿宋_GB2312"/>
                <w:b/>
                <w:kern w:val="2"/>
                <w:szCs w:val="22"/>
                <w:lang w:eastAsia="zh-CN"/>
              </w:rPr>
              <w:t>2.改善学校基本办学条件</w:t>
            </w:r>
          </w:p>
          <w:p>
            <w:pPr>
              <w:spacing w:line="240" w:lineRule="auto"/>
              <w:rPr>
                <w:rFonts w:hint="eastAsia" w:ascii="仿宋_GB2312" w:hAnsi="仿宋_GB2312" w:eastAsia="仿宋_GB2312" w:cs="仿宋_GB2312"/>
                <w:b/>
              </w:rPr>
            </w:pPr>
            <w:r>
              <w:rPr>
                <w:rFonts w:hint="eastAsia" w:ascii="仿宋_GB2312" w:hAnsi="仿宋_GB2312" w:eastAsia="仿宋_GB2312" w:cs="仿宋_GB2312"/>
                <w:b/>
              </w:rPr>
              <w:t>3.促进义务教育均衡发展及学生素质提高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64"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7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301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52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82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704"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6" w:hRule="atLeast"/>
          <w:jc w:val="center"/>
        </w:trPr>
        <w:tc>
          <w:tcPr>
            <w:tcW w:w="664"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数量指标</w:t>
            </w:r>
          </w:p>
        </w:tc>
        <w:tc>
          <w:tcPr>
            <w:tcW w:w="301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申请生均公用经费的学生人数</w:t>
            </w:r>
          </w:p>
        </w:tc>
        <w:tc>
          <w:tcPr>
            <w:tcW w:w="4529"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按文件要求申请生均公用经费的学生人数</w:t>
            </w:r>
          </w:p>
        </w:tc>
        <w:tc>
          <w:tcPr>
            <w:tcW w:w="82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1135人</w:t>
            </w:r>
          </w:p>
        </w:tc>
        <w:tc>
          <w:tcPr>
            <w:tcW w:w="4704"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9" w:hRule="atLeast"/>
          <w:jc w:val="center"/>
        </w:trPr>
        <w:tc>
          <w:tcPr>
            <w:tcW w:w="664" w:type="dxa"/>
            <w:vMerge w:val="continue"/>
            <w:shd w:val="clear" w:color="auto" w:fill="auto"/>
            <w:vAlign w:val="center"/>
          </w:tcPr>
          <w:p>
            <w:pPr>
              <w:spacing w:line="240" w:lineRule="auto"/>
              <w:rPr>
                <w:rFonts w:hint="eastAsia" w:ascii="仿宋_GB2312" w:hAnsi="仿宋_GB2312" w:eastAsia="仿宋_GB2312" w:cs="仿宋_GB2312"/>
              </w:rPr>
            </w:pPr>
          </w:p>
        </w:tc>
        <w:tc>
          <w:tcPr>
            <w:tcW w:w="127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质量指标</w:t>
            </w:r>
          </w:p>
        </w:tc>
        <w:tc>
          <w:tcPr>
            <w:tcW w:w="301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生均公用经费使用的合规率</w:t>
            </w:r>
          </w:p>
        </w:tc>
        <w:tc>
          <w:tcPr>
            <w:tcW w:w="4529"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生均公用经费使用符合文件中的相关规定</w:t>
            </w:r>
          </w:p>
        </w:tc>
        <w:tc>
          <w:tcPr>
            <w:tcW w:w="82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100%</w:t>
            </w:r>
          </w:p>
        </w:tc>
        <w:tc>
          <w:tcPr>
            <w:tcW w:w="4704"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64" w:type="dxa"/>
            <w:vMerge w:val="continue"/>
            <w:shd w:val="clear" w:color="auto" w:fill="auto"/>
            <w:vAlign w:val="center"/>
          </w:tcPr>
          <w:p>
            <w:pPr>
              <w:spacing w:line="240" w:lineRule="auto"/>
              <w:rPr>
                <w:rFonts w:hint="eastAsia" w:ascii="仿宋_GB2312" w:hAnsi="仿宋_GB2312" w:eastAsia="仿宋_GB2312" w:cs="仿宋_GB2312"/>
              </w:rPr>
            </w:pPr>
          </w:p>
        </w:tc>
        <w:tc>
          <w:tcPr>
            <w:tcW w:w="127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时效指标</w:t>
            </w:r>
          </w:p>
        </w:tc>
        <w:tc>
          <w:tcPr>
            <w:tcW w:w="301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用于保障学校正常运转项目完成及时率</w:t>
            </w:r>
          </w:p>
        </w:tc>
        <w:tc>
          <w:tcPr>
            <w:tcW w:w="4529"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使用生均公用经费，用于保障学校正常运转的项目完成情况</w:t>
            </w:r>
          </w:p>
        </w:tc>
        <w:tc>
          <w:tcPr>
            <w:tcW w:w="82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100%</w:t>
            </w:r>
          </w:p>
        </w:tc>
        <w:tc>
          <w:tcPr>
            <w:tcW w:w="4704"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64" w:type="dxa"/>
            <w:vMerge w:val="continue"/>
            <w:shd w:val="clear" w:color="auto" w:fill="auto"/>
            <w:vAlign w:val="center"/>
          </w:tcPr>
          <w:p>
            <w:pPr>
              <w:spacing w:line="240" w:lineRule="auto"/>
              <w:rPr>
                <w:rFonts w:hint="eastAsia" w:ascii="仿宋_GB2312" w:hAnsi="仿宋_GB2312" w:eastAsia="仿宋_GB2312" w:cs="仿宋_GB2312"/>
              </w:rPr>
            </w:pPr>
          </w:p>
        </w:tc>
        <w:tc>
          <w:tcPr>
            <w:tcW w:w="127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成本指标</w:t>
            </w:r>
          </w:p>
        </w:tc>
        <w:tc>
          <w:tcPr>
            <w:tcW w:w="301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使用生均公用经费，用于保障学校正常运转的项目支出成本</w:t>
            </w:r>
          </w:p>
        </w:tc>
        <w:tc>
          <w:tcPr>
            <w:tcW w:w="4529"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使用生均公用经费，用于保障学校正常运转的项目支出成本等于935元/生</w:t>
            </w:r>
          </w:p>
        </w:tc>
        <w:tc>
          <w:tcPr>
            <w:tcW w:w="82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935元</w:t>
            </w:r>
          </w:p>
        </w:tc>
        <w:tc>
          <w:tcPr>
            <w:tcW w:w="4704"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1" w:hRule="atLeast"/>
          <w:jc w:val="center"/>
        </w:trPr>
        <w:tc>
          <w:tcPr>
            <w:tcW w:w="664"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27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社会效益指标</w:t>
            </w:r>
          </w:p>
        </w:tc>
        <w:tc>
          <w:tcPr>
            <w:tcW w:w="301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义务教育/学前教育高质量发展</w:t>
            </w:r>
          </w:p>
        </w:tc>
        <w:tc>
          <w:tcPr>
            <w:tcW w:w="4529"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该资金用于学校正常运转，改善办学条件，促进义务教育/学前教育均衡发展及学生素质提高</w:t>
            </w:r>
          </w:p>
        </w:tc>
        <w:tc>
          <w:tcPr>
            <w:tcW w:w="82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支持</w:t>
            </w:r>
          </w:p>
        </w:tc>
        <w:tc>
          <w:tcPr>
            <w:tcW w:w="4704"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64"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服务对象满意度指标</w:t>
            </w:r>
          </w:p>
        </w:tc>
        <w:tc>
          <w:tcPr>
            <w:tcW w:w="301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在校师生的满意程度</w:t>
            </w:r>
          </w:p>
        </w:tc>
        <w:tc>
          <w:tcPr>
            <w:tcW w:w="4529"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在校师生的满意程度</w:t>
            </w:r>
          </w:p>
        </w:tc>
        <w:tc>
          <w:tcPr>
            <w:tcW w:w="82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≥90%</w:t>
            </w:r>
          </w:p>
        </w:tc>
        <w:tc>
          <w:tcPr>
            <w:tcW w:w="4704"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调查问卷</w:t>
            </w:r>
          </w:p>
        </w:tc>
      </w:tr>
    </w:tbl>
    <w:p>
      <w:pPr>
        <w:spacing w:line="240" w:lineRule="auto"/>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2.城乡义务教育生均公用经费[区级]绩效目标表</w:t>
      </w:r>
    </w:p>
    <w:p>
      <w:pPr>
        <w:spacing w:line="240" w:lineRule="auto"/>
        <w:ind w:firstLine="420" w:firstLineChars="200"/>
        <w:jc w:val="center"/>
        <w:rPr>
          <w:rFonts w:hint="eastAsia" w:ascii="仿宋_GB2312" w:hAnsi="仿宋_GB2312" w:eastAsia="仿宋_GB2312" w:cs="仿宋_GB2312"/>
        </w:rPr>
      </w:pPr>
    </w:p>
    <w:tbl>
      <w:tblPr>
        <w:tblStyle w:val="8"/>
        <w:tblW w:w="146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605"/>
        <w:gridCol w:w="2985"/>
        <w:gridCol w:w="4255"/>
        <w:gridCol w:w="1205"/>
        <w:gridCol w:w="34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461" w:type="dxa"/>
            <w:gridSpan w:val="5"/>
            <w:shd w:val="clear" w:color="auto" w:fill="auto"/>
            <w:vAlign w:val="center"/>
          </w:tcPr>
          <w:p>
            <w:pPr>
              <w:pStyle w:val="14"/>
              <w:spacing w:line="240" w:lineRule="auto"/>
              <w:rPr>
                <w:rFonts w:hint="eastAsia" w:ascii="仿宋_GB2312" w:hAnsi="仿宋_GB2312" w:eastAsia="仿宋_GB2312" w:cs="仿宋_GB2312"/>
                <w:b/>
                <w:kern w:val="2"/>
                <w:szCs w:val="22"/>
                <w:lang w:eastAsia="zh-CN"/>
              </w:rPr>
            </w:pPr>
            <w:r>
              <w:rPr>
                <w:rFonts w:hint="eastAsia" w:ascii="仿宋_GB2312" w:hAnsi="仿宋_GB2312" w:eastAsia="仿宋_GB2312" w:cs="仿宋_GB2312"/>
                <w:b/>
                <w:kern w:val="2"/>
                <w:szCs w:val="22"/>
                <w:lang w:eastAsia="zh-CN"/>
              </w:rPr>
              <w:t>1.廊坊市第十六中学小学部2022年在校学生1458人，按照义务教育生均公用经费标准申请财政预算资金，通过合理、合规使用资金达到保证学校正常运转，改善办学条件，促进义务教育发展。</w:t>
            </w:r>
          </w:p>
          <w:p>
            <w:pPr>
              <w:pStyle w:val="14"/>
              <w:spacing w:line="240" w:lineRule="auto"/>
              <w:rPr>
                <w:rFonts w:hint="eastAsia" w:ascii="仿宋_GB2312" w:hAnsi="仿宋_GB2312" w:eastAsia="仿宋_GB2312" w:cs="仿宋_GB2312"/>
                <w:b/>
                <w:kern w:val="2"/>
                <w:szCs w:val="22"/>
                <w:lang w:eastAsia="zh-CN"/>
              </w:rPr>
            </w:pPr>
            <w:r>
              <w:rPr>
                <w:rFonts w:hint="eastAsia" w:ascii="仿宋_GB2312" w:hAnsi="仿宋_GB2312" w:eastAsia="仿宋_GB2312" w:cs="仿宋_GB2312"/>
                <w:b/>
                <w:kern w:val="2"/>
                <w:szCs w:val="22"/>
                <w:lang w:eastAsia="zh-CN"/>
              </w:rPr>
              <w:t>2.改善学校基本办学条件</w:t>
            </w:r>
          </w:p>
          <w:p>
            <w:pPr>
              <w:spacing w:line="240" w:lineRule="auto"/>
              <w:rPr>
                <w:rFonts w:hint="eastAsia" w:ascii="仿宋_GB2312" w:hAnsi="仿宋_GB2312" w:eastAsia="仿宋_GB2312" w:cs="仿宋_GB2312"/>
                <w:b/>
              </w:rPr>
            </w:pPr>
            <w:r>
              <w:rPr>
                <w:rFonts w:hint="eastAsia" w:ascii="仿宋_GB2312" w:hAnsi="仿宋_GB2312" w:eastAsia="仿宋_GB2312" w:cs="仿宋_GB2312"/>
                <w:b/>
              </w:rPr>
              <w:t>3.促进义务教育均衡发展及学生素质提高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60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98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25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0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411"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6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数量指标</w:t>
            </w:r>
          </w:p>
        </w:tc>
        <w:tc>
          <w:tcPr>
            <w:tcW w:w="298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申请生均公用经费的学生人数</w:t>
            </w:r>
          </w:p>
        </w:tc>
        <w:tc>
          <w:tcPr>
            <w:tcW w:w="425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按文件要求申请生均公用经费的学生人数</w:t>
            </w:r>
          </w:p>
        </w:tc>
        <w:tc>
          <w:tcPr>
            <w:tcW w:w="12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1458人</w:t>
            </w:r>
          </w:p>
        </w:tc>
        <w:tc>
          <w:tcPr>
            <w:tcW w:w="3411"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质量指标</w:t>
            </w:r>
          </w:p>
        </w:tc>
        <w:tc>
          <w:tcPr>
            <w:tcW w:w="298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生均公用经费使用的合规率</w:t>
            </w:r>
          </w:p>
        </w:tc>
        <w:tc>
          <w:tcPr>
            <w:tcW w:w="425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生均公用经费使用符合文件中的相关规定</w:t>
            </w:r>
          </w:p>
        </w:tc>
        <w:tc>
          <w:tcPr>
            <w:tcW w:w="12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100%</w:t>
            </w:r>
          </w:p>
        </w:tc>
        <w:tc>
          <w:tcPr>
            <w:tcW w:w="3411"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时效指标</w:t>
            </w:r>
          </w:p>
        </w:tc>
        <w:tc>
          <w:tcPr>
            <w:tcW w:w="298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用于保障学校正常运转项目完成及时率</w:t>
            </w:r>
          </w:p>
        </w:tc>
        <w:tc>
          <w:tcPr>
            <w:tcW w:w="425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使用生均公用经费，用于保障学校正常运转的项目完成情况</w:t>
            </w:r>
          </w:p>
        </w:tc>
        <w:tc>
          <w:tcPr>
            <w:tcW w:w="12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100%</w:t>
            </w:r>
          </w:p>
        </w:tc>
        <w:tc>
          <w:tcPr>
            <w:tcW w:w="3411"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成本指标</w:t>
            </w:r>
          </w:p>
        </w:tc>
        <w:tc>
          <w:tcPr>
            <w:tcW w:w="298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使用生均公用经费，用于保障学校正常运转的项目支出成本</w:t>
            </w:r>
          </w:p>
        </w:tc>
        <w:tc>
          <w:tcPr>
            <w:tcW w:w="425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使用生均公用经费，用于保障学校正常运转的项目支出成本等于735元/生</w:t>
            </w:r>
          </w:p>
        </w:tc>
        <w:tc>
          <w:tcPr>
            <w:tcW w:w="12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735元</w:t>
            </w:r>
          </w:p>
        </w:tc>
        <w:tc>
          <w:tcPr>
            <w:tcW w:w="3411"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6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社会效益指标</w:t>
            </w:r>
          </w:p>
        </w:tc>
        <w:tc>
          <w:tcPr>
            <w:tcW w:w="298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义务教育/学前教育高质量发展</w:t>
            </w:r>
          </w:p>
        </w:tc>
        <w:tc>
          <w:tcPr>
            <w:tcW w:w="425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该资金用于学校正常运转，改善办学条件，促进义务教育/学前教育均衡发展及学生素质提高</w:t>
            </w:r>
            <w:r>
              <w:rPr>
                <w:rFonts w:hint="eastAsia" w:ascii="仿宋_GB2312" w:hAnsi="仿宋_GB2312" w:eastAsia="仿宋_GB2312" w:cs="仿宋_GB2312"/>
                <w:kern w:val="2"/>
                <w:szCs w:val="22"/>
                <w:lang w:eastAsia="zh-CN"/>
              </w:rPr>
              <w:tab/>
            </w:r>
          </w:p>
        </w:tc>
        <w:tc>
          <w:tcPr>
            <w:tcW w:w="12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支持</w:t>
            </w:r>
          </w:p>
        </w:tc>
        <w:tc>
          <w:tcPr>
            <w:tcW w:w="341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冀财教【2019】66号文件</w:t>
            </w:r>
          </w:p>
          <w:p>
            <w:pPr>
              <w:pStyle w:val="14"/>
              <w:spacing w:line="240" w:lineRule="auto"/>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6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服务对象满意度指标</w:t>
            </w:r>
          </w:p>
        </w:tc>
        <w:tc>
          <w:tcPr>
            <w:tcW w:w="298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在校师生的满意程度</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r>
              <w:rPr>
                <w:rFonts w:hint="eastAsia" w:ascii="仿宋_GB2312" w:hAnsi="仿宋_GB2312" w:eastAsia="仿宋_GB2312" w:cs="仿宋_GB2312"/>
                <w:kern w:val="2"/>
                <w:szCs w:val="22"/>
                <w:lang w:eastAsia="zh-CN"/>
              </w:rPr>
              <w:tab/>
            </w:r>
          </w:p>
          <w:p>
            <w:pPr>
              <w:pStyle w:val="14"/>
              <w:spacing w:line="240" w:lineRule="auto"/>
              <w:rPr>
                <w:rFonts w:hint="eastAsia" w:ascii="仿宋_GB2312" w:hAnsi="仿宋_GB2312" w:eastAsia="仿宋_GB2312" w:cs="仿宋_GB2312"/>
              </w:rPr>
            </w:pPr>
          </w:p>
        </w:tc>
        <w:tc>
          <w:tcPr>
            <w:tcW w:w="12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≥90%</w:t>
            </w:r>
          </w:p>
        </w:tc>
        <w:tc>
          <w:tcPr>
            <w:tcW w:w="341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p>
            <w:pPr>
              <w:pStyle w:val="14"/>
              <w:spacing w:line="240" w:lineRule="auto"/>
              <w:rPr>
                <w:rFonts w:hint="eastAsia" w:ascii="仿宋_GB2312" w:hAnsi="仿宋_GB2312" w:eastAsia="仿宋_GB2312" w:cs="仿宋_GB2312"/>
              </w:rPr>
            </w:pPr>
          </w:p>
        </w:tc>
      </w:tr>
    </w:tbl>
    <w:p>
      <w:pPr>
        <w:spacing w:line="240" w:lineRule="auto"/>
        <w:ind w:firstLine="560" w:firstLineChars="200"/>
        <w:jc w:val="left"/>
        <w:outlineLvl w:val="1"/>
        <w:rPr>
          <w:rFonts w:hint="eastAsia" w:ascii="仿宋_GB2312" w:hAnsi="仿宋_GB2312" w:eastAsia="仿宋_GB2312" w:cs="仿宋_GB2312"/>
          <w:sz w:val="28"/>
        </w:rPr>
      </w:pPr>
    </w:p>
    <w:p>
      <w:pPr>
        <w:spacing w:line="240" w:lineRule="auto"/>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3.城乡义务教育生均公用经费[省级]绩效目标表</w:t>
      </w:r>
    </w:p>
    <w:p>
      <w:pPr>
        <w:spacing w:line="240" w:lineRule="auto"/>
        <w:ind w:firstLine="420" w:firstLineChars="200"/>
        <w:jc w:val="center"/>
        <w:rPr>
          <w:rFonts w:hint="eastAsia" w:ascii="仿宋_GB2312" w:hAnsi="仿宋_GB2312" w:eastAsia="仿宋_GB2312" w:cs="仿宋_GB2312"/>
        </w:rPr>
      </w:pPr>
    </w:p>
    <w:tbl>
      <w:tblPr>
        <w:tblStyle w:val="8"/>
        <w:tblW w:w="146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605"/>
        <w:gridCol w:w="2985"/>
        <w:gridCol w:w="4255"/>
        <w:gridCol w:w="1205"/>
        <w:gridCol w:w="34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461" w:type="dxa"/>
            <w:gridSpan w:val="5"/>
            <w:shd w:val="clear" w:color="auto" w:fill="auto"/>
            <w:vAlign w:val="center"/>
          </w:tcPr>
          <w:p>
            <w:pPr>
              <w:spacing w:line="240" w:lineRule="auto"/>
              <w:rPr>
                <w:rFonts w:hint="eastAsia" w:ascii="仿宋_GB2312" w:hAnsi="仿宋_GB2312" w:eastAsia="仿宋_GB2312" w:cs="仿宋_GB2312"/>
                <w:b/>
              </w:rPr>
            </w:pPr>
            <w:r>
              <w:rPr>
                <w:rFonts w:hint="eastAsia" w:ascii="仿宋_GB2312" w:hAnsi="仿宋_GB2312" w:eastAsia="仿宋_GB2312" w:cs="仿宋_GB2312"/>
                <w:b/>
              </w:rPr>
              <w:t>目标内容:保障义务教育教学正常的进行，改善办公条件，提升教育环境。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60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98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25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0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411"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申请生均公用经费的学生人数</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按文件要求申请生均公用经费的学生人数</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1135人</w:t>
            </w:r>
          </w:p>
        </w:tc>
        <w:tc>
          <w:tcPr>
            <w:tcW w:w="341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生均公用经费使用的合规率</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生均公用经费使用符合文件中的相关规定</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341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用于保障学校正常运转项目完成及时率</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使用生均公用经费，用于保障学校正常运转的项目完成情况</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341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使用生均公用经费，用于保障学校正常运转的项目支出成本等于935元/生</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935元/生/年</w:t>
            </w:r>
          </w:p>
        </w:tc>
        <w:tc>
          <w:tcPr>
            <w:tcW w:w="341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义务教育/学前教育高质量发展</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该资金用于学校正常运转，改善办学条件，促进义务教育/学前教育均衡发展及学生素质提高</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支持</w:t>
            </w:r>
          </w:p>
        </w:tc>
        <w:tc>
          <w:tcPr>
            <w:tcW w:w="341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廊财政[2021]61号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≥98%</w:t>
            </w:r>
          </w:p>
        </w:tc>
        <w:tc>
          <w:tcPr>
            <w:tcW w:w="341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问卷调查</w:t>
            </w:r>
          </w:p>
        </w:tc>
      </w:tr>
    </w:tbl>
    <w:p>
      <w:pPr>
        <w:spacing w:line="240" w:lineRule="auto"/>
        <w:jc w:val="left"/>
        <w:outlineLvl w:val="1"/>
        <w:rPr>
          <w:rFonts w:hint="eastAsia" w:ascii="仿宋_GB2312" w:hAnsi="仿宋_GB2312" w:eastAsia="仿宋_GB2312" w:cs="仿宋_GB2312"/>
          <w:sz w:val="28"/>
        </w:rPr>
      </w:pPr>
    </w:p>
    <w:p>
      <w:pPr>
        <w:spacing w:line="240" w:lineRule="auto"/>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w:t>
      </w:r>
      <w:r>
        <w:rPr>
          <w:rFonts w:hint="eastAsia" w:ascii="仿宋_GB2312" w:hAnsi="仿宋_GB2312" w:eastAsia="仿宋_GB2312" w:cs="仿宋_GB2312"/>
        </w:rPr>
        <w:t>城</w:t>
      </w:r>
      <w:r>
        <w:rPr>
          <w:rFonts w:hint="eastAsia" w:ascii="仿宋_GB2312" w:hAnsi="仿宋_GB2312" w:eastAsia="仿宋_GB2312" w:cs="仿宋_GB2312"/>
          <w:sz w:val="28"/>
        </w:rPr>
        <w:t>乡义务教育生均公用经费[市级]绩效目标表</w:t>
      </w:r>
    </w:p>
    <w:p>
      <w:pPr>
        <w:spacing w:line="240" w:lineRule="auto"/>
        <w:ind w:firstLine="420" w:firstLineChars="200"/>
        <w:jc w:val="center"/>
        <w:rPr>
          <w:rFonts w:hint="eastAsia" w:ascii="仿宋_GB2312" w:hAnsi="仿宋_GB2312" w:eastAsia="仿宋_GB2312" w:cs="仿宋_GB2312"/>
        </w:rPr>
      </w:pPr>
    </w:p>
    <w:tbl>
      <w:tblPr>
        <w:tblStyle w:val="8"/>
        <w:tblW w:w="149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83"/>
        <w:gridCol w:w="3207"/>
        <w:gridCol w:w="4255"/>
        <w:gridCol w:w="1205"/>
        <w:gridCol w:w="36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689" w:type="dxa"/>
            <w:gridSpan w:val="5"/>
            <w:shd w:val="clear" w:color="auto" w:fill="auto"/>
            <w:vAlign w:val="center"/>
          </w:tcPr>
          <w:p>
            <w:pPr>
              <w:spacing w:line="240" w:lineRule="auto"/>
              <w:rPr>
                <w:rFonts w:hint="eastAsia" w:ascii="仿宋_GB2312" w:hAnsi="仿宋_GB2312" w:eastAsia="仿宋_GB2312" w:cs="仿宋_GB2312"/>
                <w:b/>
              </w:rPr>
            </w:pPr>
            <w:r>
              <w:rPr>
                <w:rFonts w:hint="eastAsia" w:ascii="仿宋_GB2312" w:hAnsi="仿宋_GB2312" w:eastAsia="仿宋_GB2312" w:cs="仿宋_GB2312"/>
                <w:b/>
              </w:rPr>
              <w:t>保障义务教育学校运转，改善学校基本办学条件，促进义务教育均衡发展及学生素质提高。</w:t>
            </w:r>
            <w:r>
              <w:rPr>
                <w:rFonts w:hint="eastAsia" w:ascii="仿宋_GB2312" w:hAnsi="仿宋_GB2312" w:eastAsia="仿宋_GB2312" w:cs="仿宋_GB2312"/>
              </w:rPr>
              <w:tab/>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383"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3207"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25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0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63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38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申请生均公用经费的学生数</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按文件要求申请生均公用经费的学生人数</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1560人</w:t>
            </w:r>
          </w:p>
        </w:tc>
        <w:tc>
          <w:tcPr>
            <w:tcW w:w="363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38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生均公用经费使用的合规率</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生均公用经费使用符合文件中的相关规定</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363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38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用于保障学校正常运转项目完成及时率</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使用生均公用经费,用于保障学校正常运转的项目完成情况</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363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38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保障学校正常运转的项目支出成本等于小学735元/生，初中935元/生</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735元</w:t>
            </w:r>
          </w:p>
        </w:tc>
        <w:tc>
          <w:tcPr>
            <w:tcW w:w="363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38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义务教育高质量发展</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该资金用于学校正常运转,改善办学条件,促进义务教育/学前教育均衡发展及学生素质提高</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支持</w:t>
            </w:r>
          </w:p>
        </w:tc>
        <w:tc>
          <w:tcPr>
            <w:tcW w:w="363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8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≥90%</w:t>
            </w:r>
          </w:p>
        </w:tc>
        <w:tc>
          <w:tcPr>
            <w:tcW w:w="363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bl>
    <w:p>
      <w:pPr>
        <w:spacing w:line="240" w:lineRule="auto"/>
        <w:ind w:firstLine="560" w:firstLineChars="200"/>
        <w:jc w:val="left"/>
        <w:outlineLvl w:val="1"/>
        <w:rPr>
          <w:rFonts w:hint="eastAsia" w:ascii="仿宋_GB2312" w:hAnsi="仿宋_GB2312" w:eastAsia="仿宋_GB2312" w:cs="仿宋_GB2312"/>
          <w:sz w:val="28"/>
        </w:rPr>
      </w:pPr>
    </w:p>
    <w:p>
      <w:pPr>
        <w:spacing w:line="240" w:lineRule="auto"/>
        <w:jc w:val="left"/>
        <w:outlineLvl w:val="1"/>
        <w:rPr>
          <w:rFonts w:hint="eastAsia" w:ascii="仿宋_GB2312" w:hAnsi="仿宋_GB2312" w:eastAsia="仿宋_GB2312" w:cs="仿宋_GB2312"/>
          <w:sz w:val="28"/>
        </w:rPr>
      </w:pPr>
    </w:p>
    <w:p>
      <w:pPr>
        <w:spacing w:line="240" w:lineRule="auto"/>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5.城乡义务教育生均公用经费[中央]绩效目标表</w:t>
      </w:r>
    </w:p>
    <w:p>
      <w:pPr>
        <w:spacing w:line="240" w:lineRule="auto"/>
        <w:ind w:firstLine="420" w:firstLineChars="200"/>
        <w:jc w:val="center"/>
        <w:rPr>
          <w:rFonts w:hint="eastAsia" w:ascii="仿宋_GB2312" w:hAnsi="仿宋_GB2312" w:eastAsia="仿宋_GB2312" w:cs="仿宋_GB2312"/>
        </w:rPr>
      </w:pPr>
    </w:p>
    <w:tbl>
      <w:tblPr>
        <w:tblStyle w:val="8"/>
        <w:tblW w:w="153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8"/>
        <w:gridCol w:w="1064"/>
        <w:gridCol w:w="3435"/>
        <w:gridCol w:w="3360"/>
        <w:gridCol w:w="1029"/>
        <w:gridCol w:w="5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48"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4619" w:type="dxa"/>
            <w:gridSpan w:val="5"/>
            <w:shd w:val="clear" w:color="auto" w:fill="auto"/>
            <w:vAlign w:val="center"/>
          </w:tcPr>
          <w:p>
            <w:pPr>
              <w:spacing w:line="240" w:lineRule="auto"/>
              <w:rPr>
                <w:rFonts w:hint="eastAsia" w:ascii="仿宋_GB2312" w:hAnsi="仿宋_GB2312" w:eastAsia="仿宋_GB2312" w:cs="仿宋_GB2312"/>
                <w:b/>
              </w:rPr>
            </w:pPr>
            <w:r>
              <w:rPr>
                <w:rFonts w:hint="eastAsia" w:ascii="仿宋_GB2312" w:hAnsi="仿宋_GB2312" w:eastAsia="仿宋_GB2312" w:cs="仿宋_GB2312"/>
                <w:b/>
              </w:rPr>
              <w:t>廊坊市第十六中学小学部2022年在校学生1458人，按照义务教育生均公用经费标准申请财政预算资金，通过合理、合规使用资金达到保证学校正常运转，改善办学条件，促进义务教育发展。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48"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064"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343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360"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02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731"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8"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064"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343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申请生均公用经费的学生人数</w:t>
            </w:r>
          </w:p>
        </w:tc>
        <w:tc>
          <w:tcPr>
            <w:tcW w:w="33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按文件要求申请生均公用经费的学生人数</w:t>
            </w:r>
          </w:p>
        </w:tc>
        <w:tc>
          <w:tcPr>
            <w:tcW w:w="102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1458人</w:t>
            </w:r>
          </w:p>
        </w:tc>
        <w:tc>
          <w:tcPr>
            <w:tcW w:w="573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8" w:type="dxa"/>
            <w:vMerge w:val="continue"/>
            <w:shd w:val="clear" w:color="auto" w:fill="auto"/>
            <w:vAlign w:val="center"/>
          </w:tcPr>
          <w:p>
            <w:pPr>
              <w:spacing w:line="240" w:lineRule="auto"/>
              <w:rPr>
                <w:rFonts w:hint="eastAsia" w:ascii="仿宋_GB2312" w:hAnsi="仿宋_GB2312" w:eastAsia="仿宋_GB2312" w:cs="仿宋_GB2312"/>
              </w:rPr>
            </w:pPr>
          </w:p>
        </w:tc>
        <w:tc>
          <w:tcPr>
            <w:tcW w:w="1064"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343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生均公用经费使用的合规率</w:t>
            </w:r>
          </w:p>
        </w:tc>
        <w:tc>
          <w:tcPr>
            <w:tcW w:w="33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生均公用经费使用符合文件中的相关规定</w:t>
            </w:r>
          </w:p>
        </w:tc>
        <w:tc>
          <w:tcPr>
            <w:tcW w:w="102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573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8" w:type="dxa"/>
            <w:vMerge w:val="continue"/>
            <w:shd w:val="clear" w:color="auto" w:fill="auto"/>
            <w:vAlign w:val="center"/>
          </w:tcPr>
          <w:p>
            <w:pPr>
              <w:spacing w:line="240" w:lineRule="auto"/>
              <w:rPr>
                <w:rFonts w:hint="eastAsia" w:ascii="仿宋_GB2312" w:hAnsi="仿宋_GB2312" w:eastAsia="仿宋_GB2312" w:cs="仿宋_GB2312"/>
              </w:rPr>
            </w:pPr>
          </w:p>
        </w:tc>
        <w:tc>
          <w:tcPr>
            <w:tcW w:w="1064"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343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用于保障学校正常运转项目完成及时率</w:t>
            </w:r>
          </w:p>
        </w:tc>
        <w:tc>
          <w:tcPr>
            <w:tcW w:w="33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使用生均公用经费，用于保障学校正常运转的项目完成情况</w:t>
            </w:r>
          </w:p>
        </w:tc>
        <w:tc>
          <w:tcPr>
            <w:tcW w:w="102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573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8" w:type="dxa"/>
            <w:vMerge w:val="continue"/>
            <w:shd w:val="clear" w:color="auto" w:fill="auto"/>
            <w:vAlign w:val="center"/>
          </w:tcPr>
          <w:p>
            <w:pPr>
              <w:spacing w:line="240" w:lineRule="auto"/>
              <w:rPr>
                <w:rFonts w:hint="eastAsia" w:ascii="仿宋_GB2312" w:hAnsi="仿宋_GB2312" w:eastAsia="仿宋_GB2312" w:cs="仿宋_GB2312"/>
              </w:rPr>
            </w:pPr>
          </w:p>
        </w:tc>
        <w:tc>
          <w:tcPr>
            <w:tcW w:w="1064"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343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w:t>
            </w:r>
          </w:p>
        </w:tc>
        <w:tc>
          <w:tcPr>
            <w:tcW w:w="33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使用生均公用经费，用于保障学校正常运转的项目支出成本等于735元/生</w:t>
            </w:r>
          </w:p>
        </w:tc>
        <w:tc>
          <w:tcPr>
            <w:tcW w:w="102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735元</w:t>
            </w:r>
          </w:p>
        </w:tc>
        <w:tc>
          <w:tcPr>
            <w:tcW w:w="573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8" w:hRule="atLeast"/>
          <w:jc w:val="center"/>
        </w:trPr>
        <w:tc>
          <w:tcPr>
            <w:tcW w:w="748"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064"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343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义务教育/学前教育高质量发展</w:t>
            </w:r>
          </w:p>
        </w:tc>
        <w:tc>
          <w:tcPr>
            <w:tcW w:w="3360"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该资金用于学校正常运转，改善办学条件，促进义务教育/学前教育均衡发展及学生素质提高</w:t>
            </w:r>
          </w:p>
        </w:tc>
        <w:tc>
          <w:tcPr>
            <w:tcW w:w="102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支持</w:t>
            </w:r>
          </w:p>
        </w:tc>
        <w:tc>
          <w:tcPr>
            <w:tcW w:w="573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6" w:hRule="atLeast"/>
          <w:jc w:val="center"/>
        </w:trPr>
        <w:tc>
          <w:tcPr>
            <w:tcW w:w="748" w:type="dxa"/>
            <w:shd w:val="clear" w:color="auto" w:fill="auto"/>
            <w:vAlign w:val="center"/>
          </w:tcPr>
          <w:p>
            <w:pPr>
              <w:pStyle w:val="15"/>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满意度指标</w:t>
            </w:r>
          </w:p>
        </w:tc>
        <w:tc>
          <w:tcPr>
            <w:tcW w:w="1064"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343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33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102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≥90%</w:t>
            </w:r>
          </w:p>
        </w:tc>
        <w:tc>
          <w:tcPr>
            <w:tcW w:w="573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bl>
    <w:p>
      <w:pPr>
        <w:spacing w:line="240" w:lineRule="auto"/>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6.</w:t>
      </w:r>
      <w:r>
        <w:rPr>
          <w:rFonts w:hint="eastAsia" w:ascii="仿宋_GB2312" w:hAnsi="仿宋_GB2312" w:eastAsia="仿宋_GB2312" w:cs="仿宋_GB2312"/>
        </w:rPr>
        <w:t xml:space="preserve"> </w:t>
      </w:r>
      <w:r>
        <w:rPr>
          <w:rFonts w:hint="eastAsia" w:ascii="仿宋_GB2312" w:hAnsi="仿宋_GB2312" w:eastAsia="仿宋_GB2312" w:cs="仿宋_GB2312"/>
          <w:sz w:val="28"/>
        </w:rPr>
        <w:t>合同制教师人员经费绩效目标表</w:t>
      </w:r>
    </w:p>
    <w:p>
      <w:pPr>
        <w:spacing w:line="240" w:lineRule="auto"/>
        <w:ind w:firstLine="420" w:firstLineChars="200"/>
        <w:jc w:val="center"/>
        <w:rPr>
          <w:rFonts w:hint="eastAsia" w:ascii="仿宋_GB2312" w:hAnsi="仿宋_GB2312" w:eastAsia="仿宋_GB2312" w:cs="仿宋_GB2312"/>
        </w:rPr>
      </w:pPr>
    </w:p>
    <w:tbl>
      <w:tblPr>
        <w:tblStyle w:val="8"/>
        <w:tblW w:w="14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605"/>
        <w:gridCol w:w="2985"/>
        <w:gridCol w:w="4255"/>
        <w:gridCol w:w="3338"/>
        <w:gridCol w:w="1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743" w:type="dxa"/>
            <w:gridSpan w:val="5"/>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1.缓解教师短缺，保障教育教学正常的进行</w:t>
            </w:r>
          </w:p>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2.保障教学质量，提升教育水平</w:t>
            </w:r>
          </w:p>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3.保障合同制教师工资福利待遇，并及时发放。</w:t>
            </w:r>
          </w:p>
          <w:p>
            <w:pPr>
              <w:pStyle w:val="14"/>
              <w:spacing w:line="240" w:lineRule="auto"/>
              <w:rPr>
                <w:rFonts w:hint="eastAsia" w:ascii="仿宋_GB2312" w:hAnsi="仿宋_GB2312" w:eastAsia="仿宋_GB2312" w:cs="仿宋_GB2312"/>
                <w:b/>
              </w:rPr>
            </w:pPr>
            <w:r>
              <w:rPr>
                <w:rFonts w:hint="eastAsia" w:ascii="仿宋_GB2312" w:hAnsi="仿宋_GB2312" w:eastAsia="仿宋_GB2312" w:cs="仿宋_GB2312"/>
                <w:kern w:val="2"/>
                <w:szCs w:val="22"/>
                <w:lang w:eastAsia="zh-CN"/>
              </w:rPr>
              <w:t>4.学生、学校、家长对合同制教师的满意度达到95%以上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60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98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25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3338"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1560"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合同制教师在校人数</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保障2022合同制教师 112人工资福利</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112人</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合同制教师完成岗位目标</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不同学科合同制教师岗位目标明确，并得以执行</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完成岗位目标职责</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合同制教师的考核合格率</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合格率达到100%</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≥98%</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资金支出率（%）</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按月支付合同制教师工资及缴纳社会保障及住房公积金</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保障项目正常运行</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合同制教师薪酬测算标准</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根据廊广传【2021】19号文件合同制教师与在职教师同工同酬</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6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社会效益指标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缓解师资供需矛盾</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缓解教师短缺，保障教育教学正常的进行</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学生满意度</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所教班级学生满意度</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jc w:val="center"/>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学校满意度</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在校教师满意度</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jc w:val="center"/>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家长满意度</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所教班级家长满意度</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bl>
    <w:p>
      <w:pPr>
        <w:spacing w:line="240" w:lineRule="auto"/>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7.</w:t>
      </w:r>
      <w:r>
        <w:rPr>
          <w:rFonts w:hint="eastAsia" w:ascii="仿宋_GB2312" w:hAnsi="仿宋_GB2312" w:eastAsia="仿宋_GB2312" w:cs="仿宋_GB2312"/>
        </w:rPr>
        <w:t xml:space="preserve"> </w:t>
      </w:r>
      <w:r>
        <w:rPr>
          <w:rFonts w:hint="eastAsia" w:ascii="仿宋_GB2312" w:hAnsi="仿宋_GB2312" w:eastAsia="仿宋_GB2312" w:cs="仿宋_GB2312"/>
          <w:sz w:val="28"/>
        </w:rPr>
        <w:t>教育经费绩效目标表</w:t>
      </w:r>
    </w:p>
    <w:p>
      <w:pPr>
        <w:spacing w:line="240" w:lineRule="auto"/>
        <w:ind w:firstLine="420" w:firstLineChars="200"/>
        <w:jc w:val="center"/>
        <w:rPr>
          <w:rFonts w:hint="eastAsia" w:ascii="仿宋_GB2312" w:hAnsi="仿宋_GB2312" w:eastAsia="仿宋_GB2312" w:cs="仿宋_GB2312"/>
        </w:rPr>
      </w:pPr>
    </w:p>
    <w:tbl>
      <w:tblPr>
        <w:tblStyle w:val="8"/>
        <w:tblW w:w="131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605"/>
        <w:gridCol w:w="3170"/>
        <w:gridCol w:w="4070"/>
        <w:gridCol w:w="1458"/>
        <w:gridCol w:w="16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969" w:type="dxa"/>
            <w:gridSpan w:val="5"/>
            <w:shd w:val="clear" w:color="auto" w:fill="auto"/>
            <w:vAlign w:val="center"/>
          </w:tcPr>
          <w:p>
            <w:pPr>
              <w:pStyle w:val="14"/>
              <w:spacing w:line="240" w:lineRule="auto"/>
              <w:rPr>
                <w:rFonts w:hint="eastAsia" w:ascii="仿宋_GB2312" w:hAnsi="仿宋_GB2312" w:eastAsia="仿宋_GB2312" w:cs="仿宋_GB2312"/>
                <w:b/>
                <w:kern w:val="2"/>
                <w:szCs w:val="22"/>
                <w:lang w:eastAsia="zh-CN"/>
              </w:rPr>
            </w:pPr>
            <w:r>
              <w:rPr>
                <w:rFonts w:hint="eastAsia" w:ascii="仿宋_GB2312" w:hAnsi="仿宋_GB2312" w:eastAsia="仿宋_GB2312" w:cs="仿宋_GB2312"/>
                <w:b/>
                <w:kern w:val="2"/>
                <w:szCs w:val="22"/>
                <w:lang w:eastAsia="zh-CN"/>
              </w:rPr>
              <w:t>1.弥补办公经费不足，保障教育教学正常的进行。</w:t>
            </w:r>
          </w:p>
          <w:p>
            <w:pPr>
              <w:pStyle w:val="14"/>
              <w:spacing w:line="240" w:lineRule="auto"/>
              <w:rPr>
                <w:rFonts w:hint="eastAsia" w:ascii="仿宋_GB2312" w:hAnsi="仿宋_GB2312" w:eastAsia="仿宋_GB2312" w:cs="仿宋_GB2312"/>
                <w:b/>
                <w:kern w:val="2"/>
                <w:szCs w:val="22"/>
                <w:lang w:eastAsia="zh-CN"/>
              </w:rPr>
            </w:pPr>
            <w:r>
              <w:rPr>
                <w:rFonts w:hint="eastAsia" w:ascii="仿宋_GB2312" w:hAnsi="仿宋_GB2312" w:eastAsia="仿宋_GB2312" w:cs="仿宋_GB2312"/>
                <w:b/>
                <w:kern w:val="2"/>
                <w:szCs w:val="22"/>
                <w:lang w:eastAsia="zh-CN"/>
              </w:rPr>
              <w:t>2.改善办学条件，提高教育教学环境。</w:t>
            </w:r>
          </w:p>
          <w:p>
            <w:pPr>
              <w:pStyle w:val="14"/>
              <w:spacing w:line="240" w:lineRule="auto"/>
              <w:rPr>
                <w:rFonts w:hint="eastAsia" w:ascii="仿宋_GB2312" w:hAnsi="仿宋_GB2312" w:eastAsia="仿宋_GB2312" w:cs="仿宋_GB2312"/>
                <w:b/>
                <w:kern w:val="2"/>
                <w:szCs w:val="22"/>
                <w:lang w:eastAsia="zh-CN"/>
              </w:rPr>
            </w:pPr>
            <w:r>
              <w:rPr>
                <w:rFonts w:hint="eastAsia" w:ascii="仿宋_GB2312" w:hAnsi="仿宋_GB2312" w:eastAsia="仿宋_GB2312" w:cs="仿宋_GB2312"/>
                <w:b/>
                <w:kern w:val="2"/>
                <w:szCs w:val="22"/>
                <w:lang w:eastAsia="zh-CN"/>
              </w:rPr>
              <w:t>3.开展文化体育等社会活动，提高学校社会影响力。</w:t>
            </w:r>
          </w:p>
          <w:p>
            <w:pPr>
              <w:spacing w:line="240" w:lineRule="auto"/>
              <w:rPr>
                <w:rFonts w:hint="eastAsia" w:ascii="仿宋_GB2312" w:hAnsi="仿宋_GB2312" w:eastAsia="仿宋_GB2312" w:cs="仿宋_GB2312"/>
                <w:b/>
              </w:rPr>
            </w:pPr>
            <w:r>
              <w:rPr>
                <w:rFonts w:hint="eastAsia" w:ascii="仿宋_GB2312" w:hAnsi="仿宋_GB2312" w:eastAsia="仿宋_GB2312" w:cs="仿宋_GB2312"/>
                <w:b/>
              </w:rPr>
              <w:t>4.开展教师培训，提高教师队伍水平。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60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3170"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070"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458"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1666"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31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保12个月教学正常运转</w:t>
            </w:r>
          </w:p>
        </w:tc>
        <w:tc>
          <w:tcPr>
            <w:tcW w:w="40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保障教学正常运转时长</w:t>
            </w:r>
          </w:p>
        </w:tc>
        <w:tc>
          <w:tcPr>
            <w:tcW w:w="145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12个月</w:t>
            </w:r>
          </w:p>
        </w:tc>
        <w:tc>
          <w:tcPr>
            <w:tcW w:w="1666"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31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物资采购合格率</w:t>
            </w:r>
          </w:p>
        </w:tc>
        <w:tc>
          <w:tcPr>
            <w:tcW w:w="40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保障日常教学器材及物资充裕</w:t>
            </w:r>
          </w:p>
        </w:tc>
        <w:tc>
          <w:tcPr>
            <w:tcW w:w="145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1666"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31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上级下达学校的各项工作任务完成率</w:t>
            </w:r>
          </w:p>
        </w:tc>
        <w:tc>
          <w:tcPr>
            <w:tcW w:w="40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保证完成上级下达学校的各项工作任务</w:t>
            </w:r>
          </w:p>
        </w:tc>
        <w:tc>
          <w:tcPr>
            <w:tcW w:w="145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1666"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31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用于保障学校正常运转项目完成及时率</w:t>
            </w:r>
          </w:p>
        </w:tc>
        <w:tc>
          <w:tcPr>
            <w:tcW w:w="40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及时提供的教学用品、保障教学设施、设备正常运行</w:t>
            </w:r>
          </w:p>
        </w:tc>
        <w:tc>
          <w:tcPr>
            <w:tcW w:w="145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1666"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31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经费支出成本</w:t>
            </w:r>
          </w:p>
        </w:tc>
        <w:tc>
          <w:tcPr>
            <w:tcW w:w="40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经费各项支出不高于项目资金总额</w:t>
            </w:r>
          </w:p>
        </w:tc>
        <w:tc>
          <w:tcPr>
            <w:tcW w:w="145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≤41.81万元</w:t>
            </w:r>
          </w:p>
        </w:tc>
        <w:tc>
          <w:tcPr>
            <w:tcW w:w="1666"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31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义务教育高质量发展</w:t>
            </w:r>
          </w:p>
        </w:tc>
        <w:tc>
          <w:tcPr>
            <w:tcW w:w="40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推动义务教育从数量扩张向质量提高转变</w:t>
            </w:r>
          </w:p>
        </w:tc>
        <w:tc>
          <w:tcPr>
            <w:tcW w:w="145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提高</w:t>
            </w:r>
          </w:p>
        </w:tc>
        <w:tc>
          <w:tcPr>
            <w:tcW w:w="1666"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31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40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145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1666"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jc w:val="center"/>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31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家长的满意程度</w:t>
            </w:r>
          </w:p>
        </w:tc>
        <w:tc>
          <w:tcPr>
            <w:tcW w:w="40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家长的满意程度</w:t>
            </w:r>
          </w:p>
        </w:tc>
        <w:tc>
          <w:tcPr>
            <w:tcW w:w="145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1666"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bl>
    <w:p>
      <w:pPr>
        <w:spacing w:line="240" w:lineRule="auto"/>
        <w:ind w:firstLine="560" w:firstLineChars="200"/>
        <w:jc w:val="left"/>
        <w:outlineLvl w:val="1"/>
        <w:rPr>
          <w:rFonts w:hint="eastAsia" w:ascii="仿宋_GB2312" w:hAnsi="仿宋_GB2312" w:eastAsia="仿宋_GB2312" w:cs="仿宋_GB2312"/>
          <w:sz w:val="28"/>
        </w:rPr>
      </w:pPr>
    </w:p>
    <w:p>
      <w:pPr>
        <w:spacing w:line="240" w:lineRule="auto"/>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8.</w:t>
      </w:r>
      <w:r>
        <w:rPr>
          <w:rFonts w:hint="eastAsia" w:ascii="仿宋_GB2312" w:hAnsi="仿宋_GB2312" w:eastAsia="仿宋_GB2312" w:cs="仿宋_GB2312"/>
        </w:rPr>
        <w:t xml:space="preserve"> </w:t>
      </w:r>
      <w:r>
        <w:rPr>
          <w:rFonts w:hint="eastAsia" w:ascii="仿宋_GB2312" w:hAnsi="仿宋_GB2312" w:eastAsia="仿宋_GB2312" w:cs="仿宋_GB2312"/>
          <w:sz w:val="28"/>
        </w:rPr>
        <w:t>特殊教育资金[省级]绩效目标表</w:t>
      </w:r>
    </w:p>
    <w:p>
      <w:pPr>
        <w:spacing w:line="240" w:lineRule="auto"/>
        <w:ind w:firstLine="420" w:firstLineChars="200"/>
        <w:jc w:val="center"/>
        <w:rPr>
          <w:rFonts w:hint="eastAsia" w:ascii="仿宋_GB2312" w:hAnsi="仿宋_GB2312" w:eastAsia="仿宋_GB2312" w:cs="仿宋_GB2312"/>
        </w:rPr>
      </w:pPr>
    </w:p>
    <w:tbl>
      <w:tblPr>
        <w:tblStyle w:val="8"/>
        <w:tblW w:w="133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4"/>
        <w:gridCol w:w="2215"/>
        <w:gridCol w:w="2498"/>
        <w:gridCol w:w="2410"/>
        <w:gridCol w:w="1187"/>
        <w:gridCol w:w="3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3" w:hRule="atLeast"/>
          <w:tblHeader/>
          <w:jc w:val="center"/>
        </w:trPr>
        <w:tc>
          <w:tcPr>
            <w:tcW w:w="1814"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517" w:type="dxa"/>
            <w:gridSpan w:val="5"/>
            <w:shd w:val="clear" w:color="auto" w:fill="auto"/>
            <w:vAlign w:val="center"/>
          </w:tcPr>
          <w:p>
            <w:pPr>
              <w:spacing w:line="240" w:lineRule="auto"/>
              <w:rPr>
                <w:rFonts w:hint="eastAsia" w:ascii="仿宋_GB2312" w:hAnsi="仿宋_GB2312" w:eastAsia="仿宋_GB2312" w:cs="仿宋_GB2312"/>
                <w:b/>
              </w:rPr>
            </w:pPr>
            <w:r>
              <w:rPr>
                <w:rFonts w:hint="eastAsia" w:ascii="仿宋_GB2312" w:hAnsi="仿宋_GB2312" w:eastAsia="仿宋_GB2312" w:cs="仿宋_GB2312"/>
                <w:b/>
              </w:rPr>
              <w:t>方便特殊学生日常生活学习，提升整体教学质量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2" w:hRule="atLeast"/>
          <w:tblHeader/>
          <w:jc w:val="center"/>
        </w:trPr>
        <w:tc>
          <w:tcPr>
            <w:tcW w:w="1814"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1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498"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410"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187"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207"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814"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申请特殊教育学生人数</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申请特殊教育学生人数</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3个</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依据在校生实际情况统计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14" w:type="dxa"/>
            <w:vMerge w:val="continue"/>
            <w:shd w:val="clear" w:color="auto" w:fill="auto"/>
            <w:vAlign w:val="center"/>
          </w:tcPr>
          <w:p>
            <w:pPr>
              <w:spacing w:line="240" w:lineRule="auto"/>
              <w:rPr>
                <w:rFonts w:hint="eastAsia" w:ascii="仿宋_GB2312" w:hAnsi="仿宋_GB2312" w:eastAsia="仿宋_GB2312" w:cs="仿宋_GB2312"/>
              </w:rPr>
            </w:pP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特殊教育资金使用合格率</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特殊教育资金使用合格虑</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1814" w:type="dxa"/>
            <w:vMerge w:val="continue"/>
            <w:shd w:val="clear" w:color="auto" w:fill="auto"/>
            <w:vAlign w:val="center"/>
          </w:tcPr>
          <w:p>
            <w:pPr>
              <w:spacing w:line="240" w:lineRule="auto"/>
              <w:rPr>
                <w:rFonts w:hint="eastAsia" w:ascii="仿宋_GB2312" w:hAnsi="仿宋_GB2312" w:eastAsia="仿宋_GB2312" w:cs="仿宋_GB2312"/>
              </w:rPr>
            </w:pP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保证项目完工的及时性</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保证项目完工的及时性</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12月底</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3" w:hRule="atLeast"/>
          <w:jc w:val="center"/>
        </w:trPr>
        <w:tc>
          <w:tcPr>
            <w:tcW w:w="1814" w:type="dxa"/>
            <w:vMerge w:val="continue"/>
            <w:shd w:val="clear" w:color="auto" w:fill="auto"/>
            <w:vAlign w:val="center"/>
          </w:tcPr>
          <w:p>
            <w:pPr>
              <w:spacing w:line="240" w:lineRule="auto"/>
              <w:rPr>
                <w:rFonts w:hint="eastAsia" w:ascii="仿宋_GB2312" w:hAnsi="仿宋_GB2312" w:eastAsia="仿宋_GB2312" w:cs="仿宋_GB2312"/>
              </w:rPr>
            </w:pP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项目成本</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项目成本</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18000元</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廊财教[2021]68号文件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14"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可持续影响指标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保障安全设施的持续使用</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保障安全设施的持续使用</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持续</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14" w:type="dxa"/>
            <w:vMerge w:val="continue"/>
            <w:shd w:val="clear" w:color="auto" w:fill="auto"/>
            <w:vAlign w:val="center"/>
          </w:tcPr>
          <w:p>
            <w:pPr>
              <w:spacing w:line="240" w:lineRule="auto"/>
              <w:rPr>
                <w:rFonts w:hint="eastAsia" w:ascii="仿宋_GB2312" w:hAnsi="仿宋_GB2312" w:eastAsia="仿宋_GB2312" w:cs="仿宋_GB2312"/>
              </w:rPr>
            </w:pP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提高身体情况特殊学生在校安全性</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提高身体情况特殊学生在校安全性</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提高</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14"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接受义务教育特殊学生家长满意度</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满意家长数量/总数</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atLeast"/>
          <w:jc w:val="center"/>
        </w:trPr>
        <w:tc>
          <w:tcPr>
            <w:tcW w:w="1814" w:type="dxa"/>
            <w:vMerge w:val="continue"/>
            <w:shd w:val="clear" w:color="auto" w:fill="auto"/>
            <w:vAlign w:val="center"/>
          </w:tcPr>
          <w:p>
            <w:pPr>
              <w:spacing w:line="240" w:lineRule="auto"/>
              <w:jc w:val="center"/>
              <w:rPr>
                <w:rFonts w:hint="eastAsia" w:ascii="仿宋_GB2312" w:hAnsi="仿宋_GB2312" w:eastAsia="仿宋_GB2312" w:cs="仿宋_GB2312"/>
              </w:rPr>
            </w:pP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5" w:hRule="atLeast"/>
          <w:jc w:val="center"/>
        </w:trPr>
        <w:tc>
          <w:tcPr>
            <w:tcW w:w="1814" w:type="dxa"/>
            <w:vMerge w:val="continue"/>
            <w:shd w:val="clear" w:color="auto" w:fill="auto"/>
            <w:vAlign w:val="center"/>
          </w:tcPr>
          <w:p>
            <w:pPr>
              <w:spacing w:line="240" w:lineRule="auto"/>
              <w:jc w:val="center"/>
              <w:rPr>
                <w:rFonts w:hint="eastAsia" w:ascii="仿宋_GB2312" w:hAnsi="仿宋_GB2312" w:eastAsia="仿宋_GB2312" w:cs="仿宋_GB2312"/>
              </w:rPr>
            </w:pP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家长的满意程度</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家长的满意程度</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bl>
    <w:p>
      <w:pPr>
        <w:autoSpaceDE w:val="0"/>
        <w:autoSpaceDN w:val="0"/>
        <w:adjustRightInd w:val="0"/>
        <w:spacing w:line="579"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79" w:lineRule="exact"/>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spacing w:line="579" w:lineRule="exact"/>
        <w:outlineLvl w:val="1"/>
        <w:rPr>
          <w:rFonts w:ascii="方正小标宋_GBK" w:eastAsia="方正小标宋_GBK" w:cs="Times New Roman"/>
          <w:sz w:val="32"/>
        </w:rPr>
      </w:pPr>
      <w:r>
        <w:t>廊坊市</w:t>
      </w:r>
      <w:r>
        <w:rPr>
          <w:rFonts w:hint="eastAsia"/>
        </w:rPr>
        <w:t>第十六中学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政府采购金额（当年部门预算安排资金）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jc w:val="center"/>
        </w:trPr>
        <w:tc>
          <w:tcPr>
            <w:tcW w:w="1097" w:type="dxa"/>
            <w:vAlign w:val="center"/>
          </w:tcPr>
          <w:p>
            <w:pPr>
              <w:pStyle w:val="16"/>
              <w:spacing w:line="579" w:lineRule="exact"/>
            </w:pPr>
            <w:r>
              <w:t>合  计</w:t>
            </w:r>
          </w:p>
        </w:tc>
        <w:tc>
          <w:tcPr>
            <w:tcW w:w="964" w:type="dxa"/>
            <w:vAlign w:val="center"/>
          </w:tcPr>
          <w:p>
            <w:pPr>
              <w:pStyle w:val="17"/>
              <w:spacing w:line="579" w:lineRule="exact"/>
              <w:rPr>
                <w:lang w:eastAsia="zh-CN"/>
              </w:rPr>
            </w:pPr>
            <w:r>
              <w:rPr>
                <w:rFonts w:hint="eastAsia"/>
                <w:lang w:eastAsia="zh-CN"/>
              </w:rPr>
              <w:t>0</w:t>
            </w: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rPr>
                <w:lang w:eastAsia="zh-CN"/>
              </w:rPr>
            </w:pPr>
            <w:r>
              <w:rPr>
                <w:rFonts w:hint="eastAsia"/>
                <w:lang w:eastAsia="zh-CN"/>
              </w:rPr>
              <w:t>0</w:t>
            </w:r>
          </w:p>
        </w:tc>
        <w:tc>
          <w:tcPr>
            <w:tcW w:w="964" w:type="dxa"/>
            <w:vAlign w:val="center"/>
          </w:tcPr>
          <w:p>
            <w:pPr>
              <w:pStyle w:val="17"/>
              <w:spacing w:line="579" w:lineRule="exact"/>
              <w:rPr>
                <w:lang w:eastAsia="zh-CN"/>
              </w:rPr>
            </w:pPr>
            <w:r>
              <w:rPr>
                <w:rFonts w:hint="eastAsia"/>
                <w:lang w:eastAsia="zh-CN"/>
              </w:rPr>
              <w:t>0</w:t>
            </w:r>
          </w:p>
        </w:tc>
        <w:tc>
          <w:tcPr>
            <w:tcW w:w="964" w:type="dxa"/>
            <w:vAlign w:val="center"/>
          </w:tcPr>
          <w:p>
            <w:pPr>
              <w:pStyle w:val="17"/>
              <w:spacing w:line="579" w:lineRule="exact"/>
              <w:rPr>
                <w:lang w:eastAsia="zh-CN"/>
              </w:rPr>
            </w:pPr>
            <w:r>
              <w:rPr>
                <w:rFonts w:hint="eastAsia"/>
                <w:lang w:eastAsia="zh-CN"/>
              </w:rPr>
              <w:t>0</w:t>
            </w:r>
          </w:p>
        </w:tc>
        <w:tc>
          <w:tcPr>
            <w:tcW w:w="964" w:type="dxa"/>
            <w:vAlign w:val="center"/>
          </w:tcPr>
          <w:p>
            <w:pPr>
              <w:pStyle w:val="17"/>
              <w:spacing w:line="579" w:lineRule="exact"/>
              <w:rPr>
                <w:lang w:eastAsia="zh-CN"/>
              </w:rPr>
            </w:pPr>
            <w:r>
              <w:rPr>
                <w:rFonts w:hint="eastAsia"/>
                <w:lang w:eastAsia="zh-CN"/>
              </w:rPr>
              <w:t>0</w:t>
            </w:r>
          </w:p>
        </w:tc>
        <w:tc>
          <w:tcPr>
            <w:tcW w:w="964" w:type="dxa"/>
            <w:vAlign w:val="center"/>
          </w:tcPr>
          <w:p>
            <w:pPr>
              <w:pStyle w:val="17"/>
              <w:spacing w:line="579" w:lineRule="exact"/>
              <w:rPr>
                <w:lang w:eastAsia="zh-CN"/>
              </w:rPr>
            </w:pPr>
            <w:r>
              <w:rPr>
                <w:rFonts w:hint="eastAsia"/>
                <w:lang w:eastAsia="zh-CN"/>
              </w:rPr>
              <w:t>0</w:t>
            </w:r>
          </w:p>
        </w:tc>
        <w:tc>
          <w:tcPr>
            <w:tcW w:w="964" w:type="dxa"/>
            <w:vAlign w:val="center"/>
          </w:tcPr>
          <w:p>
            <w:pPr>
              <w:pStyle w:val="17"/>
              <w:spacing w:line="579" w:lineRule="exact"/>
              <w:rPr>
                <w:lang w:eastAsia="zh-CN"/>
              </w:rPr>
            </w:pPr>
            <w:r>
              <w:rPr>
                <w:rFonts w:hint="eastAsia"/>
                <w:lang w:eastAsia="zh-CN"/>
              </w:rPr>
              <w:t>0</w:t>
            </w:r>
          </w:p>
        </w:tc>
        <w:tc>
          <w:tcPr>
            <w:tcW w:w="964" w:type="dxa"/>
            <w:vAlign w:val="center"/>
          </w:tcPr>
          <w:p>
            <w:pPr>
              <w:pStyle w:val="17"/>
              <w:spacing w:line="579" w:lineRule="exact"/>
              <w:rPr>
                <w:lang w:eastAsia="zh-CN"/>
              </w:rPr>
            </w:pPr>
            <w:r>
              <w:rPr>
                <w:rFonts w:hint="eastAsia"/>
                <w:lang w:eastAsia="zh-CN"/>
              </w:rPr>
              <w:t>0</w:t>
            </w:r>
          </w:p>
        </w:tc>
        <w:tc>
          <w:tcPr>
            <w:tcW w:w="964" w:type="dxa"/>
            <w:vAlign w:val="center"/>
          </w:tcPr>
          <w:p>
            <w:pPr>
              <w:pStyle w:val="17"/>
              <w:spacing w:line="579" w:lineRule="exact"/>
              <w:rPr>
                <w:lang w:eastAsia="zh-CN"/>
              </w:rPr>
            </w:pPr>
            <w:r>
              <w:rPr>
                <w:rFonts w:hint="eastAsia"/>
                <w:lang w:eastAsia="zh-CN"/>
              </w:rPr>
              <w:t>0</w:t>
            </w:r>
          </w:p>
        </w:tc>
        <w:tc>
          <w:tcPr>
            <w:tcW w:w="964" w:type="dxa"/>
            <w:vAlign w:val="center"/>
          </w:tcPr>
          <w:p>
            <w:pPr>
              <w:pStyle w:val="17"/>
              <w:spacing w:line="579" w:lineRule="exact"/>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第十六中学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24.97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第十六中学</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24.97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24.97</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30</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43A98"/>
    <w:rsid w:val="0005181A"/>
    <w:rsid w:val="000527FB"/>
    <w:rsid w:val="000A1942"/>
    <w:rsid w:val="000F6018"/>
    <w:rsid w:val="0014752E"/>
    <w:rsid w:val="001C2983"/>
    <w:rsid w:val="0025632D"/>
    <w:rsid w:val="002F2ADF"/>
    <w:rsid w:val="002F6410"/>
    <w:rsid w:val="003059E0"/>
    <w:rsid w:val="00306E19"/>
    <w:rsid w:val="00322D5F"/>
    <w:rsid w:val="004A54AA"/>
    <w:rsid w:val="004B186D"/>
    <w:rsid w:val="00560166"/>
    <w:rsid w:val="005937DD"/>
    <w:rsid w:val="005E30B1"/>
    <w:rsid w:val="005E5403"/>
    <w:rsid w:val="006004E9"/>
    <w:rsid w:val="00617924"/>
    <w:rsid w:val="006314A1"/>
    <w:rsid w:val="00653D7D"/>
    <w:rsid w:val="00655B00"/>
    <w:rsid w:val="00657D1A"/>
    <w:rsid w:val="006A5C0C"/>
    <w:rsid w:val="006B70BD"/>
    <w:rsid w:val="00730C43"/>
    <w:rsid w:val="007D61B0"/>
    <w:rsid w:val="00834391"/>
    <w:rsid w:val="00880DC3"/>
    <w:rsid w:val="008D4604"/>
    <w:rsid w:val="008D5F70"/>
    <w:rsid w:val="00943976"/>
    <w:rsid w:val="00944233"/>
    <w:rsid w:val="009854A5"/>
    <w:rsid w:val="00A56458"/>
    <w:rsid w:val="00B0264E"/>
    <w:rsid w:val="00B13C7B"/>
    <w:rsid w:val="00B40732"/>
    <w:rsid w:val="00B718D3"/>
    <w:rsid w:val="00B80935"/>
    <w:rsid w:val="00B94710"/>
    <w:rsid w:val="00BB39B9"/>
    <w:rsid w:val="00C31A6C"/>
    <w:rsid w:val="00CE5A74"/>
    <w:rsid w:val="00D347CC"/>
    <w:rsid w:val="00D60C46"/>
    <w:rsid w:val="00DA2740"/>
    <w:rsid w:val="00DC5984"/>
    <w:rsid w:val="00DC72B4"/>
    <w:rsid w:val="00EF4492"/>
    <w:rsid w:val="00F42939"/>
    <w:rsid w:val="00FA1AAF"/>
    <w:rsid w:val="00FC30DA"/>
    <w:rsid w:val="00FF4EB4"/>
    <w:rsid w:val="03F27FF6"/>
    <w:rsid w:val="07D96F36"/>
    <w:rsid w:val="0CEC1180"/>
    <w:rsid w:val="0E60229B"/>
    <w:rsid w:val="14C833ED"/>
    <w:rsid w:val="1AD35227"/>
    <w:rsid w:val="1BA5267F"/>
    <w:rsid w:val="33DD57B7"/>
    <w:rsid w:val="38DC65CB"/>
    <w:rsid w:val="396D70A2"/>
    <w:rsid w:val="3B3E292D"/>
    <w:rsid w:val="3FCA20E4"/>
    <w:rsid w:val="52D7336D"/>
    <w:rsid w:val="573822C9"/>
    <w:rsid w:val="5D541393"/>
    <w:rsid w:val="6F9C290A"/>
    <w:rsid w:val="73693C55"/>
    <w:rsid w:val="7AEB3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styleId="19">
    <w:name w:val="List Paragraph"/>
    <w:basedOn w:val="1"/>
    <w:unhideWhenUsed/>
    <w:qFormat/>
    <w:uiPriority w:val="99"/>
    <w:pPr>
      <w:ind w:firstLine="420" w:firstLineChars="200"/>
    </w:pPr>
  </w:style>
  <w:style w:type="paragraph" w:customStyle="1" w:styleId="20">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1525</Words>
  <Characters>8694</Characters>
  <Lines>72</Lines>
  <Paragraphs>20</Paragraphs>
  <TotalTime>336</TotalTime>
  <ScaleCrop>false</ScaleCrop>
  <LinksUpToDate>false</LinksUpToDate>
  <CharactersWithSpaces>10199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2022-07-07T01:23:40Z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D01A5A0DB17B476C99712D1E26FD38A8</vt:lpwstr>
  </property>
</Properties>
</file>