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7" w:name="_GoBack"/>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第</w:t>
      </w:r>
      <w:r>
        <w:rPr>
          <w:rFonts w:hint="eastAsia" w:ascii="Times New Roman" w:hAnsi="Times New Roman" w:eastAsia="方正小标宋简体" w:cs="Times New Roman"/>
          <w:sz w:val="44"/>
          <w:szCs w:val="44"/>
          <w:lang w:val="en-US" w:eastAsia="zh-CN"/>
        </w:rPr>
        <w:t>十三小学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bookmarkEnd w:id="7"/>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十三小学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1、贯彻执行党和国家的教育方针、政策、法律法规，制</w:t>
      </w:r>
      <w:r>
        <w:rPr>
          <w:rFonts w:hint="eastAsia" w:ascii="仿宋_GB2312" w:hAnsi="宋体" w:eastAsia="仿宋_GB2312" w:cs="宋体"/>
          <w:color w:val="000000"/>
          <w:kern w:val="0"/>
          <w:sz w:val="32"/>
          <w:szCs w:val="32"/>
          <w:lang w:eastAsia="zh-CN"/>
        </w:rPr>
        <w:t>订</w:t>
      </w:r>
      <w:r>
        <w:rPr>
          <w:rFonts w:hint="eastAsia" w:ascii="仿宋_GB2312" w:hAnsi="宋体" w:eastAsia="仿宋_GB2312" w:cs="宋体"/>
          <w:color w:val="000000"/>
          <w:kern w:val="0"/>
          <w:sz w:val="32"/>
          <w:szCs w:val="32"/>
        </w:rPr>
        <w:t>我校的长远规划和年度计划，并组织实施。</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2、负责教育基本信息的统计、分析。</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3、推进义务教育均衡发展和促进教育公平，全面实施素质教育。</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4、负责学校教师队伍的建设和管理，提高教师队伍素质</w:t>
      </w:r>
    </w:p>
    <w:p>
      <w:pPr>
        <w:widowControl/>
        <w:jc w:val="left"/>
        <w:rPr>
          <w:rFonts w:ascii="仿宋_GB2312" w:hAnsi="宋体" w:eastAsia="仿宋_GB2312" w:cs="宋体"/>
          <w:color w:val="000000"/>
          <w:kern w:val="0"/>
          <w:sz w:val="32"/>
          <w:szCs w:val="32"/>
        </w:rPr>
      </w:pP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5、负责本部门教育经费的统筹管理，教育经费预决算工作，教育经费的管理和使用；统筹规划和管理学校基本建设和设施的配置及计划统计工作。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6、管理学校的党建、思想政治、宣传统战和维护稳定以及德育、体育、卫生防疫与艺术教育、国防教育工作。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7、负责做好学校的学生综合评价工作；负责管理本校教师学历教育及培训工作。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8、负责组织开展学校教育的督导评估、检查验收、质量监测等工作。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9、负责学校党的政治建设、思想建设、组织建设、作风建设、纪律建设和制度建设。</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10、负责学校学生和教师的思想政治工作，学校思想政治队伍建设和学校校本课程教育教学。</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11、负责学校安全稳定工作。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12、做好上级部门交办的其他事项。</w:t>
      </w: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9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24"/>
        <w:gridCol w:w="1559"/>
        <w:gridCol w:w="1417"/>
        <w:gridCol w:w="34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352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559"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41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448"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524" w:type="dxa"/>
            <w:vMerge w:val="continue"/>
            <w:shd w:val="clear" w:color="auto" w:fill="auto"/>
            <w:vAlign w:val="center"/>
          </w:tcPr>
          <w:p/>
        </w:tc>
        <w:tc>
          <w:tcPr>
            <w:tcW w:w="1559" w:type="dxa"/>
            <w:vMerge w:val="continue"/>
            <w:shd w:val="clear" w:color="auto" w:fill="auto"/>
            <w:vAlign w:val="center"/>
          </w:tcPr>
          <w:p/>
        </w:tc>
        <w:tc>
          <w:tcPr>
            <w:tcW w:w="1417" w:type="dxa"/>
            <w:vMerge w:val="continue"/>
            <w:shd w:val="clear" w:color="auto" w:fill="auto"/>
            <w:vAlign w:val="center"/>
          </w:tcPr>
          <w:p/>
        </w:tc>
        <w:tc>
          <w:tcPr>
            <w:tcW w:w="3448"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2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廊坊市第</w:t>
            </w:r>
            <w:r>
              <w:rPr>
                <w:rFonts w:hint="eastAsia" w:ascii="Times New Roman" w:hAnsi="Times New Roman" w:eastAsia="仿宋_GB2312" w:cs="Times New Roman"/>
                <w:b/>
                <w:lang w:val="en-US" w:eastAsia="zh-CN"/>
              </w:rPr>
              <w:t>十三小</w:t>
            </w:r>
            <w:r>
              <w:rPr>
                <w:rFonts w:hint="eastAsia" w:ascii="Times New Roman" w:hAnsi="Times New Roman" w:eastAsia="仿宋_GB2312" w:cs="Times New Roman"/>
                <w:b/>
              </w:rPr>
              <w:t>学</w:t>
            </w:r>
          </w:p>
        </w:tc>
        <w:tc>
          <w:tcPr>
            <w:tcW w:w="155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事业</w:t>
            </w:r>
          </w:p>
        </w:tc>
        <w:tc>
          <w:tcPr>
            <w:tcW w:w="1417" w:type="dxa"/>
            <w:shd w:val="clear" w:color="auto" w:fill="auto"/>
            <w:vAlign w:val="center"/>
          </w:tcPr>
          <w:p>
            <w:pPr>
              <w:spacing w:line="584" w:lineRule="exact"/>
              <w:rPr>
                <w:rFonts w:ascii="Times New Roman" w:hAnsi="Times New Roman" w:eastAsia="仿宋_GB2312" w:cs="Times New Roman"/>
                <w:b/>
              </w:rPr>
            </w:pPr>
          </w:p>
        </w:tc>
        <w:tc>
          <w:tcPr>
            <w:tcW w:w="3448" w:type="dxa"/>
            <w:shd w:val="clear" w:color="auto" w:fill="auto"/>
            <w:vAlign w:val="center"/>
          </w:tcPr>
          <w:p>
            <w:pPr>
              <w:spacing w:line="584"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十三小学</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1136.27</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1136.27</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十三小学</w:t>
      </w:r>
      <w:r>
        <w:rPr>
          <w:rFonts w:hint="eastAsia" w:ascii="Times New Roman" w:hAnsi="Times New Roman" w:eastAsia="仿宋_GB2312" w:cs="Times New Roman"/>
          <w:sz w:val="32"/>
          <w:szCs w:val="32"/>
        </w:rPr>
        <w:t>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1136.27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657.69</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649.53</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8.16</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478.58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本级支出，主要为</w:t>
      </w:r>
      <w:r>
        <w:rPr>
          <w:rFonts w:hint="eastAsia" w:ascii="Times New Roman" w:hAnsi="Times New Roman" w:eastAsia="仿宋_GB2312" w:cs="Times New Roman"/>
          <w:sz w:val="32"/>
          <w:szCs w:val="32"/>
        </w:rPr>
        <w:t>城乡义务教育生均公</w:t>
      </w:r>
      <w:r>
        <w:rPr>
          <w:rFonts w:hint="eastAsia" w:ascii="Times New Roman" w:hAnsi="Times New Roman" w:eastAsia="仿宋_GB2312" w:cs="Times New Roman"/>
          <w:color w:val="000000" w:themeColor="text1"/>
          <w:sz w:val="32"/>
          <w:szCs w:val="32"/>
          <w14:textFill>
            <w14:solidFill>
              <w14:schemeClr w14:val="tx1"/>
            </w14:solidFill>
          </w14:textFill>
        </w:rPr>
        <w:t>用经费</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教育经费、合同制教师人员经费</w:t>
      </w:r>
      <w:r>
        <w:rPr>
          <w:rFonts w:ascii="Times New Roman" w:hAnsi="Times New Roman" w:eastAsia="仿宋_GB2312" w:cs="Times New Roman"/>
          <w:color w:val="000000" w:themeColor="text1"/>
          <w:sz w:val="32"/>
          <w:szCs w:val="32"/>
          <w14:textFill>
            <w14:solidFill>
              <w14:schemeClr w14:val="tx1"/>
            </w14:solidFill>
          </w14:textFill>
        </w:rPr>
        <w:t>等</w:t>
      </w:r>
      <w:r>
        <w:rPr>
          <w:rFonts w:hint="eastAsia" w:ascii="Times New Roman" w:hAnsi="Times New Roman" w:eastAsia="仿宋_GB2312" w:cs="Times New Roman"/>
          <w:color w:val="000000" w:themeColor="text1"/>
          <w:sz w:val="32"/>
          <w:szCs w:val="32"/>
          <w14:textFill>
            <w14:solidFill>
              <w14:schemeClr w14:val="tx1"/>
            </w14:solidFill>
          </w14:textFill>
        </w:rPr>
        <w:t>资金</w:t>
      </w:r>
      <w:r>
        <w:rPr>
          <w:rFonts w:ascii="Times New Roman" w:hAnsi="Times New Roman" w:eastAsia="仿宋_GB2312" w:cs="Times New Roman"/>
          <w:color w:val="000000" w:themeColor="text1"/>
          <w:sz w:val="32"/>
          <w:szCs w:val="32"/>
          <w14:textFill>
            <w14:solidFill>
              <w14:schemeClr w14:val="tx1"/>
            </w14:solidFill>
          </w14:textFill>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1136.27</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lang w:val="en-US" w:eastAsia="zh-CN"/>
        </w:rPr>
        <w:t>增加323.52</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lang w:val="en-US" w:eastAsia="zh-CN"/>
        </w:rPr>
        <w:t>58.13</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lang w:val="en-US" w:eastAsia="zh-CN"/>
        </w:rPr>
        <w:t>381.65</w:t>
      </w:r>
      <w:r>
        <w:rPr>
          <w:rFonts w:ascii="Times New Roman" w:hAnsi="Times New Roman" w:eastAsia="仿宋_GB2312" w:cs="Times New Roman"/>
          <w:sz w:val="32"/>
          <w:szCs w:val="32"/>
        </w:rPr>
        <w:t>万元，主要为</w:t>
      </w:r>
      <w:r>
        <w:rPr>
          <w:rFonts w:hint="eastAsia" w:ascii="Times New Roman" w:hAnsi="Times New Roman" w:eastAsia="仿宋_GB2312" w:cs="Times New Roman"/>
          <w:color w:val="000000" w:themeColor="text1"/>
          <w:sz w:val="32"/>
          <w:szCs w:val="32"/>
          <w14:textFill>
            <w14:solidFill>
              <w14:schemeClr w14:val="tx1"/>
            </w14:solidFill>
          </w14:textFill>
        </w:rPr>
        <w:t>教育经费、合同制教师人员经费</w:t>
      </w:r>
      <w:r>
        <w:rPr>
          <w:rFonts w:ascii="Times New Roman" w:hAnsi="Times New Roman" w:eastAsia="仿宋_GB2312" w:cs="Times New Roman"/>
          <w:sz w:val="32"/>
          <w:szCs w:val="32"/>
        </w:rPr>
        <w:t>项目支出。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无三公经费预算安排，</w:t>
      </w:r>
      <w:r>
        <w:rPr>
          <w:rFonts w:ascii="Times New Roman" w:hAnsi="Times New Roman" w:eastAsia="仿宋_GB2312" w:cs="Times New Roman"/>
          <w:color w:val="000000" w:themeColor="text1"/>
          <w:sz w:val="32"/>
          <w:szCs w:val="32"/>
          <w14:textFill>
            <w14:solidFill>
              <w14:schemeClr w14:val="tx1"/>
            </w14:solidFill>
          </w14:textFill>
        </w:rPr>
        <w:t>与20</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1年相比无增减变化。</w:t>
      </w:r>
    </w:p>
    <w:p>
      <w:pPr>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keepNext w:val="0"/>
        <w:keepLines w:val="0"/>
        <w:pageBreakBefore w:val="0"/>
        <w:kinsoku/>
        <w:wordWrap/>
        <w:overflowPunct/>
        <w:topLinePunct w:val="0"/>
        <w:autoSpaceDE/>
        <w:autoSpaceDN/>
        <w:bidi w:val="0"/>
        <w:adjustRightInd/>
        <w:snapToGrid/>
        <w:spacing w:line="584" w:lineRule="exact"/>
        <w:ind w:firstLine="320" w:firstLineChars="100"/>
        <w:textAlignment w:val="auto"/>
        <w:rPr>
          <w:rFonts w:ascii="仿宋_GB2312" w:eastAsia="仿宋_GB2312"/>
          <w:color w:val="000000"/>
          <w:sz w:val="32"/>
          <w:szCs w:val="32"/>
        </w:rPr>
      </w:pPr>
      <w:r>
        <w:rPr>
          <w:rFonts w:hint="eastAsia" w:ascii="仿宋_GB2312" w:eastAsia="仿宋_GB2312"/>
          <w:color w:val="000000"/>
          <w:sz w:val="32"/>
          <w:szCs w:val="32"/>
        </w:rP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keepNext w:val="0"/>
        <w:keepLines w:val="0"/>
        <w:pageBreakBefore w:val="0"/>
        <w:widowControl/>
        <w:kinsoku/>
        <w:wordWrap/>
        <w:overflowPunct/>
        <w:topLinePunct w:val="0"/>
        <w:autoSpaceDE/>
        <w:autoSpaceDN/>
        <w:bidi w:val="0"/>
        <w:adjustRightInd/>
        <w:snapToGrid/>
        <w:spacing w:line="584" w:lineRule="exact"/>
        <w:ind w:firstLine="320" w:firstLineChars="1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keepNext w:val="0"/>
        <w:keepLines w:val="0"/>
        <w:pageBreakBefore w:val="0"/>
        <w:widowControl/>
        <w:kinsoku/>
        <w:wordWrap/>
        <w:overflowPunct/>
        <w:topLinePunct w:val="0"/>
        <w:autoSpaceDE/>
        <w:autoSpaceDN/>
        <w:bidi w:val="0"/>
        <w:adjustRightInd/>
        <w:snapToGrid/>
        <w:spacing w:line="584" w:lineRule="exact"/>
        <w:ind w:firstLine="320" w:firstLineChars="1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提高义务教育水平，免除城市区中小学生学杂费，提供免费教科书，解决大班额问题及入学难问题。对贫困中小学生进行补助。2、按质按量完成教育教学方面的各项任务，稳步提升学校的教育教学质量，学生综合素质评价优秀率达到85%,合格率达到100%。</w:t>
      </w:r>
    </w:p>
    <w:p>
      <w:pPr>
        <w:keepNext w:val="0"/>
        <w:keepLines w:val="0"/>
        <w:pageBreakBefore w:val="0"/>
        <w:widowControl/>
        <w:kinsoku/>
        <w:wordWrap/>
        <w:overflowPunct/>
        <w:topLinePunct w:val="0"/>
        <w:autoSpaceDE/>
        <w:autoSpaceDN/>
        <w:bidi w:val="0"/>
        <w:adjustRightInd/>
        <w:snapToGrid/>
        <w:spacing w:line="584" w:lineRule="exact"/>
        <w:ind w:firstLine="320" w:firstLineChars="1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keepNext w:val="0"/>
        <w:keepLines w:val="0"/>
        <w:pageBreakBefore w:val="0"/>
        <w:widowControl/>
        <w:kinsoku/>
        <w:wordWrap/>
        <w:overflowPunct/>
        <w:topLinePunct w:val="0"/>
        <w:autoSpaceDE/>
        <w:autoSpaceDN/>
        <w:bidi w:val="0"/>
        <w:adjustRightInd/>
        <w:snapToGrid/>
        <w:spacing w:line="584" w:lineRule="exact"/>
        <w:ind w:firstLine="320" w:firstLineChars="1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4、提升学校基础设施设备的整体水平。加强学校基础设施设备的维护,确保校园安全,落实校园防火及其他安全隐患的预防工作。确保校园各设施设备的正常运行。</w:t>
      </w:r>
    </w:p>
    <w:p>
      <w:pPr>
        <w:keepNext w:val="0"/>
        <w:keepLines w:val="0"/>
        <w:pageBreakBefore w:val="0"/>
        <w:widowControl/>
        <w:kinsoku/>
        <w:wordWrap/>
        <w:overflowPunct/>
        <w:topLinePunct w:val="0"/>
        <w:autoSpaceDE/>
        <w:autoSpaceDN/>
        <w:bidi w:val="0"/>
        <w:adjustRightInd/>
        <w:snapToGrid/>
        <w:spacing w:line="584" w:lineRule="exact"/>
        <w:ind w:firstLine="320" w:firstLineChars="1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keepNext w:val="0"/>
        <w:keepLines w:val="0"/>
        <w:pageBreakBefore w:val="0"/>
        <w:widowControl/>
        <w:kinsoku/>
        <w:wordWrap/>
        <w:overflowPunct/>
        <w:topLinePunct w:val="0"/>
        <w:autoSpaceDE/>
        <w:autoSpaceDN/>
        <w:bidi w:val="0"/>
        <w:adjustRightInd/>
        <w:snapToGrid/>
        <w:spacing w:line="584" w:lineRule="exact"/>
        <w:ind w:firstLine="320" w:firstLineChars="1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6、学校的文化宣传整布局,建成学校校史馆,完成各班级、各科室及教师办公室的文化宣传布置。加大学校办学理念、目标的宣传,形成具有特色的校园文化氛围。</w:t>
      </w:r>
    </w:p>
    <w:p>
      <w:pPr>
        <w:keepNext w:val="0"/>
        <w:keepLines w:val="0"/>
        <w:pageBreakBefore w:val="0"/>
        <w:kinsoku/>
        <w:wordWrap/>
        <w:overflowPunct/>
        <w:topLinePunct w:val="0"/>
        <w:autoSpaceDE/>
        <w:autoSpaceDN/>
        <w:bidi w:val="0"/>
        <w:adjustRightInd/>
        <w:snapToGrid/>
        <w:spacing w:line="584" w:lineRule="exact"/>
        <w:ind w:firstLine="320" w:firstLineChars="100"/>
        <w:textAlignment w:val="auto"/>
        <w:rPr>
          <w:rFonts w:ascii="宋体" w:hAnsi="宋体" w:cs="宋体"/>
          <w:color w:val="000000"/>
          <w:kern w:val="0"/>
          <w:sz w:val="28"/>
          <w:szCs w:val="28"/>
        </w:rPr>
      </w:pPr>
      <w:r>
        <w:rPr>
          <w:rFonts w:hint="eastAsia" w:ascii="仿宋_GB2312" w:hAnsi="宋体" w:eastAsia="仿宋_GB2312" w:cs="宋体"/>
          <w:color w:val="000000"/>
          <w:kern w:val="0"/>
          <w:sz w:val="32"/>
          <w:szCs w:val="32"/>
        </w:rPr>
        <w:t>7、办人民满意的学校,教师、学生、家长整体满意度达到90%以上。</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keepNext w:val="0"/>
        <w:keepLines w:val="0"/>
        <w:pageBreakBefore w:val="0"/>
        <w:widowControl/>
        <w:kinsoku/>
        <w:wordWrap/>
        <w:overflowPunct/>
        <w:topLinePunct w:val="0"/>
        <w:autoSpaceDE/>
        <w:autoSpaceDN/>
        <w:bidi w:val="0"/>
        <w:adjustRightInd/>
        <w:snapToGrid/>
        <w:spacing w:line="584" w:lineRule="exact"/>
        <w:ind w:firstLine="320" w:firstLineChars="100"/>
        <w:jc w:val="left"/>
        <w:textAlignment w:val="auto"/>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1、成立学校监督小组，监督学校工作，强化工作落实。</w:t>
      </w:r>
    </w:p>
    <w:p>
      <w:pPr>
        <w:keepNext w:val="0"/>
        <w:keepLines w:val="0"/>
        <w:pageBreakBefore w:val="0"/>
        <w:widowControl/>
        <w:kinsoku/>
        <w:wordWrap/>
        <w:overflowPunct/>
        <w:topLinePunct w:val="0"/>
        <w:autoSpaceDE/>
        <w:autoSpaceDN/>
        <w:bidi w:val="0"/>
        <w:adjustRightInd/>
        <w:snapToGrid/>
        <w:spacing w:line="584" w:lineRule="exact"/>
        <w:ind w:firstLine="320" w:firstLineChars="100"/>
        <w:jc w:val="left"/>
        <w:textAlignment w:val="auto"/>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keepNext w:val="0"/>
        <w:keepLines w:val="0"/>
        <w:pageBreakBefore w:val="0"/>
        <w:widowControl/>
        <w:kinsoku/>
        <w:wordWrap/>
        <w:overflowPunct/>
        <w:topLinePunct w:val="0"/>
        <w:autoSpaceDE/>
        <w:autoSpaceDN/>
        <w:bidi w:val="0"/>
        <w:adjustRightInd/>
        <w:snapToGrid/>
        <w:spacing w:line="584" w:lineRule="exact"/>
        <w:ind w:firstLine="320" w:firstLineChars="100"/>
        <w:jc w:val="left"/>
        <w:textAlignment w:val="auto"/>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keepNext w:val="0"/>
        <w:keepLines w:val="0"/>
        <w:pageBreakBefore w:val="0"/>
        <w:widowControl/>
        <w:kinsoku/>
        <w:wordWrap/>
        <w:overflowPunct/>
        <w:topLinePunct w:val="0"/>
        <w:autoSpaceDE/>
        <w:autoSpaceDN/>
        <w:bidi w:val="0"/>
        <w:adjustRightInd/>
        <w:snapToGrid/>
        <w:spacing w:line="584" w:lineRule="exact"/>
        <w:ind w:firstLine="320" w:firstLineChars="100"/>
        <w:jc w:val="left"/>
        <w:textAlignment w:val="auto"/>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keepNext w:val="0"/>
        <w:keepLines w:val="0"/>
        <w:pageBreakBefore w:val="0"/>
        <w:widowControl/>
        <w:kinsoku/>
        <w:wordWrap/>
        <w:overflowPunct/>
        <w:topLinePunct w:val="0"/>
        <w:autoSpaceDE/>
        <w:autoSpaceDN/>
        <w:bidi w:val="0"/>
        <w:adjustRightInd/>
        <w:snapToGrid/>
        <w:spacing w:line="584" w:lineRule="exact"/>
        <w:ind w:firstLine="320" w:firstLineChars="100"/>
        <w:jc w:val="left"/>
        <w:textAlignment w:val="auto"/>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keepNext w:val="0"/>
        <w:keepLines w:val="0"/>
        <w:pageBreakBefore w:val="0"/>
        <w:widowControl/>
        <w:kinsoku/>
        <w:wordWrap/>
        <w:overflowPunct/>
        <w:topLinePunct w:val="0"/>
        <w:autoSpaceDE/>
        <w:autoSpaceDN/>
        <w:bidi w:val="0"/>
        <w:adjustRightInd/>
        <w:snapToGrid/>
        <w:spacing w:line="584" w:lineRule="exact"/>
        <w:ind w:firstLine="320" w:firstLineChars="100"/>
        <w:jc w:val="left"/>
        <w:textAlignment w:val="auto"/>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8、加强政治理论学习，强化党风廉政建设。做好师德传承活动，落实老中青传帮带。弘扬办学精神。加强师德宣传与学习活动。开展形式多样、扎实有效的师德教育活动。</w:t>
      </w:r>
    </w:p>
    <w:p>
      <w:pPr>
        <w:keepNext w:val="0"/>
        <w:keepLines w:val="0"/>
        <w:pageBreakBefore w:val="0"/>
        <w:widowControl/>
        <w:kinsoku/>
        <w:wordWrap/>
        <w:overflowPunct/>
        <w:topLinePunct w:val="0"/>
        <w:autoSpaceDE/>
        <w:autoSpaceDN/>
        <w:bidi w:val="0"/>
        <w:adjustRightInd/>
        <w:snapToGrid/>
        <w:spacing w:line="584" w:lineRule="exact"/>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3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77"/>
        <w:gridCol w:w="992"/>
        <w:gridCol w:w="2126"/>
        <w:gridCol w:w="3544"/>
        <w:gridCol w:w="1984"/>
        <w:gridCol w:w="567"/>
        <w:gridCol w:w="581"/>
        <w:gridCol w:w="1404"/>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2" w:hRule="atLeast"/>
          <w:tblHeader/>
          <w:jc w:val="center"/>
        </w:trPr>
        <w:tc>
          <w:tcPr>
            <w:tcW w:w="5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99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212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354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98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552"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35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27" w:hRule="atLeast"/>
          <w:tblHeader/>
          <w:jc w:val="center"/>
        </w:trPr>
        <w:tc>
          <w:tcPr>
            <w:tcW w:w="577" w:type="dxa"/>
            <w:vMerge w:val="continue"/>
            <w:tcBorders>
              <w:tl2br w:val="nil"/>
              <w:tr2bl w:val="nil"/>
            </w:tcBorders>
            <w:vAlign w:val="center"/>
          </w:tcPr>
          <w:p/>
        </w:tc>
        <w:tc>
          <w:tcPr>
            <w:tcW w:w="992" w:type="dxa"/>
            <w:vMerge w:val="continue"/>
            <w:tcBorders>
              <w:tl2br w:val="nil"/>
              <w:tr2bl w:val="nil"/>
            </w:tcBorders>
            <w:vAlign w:val="center"/>
          </w:tcPr>
          <w:p/>
        </w:tc>
        <w:tc>
          <w:tcPr>
            <w:tcW w:w="2126" w:type="dxa"/>
            <w:vMerge w:val="continue"/>
            <w:tcBorders>
              <w:tl2br w:val="nil"/>
              <w:tr2bl w:val="nil"/>
            </w:tcBorders>
            <w:vAlign w:val="center"/>
          </w:tcPr>
          <w:p/>
        </w:tc>
        <w:tc>
          <w:tcPr>
            <w:tcW w:w="3544" w:type="dxa"/>
            <w:vMerge w:val="continue"/>
            <w:tcBorders>
              <w:tl2br w:val="nil"/>
              <w:tr2bl w:val="nil"/>
            </w:tcBorders>
            <w:vAlign w:val="center"/>
          </w:tcPr>
          <w:p/>
        </w:tc>
        <w:tc>
          <w:tcPr>
            <w:tcW w:w="1984" w:type="dxa"/>
            <w:vMerge w:val="continue"/>
            <w:tcBorders>
              <w:tl2br w:val="nil"/>
              <w:tr2bl w:val="nil"/>
            </w:tcBorders>
            <w:vAlign w:val="center"/>
          </w:tcPr>
          <w:p/>
        </w:tc>
        <w:tc>
          <w:tcPr>
            <w:tcW w:w="56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581"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1404"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350"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86" w:hRule="atLeast"/>
          <w:jc w:val="center"/>
        </w:trPr>
        <w:tc>
          <w:tcPr>
            <w:tcW w:w="577"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小学</w:t>
            </w:r>
            <w:r>
              <w:rPr>
                <w:rFonts w:hint="eastAsia" w:ascii="仿宋_GB2312" w:hAnsi="仿宋_GB2312" w:eastAsia="仿宋_GB2312" w:cs="仿宋_GB2312"/>
                <w:color w:val="000000"/>
                <w:sz w:val="22"/>
              </w:rPr>
              <w:t>生毕业生合格率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20分毕业生合格率100%得满分，否则不得分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小学</w:t>
            </w:r>
            <w:r>
              <w:rPr>
                <w:rFonts w:hint="eastAsia" w:ascii="仿宋_GB2312" w:hAnsi="仿宋_GB2312" w:eastAsia="仿宋_GB2312" w:cs="仿宋_GB2312"/>
                <w:color w:val="000000"/>
                <w:sz w:val="22"/>
              </w:rPr>
              <w:t>生毕业生合格率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10分不低于95%得满分，否则不得分每减少1%扣1分，扣完为止</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20分合格率100%得满分，否则不得分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2"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10分及时完成得满分，否则不得分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及时</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教育经费使用控制率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10分教育经费决算数不大于调整预算数得满分，否则不得分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支出的公用经费总额与预算安排的比率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决算数不大于调整预算数</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义务教育高质量发展</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10分学生、家长、社会对学校整体满意度达到95%得满分，每降低1%扣1分，扣完为止。</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推动义务教育从数量扩张向质量提高转变</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62"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满意度</w:t>
            </w:r>
          </w:p>
        </w:tc>
        <w:tc>
          <w:tcPr>
            <w:tcW w:w="2126"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354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10分在校师生的满意度达到95%得满分，每降低1%扣1分，扣完为止。</w:t>
            </w:r>
          </w:p>
        </w:tc>
        <w:tc>
          <w:tcPr>
            <w:tcW w:w="198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2126"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354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10分家长的满意度达到95%得满分，每降低1%扣1分，扣完为止。</w:t>
            </w:r>
          </w:p>
        </w:tc>
        <w:tc>
          <w:tcPr>
            <w:tcW w:w="198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line="240" w:lineRule="auto"/>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07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1007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1.按照义务教育生均公用经费标准申请财政预算资金，通过合理、合规使用资金达到保证学校正常运转.</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2.改善办学条件，促进义务教育发展。</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3.开展培训活动，提高教师和学生的综合素质。</w:t>
            </w:r>
          </w:p>
        </w:tc>
      </w:tr>
    </w:tbl>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11"/>
        <w:gridCol w:w="1643"/>
        <w:gridCol w:w="2654"/>
        <w:gridCol w:w="1327"/>
        <w:gridCol w:w="33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011"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1643"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3345"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01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16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1212人</w:t>
            </w:r>
          </w:p>
        </w:tc>
        <w:tc>
          <w:tcPr>
            <w:tcW w:w="334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01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6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334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01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16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334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01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16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735元/人</w:t>
            </w:r>
          </w:p>
        </w:tc>
        <w:tc>
          <w:tcPr>
            <w:tcW w:w="334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01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6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26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支持</w:t>
            </w:r>
          </w:p>
        </w:tc>
        <w:tc>
          <w:tcPr>
            <w:tcW w:w="334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01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6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≥90%</w:t>
            </w:r>
          </w:p>
        </w:tc>
        <w:tc>
          <w:tcPr>
            <w:tcW w:w="334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240" w:lineRule="auto"/>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line="240" w:lineRule="auto"/>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2.城乡义务教育生均公用经费[中央]绩效目标表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4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104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1.廊坊市第十三小学学校对2022年在校学生1212人，按照义务教育生均公用经费标准申请财政预算资金，通过合理、合规使用资金达到保证学校正常运转，改善办学条件，促进义务教育发展。</w:t>
            </w:r>
          </w:p>
        </w:tc>
      </w:tr>
    </w:tbl>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36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3694"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1212人</w:t>
            </w:r>
          </w:p>
        </w:tc>
        <w:tc>
          <w:tcPr>
            <w:tcW w:w="369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369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369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735元</w:t>
            </w:r>
          </w:p>
        </w:tc>
        <w:tc>
          <w:tcPr>
            <w:tcW w:w="369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26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支持</w:t>
            </w:r>
          </w:p>
        </w:tc>
        <w:tc>
          <w:tcPr>
            <w:tcW w:w="369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≥90%</w:t>
            </w:r>
          </w:p>
        </w:tc>
        <w:tc>
          <w:tcPr>
            <w:tcW w:w="369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240" w:lineRule="auto"/>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line="240" w:lineRule="auto"/>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3.非公办教师经费绩效目标表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888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888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1.消除信访隐患、关心关爱家庭困难教师、支持教育事业发展的原则，根据李凤莲老师自身实际，解决其待遇问题。</w:t>
            </w:r>
          </w:p>
        </w:tc>
      </w:tr>
    </w:tbl>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136"/>
        <w:gridCol w:w="1440"/>
        <w:gridCol w:w="2595"/>
        <w:gridCol w:w="945"/>
        <w:gridCol w:w="27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13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1440"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595"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945"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2749"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13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144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保障人数</w:t>
            </w:r>
          </w:p>
        </w:tc>
        <w:tc>
          <w:tcPr>
            <w:tcW w:w="259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保障人数</w:t>
            </w:r>
          </w:p>
        </w:tc>
        <w:tc>
          <w:tcPr>
            <w:tcW w:w="94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1人</w:t>
            </w:r>
          </w:p>
        </w:tc>
        <w:tc>
          <w:tcPr>
            <w:tcW w:w="274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13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44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工资(福利)等发放精准性</w:t>
            </w:r>
          </w:p>
        </w:tc>
        <w:tc>
          <w:tcPr>
            <w:tcW w:w="259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工资福利等发放人员范围的精准性和发放数据的准确性</w:t>
            </w:r>
          </w:p>
        </w:tc>
        <w:tc>
          <w:tcPr>
            <w:tcW w:w="94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274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13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44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社会保障缴纳数据的准确性</w:t>
            </w:r>
          </w:p>
        </w:tc>
        <w:tc>
          <w:tcPr>
            <w:tcW w:w="259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社会保障缴纳数据的准确性</w:t>
            </w:r>
          </w:p>
        </w:tc>
        <w:tc>
          <w:tcPr>
            <w:tcW w:w="94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274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13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144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工资(福利)发放及时性</w:t>
            </w:r>
          </w:p>
        </w:tc>
        <w:tc>
          <w:tcPr>
            <w:tcW w:w="259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工资福利等发放的时效情况</w:t>
            </w:r>
          </w:p>
        </w:tc>
        <w:tc>
          <w:tcPr>
            <w:tcW w:w="94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按规定时间发放</w:t>
            </w:r>
          </w:p>
        </w:tc>
        <w:tc>
          <w:tcPr>
            <w:tcW w:w="274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13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144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工资（福利）、社会保障发放（缴纳）标准</w:t>
            </w:r>
          </w:p>
        </w:tc>
        <w:tc>
          <w:tcPr>
            <w:tcW w:w="259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工资（福利）、社会保障发放（缴纳）标准</w:t>
            </w:r>
          </w:p>
        </w:tc>
        <w:tc>
          <w:tcPr>
            <w:tcW w:w="94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按规定执行</w:t>
            </w:r>
          </w:p>
        </w:tc>
        <w:tc>
          <w:tcPr>
            <w:tcW w:w="274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13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44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保持干部队伍稳定</w:t>
            </w:r>
          </w:p>
        </w:tc>
        <w:tc>
          <w:tcPr>
            <w:tcW w:w="259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通过按时按标准发放工资福利等，进一步增强归属感，保持相对稳定</w:t>
            </w:r>
          </w:p>
        </w:tc>
        <w:tc>
          <w:tcPr>
            <w:tcW w:w="94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保持相对稳定</w:t>
            </w:r>
          </w:p>
        </w:tc>
        <w:tc>
          <w:tcPr>
            <w:tcW w:w="274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13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44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人员满意度</w:t>
            </w:r>
          </w:p>
        </w:tc>
        <w:tc>
          <w:tcPr>
            <w:tcW w:w="259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人员对工资福利等发放工作的满意程度</w:t>
            </w:r>
          </w:p>
        </w:tc>
        <w:tc>
          <w:tcPr>
            <w:tcW w:w="94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274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问卷调查</w:t>
            </w:r>
          </w:p>
        </w:tc>
      </w:tr>
    </w:tbl>
    <w:p>
      <w:pPr>
        <w:spacing w:line="240" w:lineRule="auto"/>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line="240" w:lineRule="auto"/>
        <w:ind w:firstLine="560"/>
        <w:jc w:val="left"/>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4.合同制教师人员经费绩效目标表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884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884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517"/>
        <w:gridCol w:w="1590"/>
        <w:gridCol w:w="19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51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590"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1923"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251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保障2022合同制教师 37人工资福利</w:t>
            </w:r>
          </w:p>
        </w:tc>
        <w:tc>
          <w:tcPr>
            <w:tcW w:w="159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37人</w:t>
            </w:r>
          </w:p>
        </w:tc>
        <w:tc>
          <w:tcPr>
            <w:tcW w:w="192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251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59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192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251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59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≥98%</w:t>
            </w:r>
          </w:p>
        </w:tc>
        <w:tc>
          <w:tcPr>
            <w:tcW w:w="192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51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59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92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251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59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192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51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59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缓解</w:t>
            </w:r>
          </w:p>
        </w:tc>
        <w:tc>
          <w:tcPr>
            <w:tcW w:w="192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51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59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92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251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59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92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51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59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92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240" w:lineRule="auto"/>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560"/>
        <w:jc w:val="left"/>
        <w:outlineLvl w:val="3"/>
        <w:rPr>
          <w:rFonts w:hint="eastAsia" w:ascii="仿宋_GB2312" w:hAnsi="仿宋_GB2312" w:eastAsia="仿宋_GB2312" w:cs="仿宋_GB2312"/>
        </w:rPr>
      </w:pPr>
      <w:bookmarkStart w:id="4" w:name="_Toc_4_4_0000000008"/>
      <w:r>
        <w:rPr>
          <w:rFonts w:hint="eastAsia" w:ascii="仿宋_GB2312" w:hAnsi="仿宋_GB2312" w:eastAsia="仿宋_GB2312" w:cs="仿宋_GB2312"/>
          <w:color w:val="000000"/>
          <w:sz w:val="28"/>
        </w:rPr>
        <w:t>5.教育经费绩效目标表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86"/>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0"/>
        <w:gridCol w:w="1332"/>
        <w:gridCol w:w="2174"/>
        <w:gridCol w:w="2710"/>
        <w:gridCol w:w="1229"/>
        <w:gridCol w:w="15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080"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33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2174"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710"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29"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153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217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71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22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12月</w:t>
            </w:r>
          </w:p>
        </w:tc>
        <w:tc>
          <w:tcPr>
            <w:tcW w:w="15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Merge w:val="continue"/>
            <w:vAlign w:val="center"/>
          </w:tcPr>
          <w:p>
            <w:pPr>
              <w:spacing w:line="240" w:lineRule="auto"/>
              <w:rPr>
                <w:rFonts w:hint="eastAsia" w:ascii="仿宋_GB2312" w:hAnsi="仿宋_GB2312" w:eastAsia="仿宋_GB2312" w:cs="仿宋_GB2312"/>
              </w:rPr>
            </w:pP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217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71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22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15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Merge w:val="continue"/>
            <w:vAlign w:val="center"/>
          </w:tcPr>
          <w:p>
            <w:pPr>
              <w:spacing w:line="240" w:lineRule="auto"/>
              <w:rPr>
                <w:rFonts w:hint="eastAsia" w:ascii="仿宋_GB2312" w:hAnsi="仿宋_GB2312" w:eastAsia="仿宋_GB2312" w:cs="仿宋_GB2312"/>
              </w:rPr>
            </w:pP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217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271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2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15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Merge w:val="continue"/>
            <w:vAlign w:val="center"/>
          </w:tcPr>
          <w:p>
            <w:pPr>
              <w:spacing w:line="240" w:lineRule="auto"/>
              <w:rPr>
                <w:rFonts w:hint="eastAsia" w:ascii="仿宋_GB2312" w:hAnsi="仿宋_GB2312" w:eastAsia="仿宋_GB2312" w:cs="仿宋_GB2312"/>
              </w:rPr>
            </w:pP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217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71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2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15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Merge w:val="continue"/>
            <w:vAlign w:val="center"/>
          </w:tcPr>
          <w:p>
            <w:pPr>
              <w:spacing w:line="240" w:lineRule="auto"/>
              <w:rPr>
                <w:rFonts w:hint="eastAsia" w:ascii="仿宋_GB2312" w:hAnsi="仿宋_GB2312" w:eastAsia="仿宋_GB2312" w:cs="仿宋_GB2312"/>
              </w:rPr>
            </w:pP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217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71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22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≤4.58万元</w:t>
            </w:r>
          </w:p>
        </w:tc>
        <w:tc>
          <w:tcPr>
            <w:tcW w:w="15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17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71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2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提高</w:t>
            </w:r>
          </w:p>
        </w:tc>
        <w:tc>
          <w:tcPr>
            <w:tcW w:w="15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17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71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2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5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Merge w:val="continue"/>
            <w:vAlign w:val="center"/>
          </w:tcPr>
          <w:p>
            <w:pPr>
              <w:spacing w:line="240" w:lineRule="auto"/>
              <w:rPr>
                <w:rFonts w:hint="eastAsia" w:ascii="仿宋_GB2312" w:hAnsi="仿宋_GB2312" w:eastAsia="仿宋_GB2312" w:cs="仿宋_GB2312"/>
              </w:rPr>
            </w:pP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17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71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2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5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480" w:firstLineChars="150"/>
        <w:jc w:val="left"/>
        <w:rPr>
          <w:rFonts w:ascii="Times New Roman" w:hAnsi="Times New Roman" w:eastAsia="黑体" w:cs="Times New Roman"/>
          <w:sz w:val="32"/>
          <w:szCs w:val="32"/>
        </w:rPr>
      </w:pPr>
    </w:p>
    <w:p>
      <w:pPr>
        <w:autoSpaceDE w:val="0"/>
        <w:autoSpaceDN w:val="0"/>
        <w:adjustRightInd w:val="0"/>
        <w:spacing w:line="584" w:lineRule="exact"/>
        <w:ind w:firstLine="480" w:firstLineChars="15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5"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5"/>
    <w:p>
      <w:pPr>
        <w:jc w:val="center"/>
        <w:outlineLvl w:val="1"/>
        <w:rPr>
          <w:rFonts w:ascii="方正小标宋_GBK" w:eastAsia="方正小标宋_GBK" w:cs="Times New Roman"/>
          <w:sz w:val="32"/>
        </w:rPr>
      </w:pPr>
      <w:bookmarkStart w:id="6" w:name="_Toc64920910"/>
      <w:r>
        <w:rPr>
          <w:rFonts w:hint="eastAsia" w:ascii="方正小标宋_GBK" w:eastAsia="方正小标宋_GBK" w:cs="Times New Roman"/>
          <w:sz w:val="32"/>
        </w:rPr>
        <w:t>部门政府采购预算</w:t>
      </w:r>
      <w:bookmarkEnd w:id="6"/>
    </w:p>
    <w:p>
      <w:pPr>
        <w:outlineLvl w:val="1"/>
        <w:rPr>
          <w:rFonts w:ascii="方正小标宋_GBK" w:eastAsia="方正小标宋_GBK" w:cs="Times New Roman"/>
          <w:sz w:val="32"/>
        </w:rPr>
      </w:pPr>
      <w:r>
        <w:rPr>
          <w:rFonts w:hint="eastAsia"/>
        </w:rPr>
        <w:t>廊坊市第</w:t>
      </w:r>
      <w:r>
        <w:rPr>
          <w:rFonts w:hint="eastAsia"/>
          <w:lang w:val="en-US" w:eastAsia="zh-CN"/>
        </w:rPr>
        <w:t>十三小学</w:t>
      </w:r>
      <w:r>
        <w:t xml:space="preserve">                                                                                                         单位：万元</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87"/>
        <w:gridCol w:w="1040"/>
        <w:gridCol w:w="1040"/>
        <w:gridCol w:w="649"/>
        <w:gridCol w:w="780"/>
        <w:gridCol w:w="780"/>
        <w:gridCol w:w="884"/>
        <w:gridCol w:w="884"/>
        <w:gridCol w:w="884"/>
        <w:gridCol w:w="884"/>
        <w:gridCol w:w="884"/>
        <w:gridCol w:w="885"/>
        <w:gridCol w:w="885"/>
        <w:gridCol w:w="908"/>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tblHeader/>
          <w:jc w:val="center"/>
        </w:trPr>
        <w:tc>
          <w:tcPr>
            <w:tcW w:w="668" w:type="pct"/>
            <w:gridSpan w:val="2"/>
            <w:vAlign w:val="center"/>
          </w:tcPr>
          <w:p>
            <w:pPr>
              <w:pStyle w:val="12"/>
            </w:pPr>
            <w:r>
              <w:t>政府采购项目来源</w:t>
            </w:r>
          </w:p>
        </w:tc>
        <w:tc>
          <w:tcPr>
            <w:tcW w:w="367" w:type="pct"/>
            <w:vMerge w:val="restart"/>
            <w:vAlign w:val="center"/>
          </w:tcPr>
          <w:p>
            <w:pPr>
              <w:pStyle w:val="12"/>
            </w:pPr>
            <w:r>
              <w:t>采购物品名称</w:t>
            </w:r>
          </w:p>
        </w:tc>
        <w:tc>
          <w:tcPr>
            <w:tcW w:w="367" w:type="pct"/>
            <w:vMerge w:val="restart"/>
            <w:vAlign w:val="center"/>
          </w:tcPr>
          <w:p>
            <w:pPr>
              <w:pStyle w:val="12"/>
            </w:pPr>
            <w:r>
              <w:t>政府采购目录序号</w:t>
            </w:r>
          </w:p>
        </w:tc>
        <w:tc>
          <w:tcPr>
            <w:tcW w:w="229" w:type="pct"/>
            <w:vMerge w:val="restart"/>
            <w:vAlign w:val="center"/>
          </w:tcPr>
          <w:p>
            <w:pPr>
              <w:pStyle w:val="12"/>
            </w:pPr>
            <w:r>
              <w:t>计量  单位</w:t>
            </w:r>
          </w:p>
        </w:tc>
        <w:tc>
          <w:tcPr>
            <w:tcW w:w="275" w:type="pct"/>
            <w:vMerge w:val="restart"/>
            <w:vAlign w:val="center"/>
          </w:tcPr>
          <w:p>
            <w:pPr>
              <w:pStyle w:val="12"/>
            </w:pPr>
            <w:r>
              <w:t>数量</w:t>
            </w:r>
          </w:p>
        </w:tc>
        <w:tc>
          <w:tcPr>
            <w:tcW w:w="275" w:type="pct"/>
            <w:vMerge w:val="restart"/>
            <w:vAlign w:val="center"/>
          </w:tcPr>
          <w:p>
            <w:pPr>
              <w:pStyle w:val="12"/>
            </w:pPr>
            <w:r>
              <w:t>单价</w:t>
            </w:r>
          </w:p>
        </w:tc>
        <w:tc>
          <w:tcPr>
            <w:tcW w:w="2504" w:type="pct"/>
            <w:gridSpan w:val="8"/>
            <w:vAlign w:val="center"/>
          </w:tcPr>
          <w:p>
            <w:pPr>
              <w:pStyle w:val="12"/>
            </w:pPr>
            <w:r>
              <w:t>政府采购金额（当年部门预算安排资金）</w:t>
            </w:r>
          </w:p>
        </w:tc>
        <w:tc>
          <w:tcPr>
            <w:tcW w:w="312"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02" w:hRule="atLeast"/>
          <w:tblHeader/>
          <w:jc w:val="center"/>
        </w:trPr>
        <w:tc>
          <w:tcPr>
            <w:tcW w:w="355" w:type="pct"/>
            <w:vAlign w:val="center"/>
          </w:tcPr>
          <w:p>
            <w:pPr>
              <w:pStyle w:val="12"/>
            </w:pPr>
            <w:r>
              <w:t>项目名称</w:t>
            </w:r>
          </w:p>
        </w:tc>
        <w:tc>
          <w:tcPr>
            <w:tcW w:w="313" w:type="pct"/>
            <w:vAlign w:val="center"/>
          </w:tcPr>
          <w:p>
            <w:pPr>
              <w:pStyle w:val="12"/>
            </w:pPr>
            <w:r>
              <w:t>预算    资金</w:t>
            </w:r>
          </w:p>
        </w:tc>
        <w:tc>
          <w:tcPr>
            <w:tcW w:w="367" w:type="pct"/>
            <w:vMerge w:val="continue"/>
          </w:tcPr>
          <w:p/>
        </w:tc>
        <w:tc>
          <w:tcPr>
            <w:tcW w:w="367" w:type="pct"/>
            <w:vMerge w:val="continue"/>
          </w:tcPr>
          <w:p/>
        </w:tc>
        <w:tc>
          <w:tcPr>
            <w:tcW w:w="229" w:type="pct"/>
            <w:vMerge w:val="continue"/>
          </w:tcPr>
          <w:p/>
        </w:tc>
        <w:tc>
          <w:tcPr>
            <w:tcW w:w="275" w:type="pct"/>
            <w:vMerge w:val="continue"/>
          </w:tcPr>
          <w:p/>
        </w:tc>
        <w:tc>
          <w:tcPr>
            <w:tcW w:w="275" w:type="pct"/>
            <w:vMerge w:val="continue"/>
          </w:tcPr>
          <w:p/>
        </w:tc>
        <w:tc>
          <w:tcPr>
            <w:tcW w:w="312" w:type="pct"/>
            <w:vAlign w:val="center"/>
          </w:tcPr>
          <w:p>
            <w:pPr>
              <w:pStyle w:val="12"/>
            </w:pPr>
            <w:r>
              <w:t>合计</w:t>
            </w:r>
          </w:p>
        </w:tc>
        <w:tc>
          <w:tcPr>
            <w:tcW w:w="312" w:type="pct"/>
            <w:vAlign w:val="center"/>
          </w:tcPr>
          <w:p>
            <w:pPr>
              <w:pStyle w:val="12"/>
            </w:pPr>
            <w:r>
              <w:t>一般公共预算拨款</w:t>
            </w:r>
          </w:p>
        </w:tc>
        <w:tc>
          <w:tcPr>
            <w:tcW w:w="312" w:type="pct"/>
            <w:vAlign w:val="center"/>
          </w:tcPr>
          <w:p>
            <w:pPr>
              <w:pStyle w:val="12"/>
            </w:pPr>
            <w:r>
              <w:t>基金预算拨款</w:t>
            </w:r>
          </w:p>
        </w:tc>
        <w:tc>
          <w:tcPr>
            <w:tcW w:w="312" w:type="pct"/>
            <w:vAlign w:val="center"/>
          </w:tcPr>
          <w:p>
            <w:pPr>
              <w:pStyle w:val="12"/>
            </w:pPr>
            <w:r>
              <w:t>国有资本经营预算拨款</w:t>
            </w:r>
          </w:p>
        </w:tc>
        <w:tc>
          <w:tcPr>
            <w:tcW w:w="312" w:type="pct"/>
            <w:vAlign w:val="center"/>
          </w:tcPr>
          <w:p>
            <w:pPr>
              <w:pStyle w:val="12"/>
            </w:pPr>
            <w:r>
              <w:t>财政专户核拨</w:t>
            </w:r>
          </w:p>
        </w:tc>
        <w:tc>
          <w:tcPr>
            <w:tcW w:w="312" w:type="pct"/>
            <w:vAlign w:val="center"/>
          </w:tcPr>
          <w:p>
            <w:pPr>
              <w:pStyle w:val="12"/>
            </w:pPr>
            <w:r>
              <w:t>单位    资金</w:t>
            </w:r>
          </w:p>
        </w:tc>
        <w:tc>
          <w:tcPr>
            <w:tcW w:w="312" w:type="pct"/>
            <w:vAlign w:val="center"/>
          </w:tcPr>
          <w:p>
            <w:pPr>
              <w:pStyle w:val="12"/>
            </w:pPr>
            <w:r>
              <w:t>财政拨    款结转</w:t>
            </w:r>
          </w:p>
        </w:tc>
        <w:tc>
          <w:tcPr>
            <w:tcW w:w="318" w:type="pct"/>
            <w:vAlign w:val="center"/>
          </w:tcPr>
          <w:p>
            <w:pPr>
              <w:pStyle w:val="12"/>
            </w:pPr>
            <w:r>
              <w:t>非财政    拨款结    转结余</w:t>
            </w:r>
          </w:p>
        </w:tc>
        <w:tc>
          <w:tcPr>
            <w:tcW w:w="31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355" w:type="pct"/>
            <w:vAlign w:val="center"/>
          </w:tcPr>
          <w:p>
            <w:pPr>
              <w:pStyle w:val="16"/>
            </w:pPr>
            <w:r>
              <w:t>合  计</w:t>
            </w:r>
          </w:p>
        </w:tc>
        <w:tc>
          <w:tcPr>
            <w:tcW w:w="313" w:type="pct"/>
            <w:vAlign w:val="center"/>
          </w:tcPr>
          <w:p>
            <w:pPr>
              <w:pStyle w:val="17"/>
            </w:pPr>
          </w:p>
        </w:tc>
        <w:tc>
          <w:tcPr>
            <w:tcW w:w="367" w:type="pct"/>
            <w:vAlign w:val="center"/>
          </w:tcPr>
          <w:p>
            <w:pPr>
              <w:pStyle w:val="18"/>
            </w:pPr>
          </w:p>
        </w:tc>
        <w:tc>
          <w:tcPr>
            <w:tcW w:w="367" w:type="pct"/>
            <w:vAlign w:val="center"/>
          </w:tcPr>
          <w:p>
            <w:pPr>
              <w:pStyle w:val="18"/>
            </w:pPr>
          </w:p>
        </w:tc>
        <w:tc>
          <w:tcPr>
            <w:tcW w:w="229" w:type="pct"/>
            <w:vAlign w:val="center"/>
          </w:tcPr>
          <w:p>
            <w:pPr>
              <w:pStyle w:val="16"/>
            </w:pPr>
          </w:p>
        </w:tc>
        <w:tc>
          <w:tcPr>
            <w:tcW w:w="275" w:type="pct"/>
            <w:vAlign w:val="center"/>
          </w:tcPr>
          <w:p>
            <w:pPr>
              <w:pStyle w:val="17"/>
            </w:pPr>
          </w:p>
        </w:tc>
        <w:tc>
          <w:tcPr>
            <w:tcW w:w="275"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8" w:type="pct"/>
            <w:vAlign w:val="center"/>
          </w:tcPr>
          <w:p>
            <w:pPr>
              <w:pStyle w:val="17"/>
            </w:pPr>
          </w:p>
        </w:tc>
        <w:tc>
          <w:tcPr>
            <w:tcW w:w="312"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355" w:type="pct"/>
            <w:vAlign w:val="center"/>
          </w:tcPr>
          <w:p>
            <w:pPr>
              <w:pStyle w:val="16"/>
            </w:pPr>
          </w:p>
        </w:tc>
        <w:tc>
          <w:tcPr>
            <w:tcW w:w="313" w:type="pct"/>
            <w:vAlign w:val="center"/>
          </w:tcPr>
          <w:p>
            <w:pPr>
              <w:pStyle w:val="17"/>
            </w:pPr>
          </w:p>
        </w:tc>
        <w:tc>
          <w:tcPr>
            <w:tcW w:w="367" w:type="pct"/>
            <w:vAlign w:val="center"/>
          </w:tcPr>
          <w:p>
            <w:pPr>
              <w:pStyle w:val="18"/>
            </w:pPr>
          </w:p>
        </w:tc>
        <w:tc>
          <w:tcPr>
            <w:tcW w:w="367" w:type="pct"/>
            <w:vAlign w:val="center"/>
          </w:tcPr>
          <w:p>
            <w:pPr>
              <w:pStyle w:val="18"/>
            </w:pPr>
          </w:p>
        </w:tc>
        <w:tc>
          <w:tcPr>
            <w:tcW w:w="229" w:type="pct"/>
            <w:vAlign w:val="center"/>
          </w:tcPr>
          <w:p>
            <w:pPr>
              <w:pStyle w:val="16"/>
            </w:pPr>
          </w:p>
        </w:tc>
        <w:tc>
          <w:tcPr>
            <w:tcW w:w="275" w:type="pct"/>
            <w:vAlign w:val="center"/>
          </w:tcPr>
          <w:p>
            <w:pPr>
              <w:pStyle w:val="17"/>
            </w:pPr>
          </w:p>
        </w:tc>
        <w:tc>
          <w:tcPr>
            <w:tcW w:w="275"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8" w:type="pct"/>
            <w:vAlign w:val="center"/>
          </w:tcPr>
          <w:p>
            <w:pPr>
              <w:pStyle w:val="17"/>
            </w:pPr>
          </w:p>
        </w:tc>
        <w:tc>
          <w:tcPr>
            <w:tcW w:w="312" w:type="pct"/>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十三小学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28"/>
          <w:szCs w:val="28"/>
          <w:lang w:val="en-US" w:eastAsia="zh-CN"/>
        </w:rPr>
        <w:t>232.048454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廊坊市第</w:t>
            </w:r>
            <w:r>
              <w:rPr>
                <w:rFonts w:hint="eastAsia" w:ascii="Times New Roman" w:hAnsi="Times New Roman" w:eastAsia="仿宋_GB2312" w:cs="Times New Roman"/>
                <w:b/>
                <w:bCs/>
                <w:kern w:val="0"/>
                <w:sz w:val="32"/>
                <w:szCs w:val="32"/>
                <w:lang w:val="en-US" w:eastAsia="zh-CN"/>
              </w:rPr>
              <w:t>十三小学</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第三中学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232.048454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eastAsia="zh-CN"/>
              </w:rPr>
            </w:pPr>
            <w:r>
              <w:rPr>
                <w:rFonts w:hint="eastAsia" w:ascii="Times New Roman" w:hAnsi="Times New Roman" w:eastAsia="仿宋_GB2312" w:cs="Times New Roman"/>
                <w:sz w:val="22"/>
                <w:lang w:val="en-US"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eastAsia="zh-CN"/>
              </w:rPr>
            </w:pPr>
            <w:r>
              <w:rPr>
                <w:rFonts w:hint="eastAsia" w:ascii="Times New Roman" w:hAnsi="Times New Roman" w:eastAsia="仿宋_GB2312" w:cs="Times New Roman"/>
                <w:sz w:val="22"/>
                <w:lang w:val="en-US"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3081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232.048454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15</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70736"/>
    <w:rsid w:val="000F6018"/>
    <w:rsid w:val="001A1291"/>
    <w:rsid w:val="00216DA5"/>
    <w:rsid w:val="0024206B"/>
    <w:rsid w:val="0025632D"/>
    <w:rsid w:val="002F36BA"/>
    <w:rsid w:val="003059E0"/>
    <w:rsid w:val="00336AFA"/>
    <w:rsid w:val="003C0A5C"/>
    <w:rsid w:val="00437FE7"/>
    <w:rsid w:val="004A54AA"/>
    <w:rsid w:val="004C0827"/>
    <w:rsid w:val="00523A3A"/>
    <w:rsid w:val="006060AD"/>
    <w:rsid w:val="0065176D"/>
    <w:rsid w:val="00660389"/>
    <w:rsid w:val="0068194A"/>
    <w:rsid w:val="00692AEE"/>
    <w:rsid w:val="007C7867"/>
    <w:rsid w:val="007D6A12"/>
    <w:rsid w:val="0081323A"/>
    <w:rsid w:val="00832A82"/>
    <w:rsid w:val="00832CE5"/>
    <w:rsid w:val="00944233"/>
    <w:rsid w:val="00961F07"/>
    <w:rsid w:val="009735EC"/>
    <w:rsid w:val="009A45F5"/>
    <w:rsid w:val="009B5858"/>
    <w:rsid w:val="00A505F1"/>
    <w:rsid w:val="00A90D8D"/>
    <w:rsid w:val="00B03564"/>
    <w:rsid w:val="00B40732"/>
    <w:rsid w:val="00B80935"/>
    <w:rsid w:val="00C463C3"/>
    <w:rsid w:val="00D24536"/>
    <w:rsid w:val="00D33460"/>
    <w:rsid w:val="00D347CC"/>
    <w:rsid w:val="00D409D5"/>
    <w:rsid w:val="00DA729A"/>
    <w:rsid w:val="00DC72B4"/>
    <w:rsid w:val="00E72308"/>
    <w:rsid w:val="00E91492"/>
    <w:rsid w:val="00F231BC"/>
    <w:rsid w:val="00FC2E3B"/>
    <w:rsid w:val="00FE7AFD"/>
    <w:rsid w:val="0CAD5C63"/>
    <w:rsid w:val="0CEC1180"/>
    <w:rsid w:val="11F07590"/>
    <w:rsid w:val="12777B40"/>
    <w:rsid w:val="13002E99"/>
    <w:rsid w:val="1B444639"/>
    <w:rsid w:val="1D0E1690"/>
    <w:rsid w:val="1FA13C57"/>
    <w:rsid w:val="215A5737"/>
    <w:rsid w:val="215E3C48"/>
    <w:rsid w:val="21932B90"/>
    <w:rsid w:val="220B0B87"/>
    <w:rsid w:val="221C658C"/>
    <w:rsid w:val="2ABE4583"/>
    <w:rsid w:val="2AC60A5D"/>
    <w:rsid w:val="31C07527"/>
    <w:rsid w:val="33736D9B"/>
    <w:rsid w:val="34FB429E"/>
    <w:rsid w:val="354F3102"/>
    <w:rsid w:val="3671399F"/>
    <w:rsid w:val="40046452"/>
    <w:rsid w:val="434109C5"/>
    <w:rsid w:val="43984044"/>
    <w:rsid w:val="466F426D"/>
    <w:rsid w:val="472148C4"/>
    <w:rsid w:val="47551404"/>
    <w:rsid w:val="48C670F6"/>
    <w:rsid w:val="50222A1A"/>
    <w:rsid w:val="503B2694"/>
    <w:rsid w:val="55B6320C"/>
    <w:rsid w:val="57E3295F"/>
    <w:rsid w:val="581B705B"/>
    <w:rsid w:val="5B575F17"/>
    <w:rsid w:val="61344B82"/>
    <w:rsid w:val="628F62E5"/>
    <w:rsid w:val="643B1361"/>
    <w:rsid w:val="67161CC3"/>
    <w:rsid w:val="68A7382A"/>
    <w:rsid w:val="69E827FB"/>
    <w:rsid w:val="6BD833D7"/>
    <w:rsid w:val="6C345094"/>
    <w:rsid w:val="6D257145"/>
    <w:rsid w:val="6D7A4EFE"/>
    <w:rsid w:val="71C12603"/>
    <w:rsid w:val="73693C55"/>
    <w:rsid w:val="73F27875"/>
    <w:rsid w:val="75B56E35"/>
    <w:rsid w:val="77BF4657"/>
    <w:rsid w:val="78776CD8"/>
    <w:rsid w:val="7C91783D"/>
    <w:rsid w:val="7CDC731F"/>
    <w:rsid w:val="7CFA7191"/>
    <w:rsid w:val="7D005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1057</Words>
  <Characters>6031</Characters>
  <Lines>50</Lines>
  <Paragraphs>14</Paragraphs>
  <TotalTime>3</TotalTime>
  <ScaleCrop>false</ScaleCrop>
  <LinksUpToDate>false</LinksUpToDate>
  <CharactersWithSpaces>7074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2024-07-18T06:55:46Z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EB9FDDFBCADF465EBCE4B2E22741BA6E</vt:lpwstr>
  </property>
</Properties>
</file>