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廊坊市广阳区</w:t>
      </w:r>
      <w:bookmarkStart w:id="2" w:name="_GoBack"/>
      <w:r>
        <w:rPr>
          <w:rFonts w:ascii="Times New Roman" w:hAnsi="Times New Roman" w:eastAsia="方正小标宋简体" w:cs="Times New Roman"/>
          <w:sz w:val="44"/>
          <w:szCs w:val="44"/>
        </w:rPr>
        <w:t>第九幼儿园20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按照《中华人民共和国预算法》、《中华人民共和国预算法实施条例》、《地方预决算公开操作规程》和《河北省省级预算公开办法》规定，现将廊坊市广阳区第九幼儿园20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廊坊市广阳区第九幼儿园成立于2020年，2021年9月投入使用，现有教职工</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人，在园幼儿数1</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人，共设置4个寝教一体室，主要职责是对3周岁以上幼儿进行保育和教育。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rPr>
                <w:rFonts w:hint="eastAsia"/>
              </w:rPr>
            </w:pPr>
            <w:r>
              <w:rPr>
                <w:rFonts w:hint="eastAsia"/>
              </w:rPr>
              <w:t>廊坊市广阳区第九幼儿园</w:t>
            </w:r>
          </w:p>
        </w:tc>
        <w:tc>
          <w:tcPr>
            <w:tcW w:w="1134" w:type="dxa"/>
            <w:shd w:val="clear" w:color="auto" w:fill="auto"/>
          </w:tcPr>
          <w:p>
            <w:pPr>
              <w:rPr>
                <w:rFonts w:hint="eastAsia"/>
              </w:rPr>
            </w:pPr>
            <w:r>
              <w:rPr>
                <w:rFonts w:hint="eastAsia"/>
              </w:rPr>
              <w:t>事业</w:t>
            </w:r>
          </w:p>
        </w:tc>
        <w:tc>
          <w:tcPr>
            <w:tcW w:w="1276" w:type="dxa"/>
            <w:shd w:val="clear" w:color="auto" w:fill="auto"/>
          </w:tcPr>
          <w:p>
            <w:pPr>
              <w:rPr>
                <w:rFonts w:hint="eastAsia"/>
              </w:rPr>
            </w:pPr>
            <w:r>
              <w:rPr>
                <w:rFonts w:hint="eastAsia"/>
              </w:rPr>
              <w:t>科级以下</w:t>
            </w:r>
          </w:p>
        </w:tc>
        <w:tc>
          <w:tcPr>
            <w:tcW w:w="2902" w:type="dxa"/>
            <w:shd w:val="clear" w:color="auto" w:fill="auto"/>
          </w:tcPr>
          <w:p>
            <w:r>
              <w:rPr>
                <w:rFonts w:hint="eastAsia"/>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广阳区第九幼儿园</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177.31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177.31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广阳区第九幼儿园2022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177.31</w:t>
      </w:r>
      <w:r>
        <w:rPr>
          <w:rFonts w:ascii="Times New Roman" w:hAnsi="Times New Roman" w:eastAsia="仿宋_GB2312" w:cs="Times New Roman"/>
          <w:sz w:val="32"/>
          <w:szCs w:val="32"/>
        </w:rPr>
        <w:t>万元，其中</w:t>
      </w:r>
      <w:r>
        <w:rPr>
          <w:rFonts w:hint="eastAsia" w:ascii="Times New Roman" w:hAnsi="Times New Roman" w:eastAsia="仿宋_GB2312" w:cs="Times New Roman"/>
          <w:sz w:val="32"/>
          <w:szCs w:val="32"/>
        </w:rPr>
        <w:t>项目支出</w:t>
      </w:r>
      <w:r>
        <w:rPr>
          <w:rFonts w:ascii="Times New Roman" w:hAnsi="Times New Roman" w:eastAsia="仿宋_GB2312" w:cs="Times New Roman"/>
          <w:sz w:val="32"/>
          <w:szCs w:val="32"/>
        </w:rPr>
        <w:t>177.31万元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2年预算收支安排</w:t>
      </w:r>
      <w:r>
        <w:rPr>
          <w:rFonts w:hint="eastAsia" w:ascii="Times New Roman" w:hAnsi="Times New Roman" w:eastAsia="仿宋_GB2312" w:cs="Times New Roman"/>
          <w:sz w:val="32"/>
          <w:szCs w:val="32"/>
          <w:highlight w:val="none"/>
        </w:rPr>
        <w:t>177.31</w:t>
      </w:r>
      <w:r>
        <w:rPr>
          <w:rFonts w:ascii="Times New Roman" w:hAnsi="Times New Roman" w:eastAsia="仿宋_GB2312" w:cs="Times New Roman"/>
          <w:sz w:val="32"/>
          <w:szCs w:val="32"/>
          <w:highlight w:val="none"/>
        </w:rPr>
        <w:t>万元，较20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1年预算增加</w:t>
      </w: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77.31万元，其中：项目支出增加</w:t>
      </w:r>
      <w:r>
        <w:rPr>
          <w:rFonts w:hint="eastAsia" w:ascii="Times New Roman" w:hAnsi="Times New Roman" w:eastAsia="仿宋_GB2312" w:cs="Times New Roman"/>
          <w:sz w:val="32"/>
          <w:szCs w:val="32"/>
          <w:highlight w:val="none"/>
          <w:lang w:val="en-US" w:eastAsia="zh-CN"/>
        </w:rPr>
        <w:t>177.31</w:t>
      </w:r>
      <w:r>
        <w:rPr>
          <w:rFonts w:ascii="Times New Roman" w:hAnsi="Times New Roman" w:eastAsia="仿宋_GB2312" w:cs="Times New Roman"/>
          <w:sz w:val="32"/>
          <w:szCs w:val="32"/>
          <w:highlight w:val="none"/>
        </w:rPr>
        <w:t>万元，主要为</w:t>
      </w:r>
      <w:r>
        <w:rPr>
          <w:rFonts w:hint="eastAsia" w:ascii="Times New Roman" w:hAnsi="Times New Roman" w:eastAsia="仿宋_GB2312" w:cs="Times New Roman"/>
          <w:sz w:val="32"/>
          <w:szCs w:val="32"/>
          <w:highlight w:val="none"/>
        </w:rPr>
        <w:t>幼儿园生均经费</w:t>
      </w:r>
      <w:r>
        <w:rPr>
          <w:rFonts w:ascii="Times New Roman" w:hAnsi="Times New Roman" w:eastAsia="仿宋_GB2312" w:cs="Times New Roman"/>
          <w:sz w:val="32"/>
          <w:szCs w:val="32"/>
          <w:highlight w:val="none"/>
        </w:rPr>
        <w:t>支出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合同制教师</w:t>
      </w:r>
      <w:r>
        <w:rPr>
          <w:rFonts w:ascii="Times New Roman" w:hAnsi="Times New Roman" w:eastAsia="仿宋_GB2312" w:cs="Times New Roman"/>
          <w:sz w:val="32"/>
          <w:szCs w:val="32"/>
          <w:highlight w:val="none"/>
        </w:rPr>
        <w:t>工资福利项目支出。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三、机关运行经费安排情况</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2022年，我单位无财政拨款“三公”经费预算安排。与2021年相比持平，无增减变化。</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螺丝是从严管党治党要求，以习近平新时代中国特色社会主义思想统领教育系统党建工作，强化主体责任，在提升党建工作质量上下真功、用实劲、求实效。</w:t>
      </w:r>
    </w:p>
    <w:p>
      <w:pPr>
        <w:keepNext w:val="0"/>
        <w:keepLines w:val="0"/>
        <w:pageBreakBefore w:val="0"/>
        <w:widowControl w:val="0"/>
        <w:tabs>
          <w:tab w:val="left" w:pos="2142"/>
        </w:tabs>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1、提高学前教育水平、提供免费教科书，解决大班额问题及入学难问题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2、按质按量完成教育教学方面的各项任务，稳步替身而过学校的教育教学质量，学生综合素质评价优秀率达到85%，合格率达到100%。</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幼儿园公用经费水平逐年提高，改善学校办学条件，保障学前教育阶段学校基本教学条件，使学前教育学校教学设施和生活设施满足基本的教学需要。保障后勤社会化服务，资金充足，使学校能正常运转，超大班额现象消除，教师数量、素质、结构基本适应教学需求。</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4、提升学校基础设施设备的整体水平，加强学校基础设备设施的维护，确保校园安全，落实校园防火及其他安全隐患的预防工作。确保校园各设施设备的正常运行。</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开展各类课题研究，园本研究，加强教师培训和教师交流，提高教师教学水平，调动教师积极性，培养专家型教师人才，加强德育培训与研究，举办各类教育教学、学生社会实践活动，建立学生实践教育基地活动，提高学生的综合素质。</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6、学校的文化宣传整体布局建成学校校史馆，完成各班级、各科室及教师办公室的文化宣传布置，加大幼儿园办学理念、目标的宣传，形成具有特色的校园文化氛围。</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7、办人民满意的幼儿园，教师、幼儿、家长整体满意度达到90%以上。</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1、成立幼儿园监督小组，监督幼儿园工作，强化工作落实。</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位关于重大节日开展对离退休干部进行走访慰问的指示精神，做好困难党员、群众、老教师、优抚对象、劳动模范的关心帮扶工作，充分体现党和政府对教育工作者的关怀。</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4、幼儿园体育、卫生工作根据《幼儿园健康体检管理办法》要求，对在校幼儿每年进行一次常规体检。</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幼儿园、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6、加强政治理论学习，强化党风廉政建设，做好师德传承活动，落实老中青传帮带，弘扬办学精神，加强师德宣传与学习活动，开展形式多样、扎实有效的师德教育活动，逐步制定、完善相关制度，规范教师师德、加强园本培训和继续教育工作。提升教师能力，落实教师评价工作，完善考核机制，搭建教师发展平台。</w:t>
      </w:r>
    </w:p>
    <w:p>
      <w:pPr>
        <w:overflowPunct w:val="0"/>
        <w:adjustRightInd w:val="0"/>
        <w:snapToGrid w:val="0"/>
        <w:spacing w:after="156"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10"/>
        <w:gridCol w:w="1254"/>
        <w:gridCol w:w="2202"/>
        <w:gridCol w:w="3400"/>
        <w:gridCol w:w="2700"/>
        <w:gridCol w:w="837"/>
        <w:gridCol w:w="837"/>
        <w:gridCol w:w="838"/>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32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4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78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21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96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898"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35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325" w:type="pct"/>
            <w:vMerge w:val="continue"/>
            <w:tcBorders>
              <w:tl2br w:val="nil"/>
              <w:tr2bl w:val="nil"/>
            </w:tcBorders>
            <w:vAlign w:val="center"/>
          </w:tcPr>
          <w:p/>
        </w:tc>
        <w:tc>
          <w:tcPr>
            <w:tcW w:w="448" w:type="pct"/>
            <w:vMerge w:val="continue"/>
            <w:tcBorders>
              <w:tl2br w:val="nil"/>
              <w:tr2bl w:val="nil"/>
            </w:tcBorders>
            <w:vAlign w:val="center"/>
          </w:tcPr>
          <w:p/>
        </w:tc>
        <w:tc>
          <w:tcPr>
            <w:tcW w:w="787" w:type="pct"/>
            <w:vMerge w:val="continue"/>
            <w:tcBorders>
              <w:tl2br w:val="nil"/>
              <w:tr2bl w:val="nil"/>
            </w:tcBorders>
            <w:vAlign w:val="center"/>
          </w:tcPr>
          <w:p/>
        </w:tc>
        <w:tc>
          <w:tcPr>
            <w:tcW w:w="1216" w:type="pct"/>
            <w:vMerge w:val="continue"/>
            <w:tcBorders>
              <w:tl2br w:val="nil"/>
              <w:tr2bl w:val="nil"/>
            </w:tcBorders>
            <w:vAlign w:val="center"/>
          </w:tcPr>
          <w:p/>
        </w:tc>
        <w:tc>
          <w:tcPr>
            <w:tcW w:w="965" w:type="pct"/>
            <w:vMerge w:val="continue"/>
            <w:tcBorders>
              <w:tl2br w:val="nil"/>
              <w:tr2bl w:val="nil"/>
            </w:tcBorders>
            <w:vAlign w:val="center"/>
          </w:tcPr>
          <w:p/>
        </w:tc>
        <w:tc>
          <w:tcPr>
            <w:tcW w:w="299"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99"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299"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358"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5" w:hRule="atLeast"/>
          <w:jc w:val="center"/>
        </w:trPr>
        <w:tc>
          <w:tcPr>
            <w:tcW w:w="325" w:type="pct"/>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448"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78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幼儿园毕业生合格率</w:t>
            </w:r>
          </w:p>
        </w:tc>
        <w:tc>
          <w:tcPr>
            <w:tcW w:w="121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tc>
        <w:tc>
          <w:tcPr>
            <w:tcW w:w="96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幼儿园毕业生合格率</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5" w:hRule="atLeast"/>
          <w:jc w:val="center"/>
        </w:trPr>
        <w:tc>
          <w:tcPr>
            <w:tcW w:w="325" w:type="pct"/>
            <w:vMerge w:val="continue"/>
            <w:tcBorders>
              <w:tl2br w:val="nil"/>
              <w:tr2bl w:val="nil"/>
            </w:tcBorders>
            <w:vAlign w:val="center"/>
          </w:tcPr>
          <w:p>
            <w:pPr>
              <w:widowControl/>
              <w:adjustRightInd w:val="0"/>
              <w:snapToGrid w:val="0"/>
              <w:jc w:val="center"/>
              <w:rPr>
                <w:rFonts w:ascii="方正书宋_GBK" w:eastAsia="方正书宋_GBK"/>
              </w:rPr>
            </w:pPr>
          </w:p>
        </w:tc>
        <w:tc>
          <w:tcPr>
            <w:tcW w:w="448"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78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121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10分不低于95%得满分，否则不得分，每减少1%扣1分，扣完为止</w:t>
            </w:r>
          </w:p>
        </w:tc>
        <w:tc>
          <w:tcPr>
            <w:tcW w:w="96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70" w:hRule="atLeast"/>
          <w:jc w:val="center"/>
        </w:trPr>
        <w:tc>
          <w:tcPr>
            <w:tcW w:w="325" w:type="pct"/>
            <w:vMerge w:val="continue"/>
            <w:tcBorders>
              <w:tl2br w:val="nil"/>
              <w:tr2bl w:val="nil"/>
            </w:tcBorders>
            <w:vAlign w:val="center"/>
          </w:tcPr>
          <w:p/>
        </w:tc>
        <w:tc>
          <w:tcPr>
            <w:tcW w:w="448"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78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121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96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97" w:hRule="atLeast"/>
          <w:jc w:val="center"/>
        </w:trPr>
        <w:tc>
          <w:tcPr>
            <w:tcW w:w="325" w:type="pct"/>
            <w:vMerge w:val="continue"/>
            <w:tcBorders>
              <w:tl2br w:val="nil"/>
              <w:tr2bl w:val="nil"/>
            </w:tcBorders>
            <w:vAlign w:val="center"/>
          </w:tcPr>
          <w:p/>
        </w:tc>
        <w:tc>
          <w:tcPr>
            <w:tcW w:w="448"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78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幼儿园的各项工作任务及时完成情况</w:t>
            </w:r>
          </w:p>
        </w:tc>
        <w:tc>
          <w:tcPr>
            <w:tcW w:w="121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96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幼儿园的各项工作任务及时完成情况</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及时</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642" w:hRule="atLeast"/>
          <w:jc w:val="center"/>
        </w:trPr>
        <w:tc>
          <w:tcPr>
            <w:tcW w:w="325" w:type="pct"/>
            <w:vMerge w:val="continue"/>
            <w:tcBorders>
              <w:tl2br w:val="nil"/>
              <w:tr2bl w:val="nil"/>
            </w:tcBorders>
            <w:vAlign w:val="center"/>
          </w:tcPr>
          <w:p/>
        </w:tc>
        <w:tc>
          <w:tcPr>
            <w:tcW w:w="448"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78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教育经 费使用控制率</w:t>
            </w:r>
          </w:p>
        </w:tc>
        <w:tc>
          <w:tcPr>
            <w:tcW w:w="121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96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支出的公用经费总额与预算安排的比率</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教育经费决算数不大于调整预算数得满分</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5" w:hRule="atLeast"/>
          <w:jc w:val="center"/>
        </w:trPr>
        <w:tc>
          <w:tcPr>
            <w:tcW w:w="325" w:type="pct"/>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448"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78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121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10分。支持学前教育发展得10分，不支持不得分</w:t>
            </w:r>
          </w:p>
        </w:tc>
        <w:tc>
          <w:tcPr>
            <w:tcW w:w="96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推动学前教育从数量扩张向质量提高转变</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5" w:hRule="atLeast"/>
          <w:jc w:val="center"/>
        </w:trPr>
        <w:tc>
          <w:tcPr>
            <w:tcW w:w="325" w:type="pct"/>
            <w:vMerge w:val="continue"/>
            <w:tcBorders>
              <w:tl2br w:val="nil"/>
              <w:tr2bl w:val="nil"/>
            </w:tcBorders>
            <w:vAlign w:val="center"/>
          </w:tcPr>
          <w:p/>
        </w:tc>
        <w:tc>
          <w:tcPr>
            <w:tcW w:w="448" w:type="pct"/>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787"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16"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10分在校师幼儿的满意度达到95%得满分，每降低1%扣1分，扣完为止。</w:t>
            </w:r>
          </w:p>
        </w:tc>
        <w:tc>
          <w:tcPr>
            <w:tcW w:w="965"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在校师幼儿的满意程度</w:t>
            </w:r>
          </w:p>
        </w:tc>
        <w:tc>
          <w:tcPr>
            <w:tcW w:w="29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29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100</w:t>
            </w:r>
          </w:p>
        </w:tc>
        <w:tc>
          <w:tcPr>
            <w:tcW w:w="29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70" w:hRule="atLeast"/>
          <w:jc w:val="center"/>
        </w:trPr>
        <w:tc>
          <w:tcPr>
            <w:tcW w:w="325" w:type="pct"/>
            <w:tcBorders>
              <w:tl2br w:val="nil"/>
              <w:tr2bl w:val="nil"/>
            </w:tcBorders>
            <w:vAlign w:val="center"/>
          </w:tcPr>
          <w:p/>
        </w:tc>
        <w:tc>
          <w:tcPr>
            <w:tcW w:w="448" w:type="pct"/>
            <w:vMerge w:val="continue"/>
            <w:tcBorders>
              <w:tl2br w:val="nil"/>
              <w:tr2bl w:val="nil"/>
            </w:tcBorders>
            <w:vAlign w:val="center"/>
          </w:tcPr>
          <w:p>
            <w:pPr>
              <w:widowControl/>
              <w:adjustRightInd w:val="0"/>
              <w:snapToGrid w:val="0"/>
              <w:jc w:val="center"/>
              <w:rPr>
                <w:rFonts w:ascii="方正书宋_GBK" w:eastAsia="方正书宋_GBK"/>
              </w:rPr>
            </w:pPr>
          </w:p>
        </w:tc>
        <w:tc>
          <w:tcPr>
            <w:tcW w:w="787"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16"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965"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9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29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100</w:t>
            </w:r>
          </w:p>
        </w:tc>
        <w:tc>
          <w:tcPr>
            <w:tcW w:w="29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rPr>
      </w:pPr>
      <w:r>
        <w:rPr>
          <w:rFonts w:hint="eastAsia" w:ascii="仿宋_GB2312" w:hAnsi="仿宋_GB2312" w:eastAsia="仿宋_GB2312" w:cs="仿宋_GB2312"/>
          <w:sz w:val="28"/>
        </w:rPr>
        <w:t>1. .合同制教师人员经费绩效目标表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val="0"/>
                <w:bCs/>
              </w:rPr>
            </w:pPr>
            <w:r>
              <w:rPr>
                <w:rFonts w:hint="eastAsia" w:ascii="仿宋_GB2312" w:hAnsi="仿宋_GB2312" w:eastAsia="仿宋_GB2312" w:cs="仿宋_GB2312"/>
                <w:b w:val="0"/>
                <w:bCs/>
              </w:rPr>
              <w:t>1.缓解教师短缺，保障教育教学正常的进行</w:t>
            </w:r>
            <w:r>
              <w:rPr>
                <w:rFonts w:hint="eastAsia" w:ascii="仿宋_GB2312" w:hAnsi="仿宋_GB2312" w:eastAsia="仿宋_GB2312" w:cs="仿宋_GB2312"/>
                <w:b w:val="0"/>
                <w:bCs/>
              </w:rPr>
              <w:tab/>
            </w:r>
            <w:r>
              <w:rPr>
                <w:rFonts w:hint="eastAsia" w:ascii="仿宋_GB2312" w:hAnsi="仿宋_GB2312" w:eastAsia="仿宋_GB2312" w:cs="仿宋_GB2312"/>
                <w:b w:val="0"/>
                <w:bCs/>
              </w:rPr>
              <w:tab/>
            </w:r>
            <w:r>
              <w:rPr>
                <w:rFonts w:hint="eastAsia" w:ascii="仿宋_GB2312" w:hAnsi="仿宋_GB2312" w:eastAsia="仿宋_GB2312" w:cs="仿宋_GB2312"/>
                <w:b w:val="0"/>
                <w:bCs/>
              </w:rPr>
              <w:tab/>
            </w:r>
            <w:r>
              <w:rPr>
                <w:rFonts w:hint="eastAsia" w:ascii="仿宋_GB2312" w:hAnsi="仿宋_GB2312" w:eastAsia="仿宋_GB2312" w:cs="仿宋_GB2312"/>
                <w:b w:val="0"/>
                <w:bCs/>
              </w:rPr>
              <w:tab/>
            </w:r>
            <w:r>
              <w:rPr>
                <w:rFonts w:hint="eastAsia" w:ascii="仿宋_GB2312" w:hAnsi="仿宋_GB2312" w:eastAsia="仿宋_GB2312" w:cs="仿宋_GB2312"/>
                <w:b w:val="0"/>
                <w:bCs/>
              </w:rPr>
              <w:tab/>
            </w:r>
          </w:p>
          <w:p>
            <w:pPr>
              <w:spacing w:line="300" w:lineRule="exact"/>
              <w:rPr>
                <w:rFonts w:hint="eastAsia" w:ascii="仿宋_GB2312" w:hAnsi="仿宋_GB2312" w:eastAsia="仿宋_GB2312" w:cs="仿宋_GB2312"/>
                <w:b w:val="0"/>
                <w:bCs/>
              </w:rPr>
            </w:pPr>
            <w:r>
              <w:rPr>
                <w:rFonts w:hint="eastAsia" w:ascii="仿宋_GB2312" w:hAnsi="仿宋_GB2312" w:eastAsia="仿宋_GB2312" w:cs="仿宋_GB2312"/>
                <w:b w:val="0"/>
                <w:bCs/>
              </w:rPr>
              <w:t>2.保障合同制教师工资福利待遇，并及时发放。</w:t>
            </w:r>
          </w:p>
          <w:p>
            <w:pPr>
              <w:spacing w:line="300" w:lineRule="exact"/>
              <w:rPr>
                <w:rFonts w:hint="eastAsia" w:ascii="仿宋_GB2312" w:hAnsi="仿宋_GB2312" w:eastAsia="仿宋_GB2312" w:cs="仿宋_GB2312"/>
                <w:b w:val="0"/>
                <w:bCs/>
              </w:rPr>
            </w:pPr>
            <w:r>
              <w:rPr>
                <w:rFonts w:hint="eastAsia" w:ascii="仿宋_GB2312" w:hAnsi="仿宋_GB2312" w:eastAsia="仿宋_GB2312" w:cs="仿宋_GB2312"/>
                <w:b w:val="0"/>
                <w:bCs/>
              </w:rPr>
              <w:t>3.学生、学校、家长对合同制教师的满意度达到95%以上</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b w:val="0"/>
                <w:bCs/>
              </w:rPr>
              <w:t>4.保障教学质量，提升教育水平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15人工资福利</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15人</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3"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340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84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缓解</w:t>
            </w:r>
          </w:p>
        </w:tc>
        <w:tc>
          <w:tcPr>
            <w:tcW w:w="215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340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所教幼儿园班级学生满意度</w:t>
            </w:r>
          </w:p>
        </w:tc>
        <w:tc>
          <w:tcPr>
            <w:tcW w:w="184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340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在园教师满意度</w:t>
            </w:r>
          </w:p>
        </w:tc>
        <w:tc>
          <w:tcPr>
            <w:tcW w:w="184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 幼儿园生均经费绩效目标表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156"/>
        <w:gridCol w:w="2350"/>
        <w:gridCol w:w="3867"/>
        <w:gridCol w:w="976"/>
        <w:gridCol w:w="4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643" w:type="dxa"/>
            <w:gridSpan w:val="5"/>
            <w:shd w:val="clear" w:color="auto" w:fill="auto"/>
            <w:vAlign w:val="center"/>
          </w:tcPr>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1.我园2022在园幼儿130人，按照幼儿园生均公用经费标准申请财政预算资金，通过合理、合规使用资金达到保证幼儿园正常运转，改善办学条件，促进幼儿园教育发展。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15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35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86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97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429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15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数量指标</w:t>
            </w:r>
          </w:p>
        </w:tc>
        <w:tc>
          <w:tcPr>
            <w:tcW w:w="2350"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申请生均公用经费的幼儿人数</w:t>
            </w:r>
          </w:p>
        </w:tc>
        <w:tc>
          <w:tcPr>
            <w:tcW w:w="3867"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按文件要求申请生均公用经费的幼儿人数</w:t>
            </w:r>
          </w:p>
        </w:tc>
        <w:tc>
          <w:tcPr>
            <w:tcW w:w="97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130人</w:t>
            </w:r>
          </w:p>
        </w:tc>
        <w:tc>
          <w:tcPr>
            <w:tcW w:w="4294"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continue"/>
            <w:shd w:val="clear" w:color="auto" w:fill="auto"/>
            <w:vAlign w:val="center"/>
          </w:tcPr>
          <w:p/>
        </w:tc>
        <w:tc>
          <w:tcPr>
            <w:tcW w:w="115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质量指标</w:t>
            </w:r>
          </w:p>
        </w:tc>
        <w:tc>
          <w:tcPr>
            <w:tcW w:w="2350"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生均公用经费使用的合规率</w:t>
            </w:r>
          </w:p>
        </w:tc>
        <w:tc>
          <w:tcPr>
            <w:tcW w:w="3867"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生均公用经费使用符合文件中的相关规定</w:t>
            </w:r>
          </w:p>
        </w:tc>
        <w:tc>
          <w:tcPr>
            <w:tcW w:w="97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100%</w:t>
            </w:r>
          </w:p>
        </w:tc>
        <w:tc>
          <w:tcPr>
            <w:tcW w:w="4294"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continue"/>
            <w:shd w:val="clear" w:color="auto" w:fill="auto"/>
            <w:vAlign w:val="center"/>
          </w:tcPr>
          <w:p/>
        </w:tc>
        <w:tc>
          <w:tcPr>
            <w:tcW w:w="115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时效指标</w:t>
            </w:r>
          </w:p>
        </w:tc>
        <w:tc>
          <w:tcPr>
            <w:tcW w:w="2350"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用于保障幼儿园正常运转项目完成及时率</w:t>
            </w:r>
          </w:p>
        </w:tc>
        <w:tc>
          <w:tcPr>
            <w:tcW w:w="3867"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使用生均公用经费，用于保障幼儿园正常运转的项目完成情况</w:t>
            </w:r>
          </w:p>
        </w:tc>
        <w:tc>
          <w:tcPr>
            <w:tcW w:w="97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100%</w:t>
            </w:r>
          </w:p>
        </w:tc>
        <w:tc>
          <w:tcPr>
            <w:tcW w:w="4294"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continue"/>
            <w:shd w:val="clear" w:color="auto" w:fill="auto"/>
            <w:vAlign w:val="center"/>
          </w:tcPr>
          <w:p/>
        </w:tc>
        <w:tc>
          <w:tcPr>
            <w:tcW w:w="115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成本指标</w:t>
            </w:r>
          </w:p>
        </w:tc>
        <w:tc>
          <w:tcPr>
            <w:tcW w:w="2350"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使用生均公用经费，用于保障幼儿园正常运转的项目支出成本</w:t>
            </w:r>
          </w:p>
        </w:tc>
        <w:tc>
          <w:tcPr>
            <w:tcW w:w="3867"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使用生均公用经费，用于保障幼儿园正常运转的项目支出成本等于400元/生</w:t>
            </w:r>
          </w:p>
        </w:tc>
        <w:tc>
          <w:tcPr>
            <w:tcW w:w="97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400元/生</w:t>
            </w:r>
          </w:p>
        </w:tc>
        <w:tc>
          <w:tcPr>
            <w:tcW w:w="4294" w:type="dxa"/>
            <w:shd w:val="clear" w:color="auto" w:fill="auto"/>
          </w:tcPr>
          <w:p>
            <w:pPr>
              <w:rPr>
                <w:rFonts w:ascii="Times New Roman" w:hAnsi="Times New Roman" w:eastAsia="仿宋_GB2312" w:cs="Times New Roman"/>
              </w:rPr>
            </w:pPr>
            <w:r>
              <w:rPr>
                <w:rFonts w:hint="eastAsia" w:ascii="Times New Roman" w:hAnsi="Times New Roman" w:eastAsia="仿宋_GB2312" w:cs="Times New Roma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3" w:hRule="atLeast"/>
          <w:jc w:val="center"/>
        </w:trPr>
        <w:tc>
          <w:tcPr>
            <w:tcW w:w="141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15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社会效益指标</w:t>
            </w:r>
          </w:p>
        </w:tc>
        <w:tc>
          <w:tcPr>
            <w:tcW w:w="2350"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学前教育高质量发展</w:t>
            </w:r>
          </w:p>
        </w:tc>
        <w:tc>
          <w:tcPr>
            <w:tcW w:w="3867"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该资金用于幼儿园正常运转，改善办学条件，促进学前教育均衡发展及学生素质提高</w:t>
            </w:r>
          </w:p>
        </w:tc>
        <w:tc>
          <w:tcPr>
            <w:tcW w:w="97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支持</w:t>
            </w:r>
          </w:p>
        </w:tc>
        <w:tc>
          <w:tcPr>
            <w:tcW w:w="4294" w:type="dxa"/>
            <w:shd w:val="clear" w:color="auto" w:fill="auto"/>
          </w:tcPr>
          <w:p>
            <w:pPr>
              <w:rPr>
                <w:rFonts w:ascii="Times New Roman" w:hAnsi="Times New Roman" w:eastAsia="仿宋_GB2312" w:cs="Times New Roman"/>
              </w:rPr>
            </w:pPr>
            <w:r>
              <w:rPr>
                <w:rFonts w:hint="eastAsia" w:ascii="Times New Roman" w:hAnsi="Times New Roman" w:eastAsia="仿宋_GB2312" w:cs="Times New Roma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15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服务对象满意度指标</w:t>
            </w:r>
          </w:p>
        </w:tc>
        <w:tc>
          <w:tcPr>
            <w:tcW w:w="2350"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在园师生满意度</w:t>
            </w:r>
          </w:p>
        </w:tc>
        <w:tc>
          <w:tcPr>
            <w:tcW w:w="3867"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在园师生满意度</w:t>
            </w:r>
          </w:p>
        </w:tc>
        <w:tc>
          <w:tcPr>
            <w:tcW w:w="97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≥90%</w:t>
            </w:r>
          </w:p>
        </w:tc>
        <w:tc>
          <w:tcPr>
            <w:tcW w:w="4294" w:type="dxa"/>
            <w:shd w:val="clear" w:color="auto" w:fill="auto"/>
          </w:tcPr>
          <w:p>
            <w:pPr>
              <w:rPr>
                <w:rFonts w:ascii="Times New Roman" w:hAnsi="Times New Roman" w:eastAsia="仿宋_GB2312" w:cs="Times New Roman"/>
              </w:rPr>
            </w:pPr>
            <w:r>
              <w:rPr>
                <w:rFonts w:hint="eastAsia" w:ascii="Times New Roman" w:hAnsi="Times New Roman" w:eastAsia="仿宋_GB2312" w:cs="Times New Roman"/>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rPr>
        <w:t>部门政府采购预算</w:t>
      </w:r>
      <w:bookmarkEnd w:id="1"/>
    </w:p>
    <w:p>
      <w:pPr>
        <w:outlineLvl w:val="1"/>
        <w:rPr>
          <w:rFonts w:ascii="方正小标宋_GBK" w:eastAsia="方正小标宋_GBK" w:cs="Times New Roman"/>
          <w:sz w:val="32"/>
        </w:rPr>
      </w:pPr>
      <w:r>
        <w:t>廊坊市</w:t>
      </w:r>
      <w:r>
        <w:rPr>
          <w:rFonts w:hint="eastAsia"/>
        </w:rPr>
        <w:t>广阳区第九幼儿园</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061" w:type="dxa"/>
            <w:gridSpan w:val="2"/>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政府采购项目来源</w:t>
            </w:r>
          </w:p>
        </w:tc>
        <w:tc>
          <w:tcPr>
            <w:tcW w:w="1134"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采购物品名称</w:t>
            </w:r>
          </w:p>
        </w:tc>
        <w:tc>
          <w:tcPr>
            <w:tcW w:w="1134"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政府采购目录序号</w:t>
            </w:r>
          </w:p>
        </w:tc>
        <w:tc>
          <w:tcPr>
            <w:tcW w:w="709"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计量  单位</w:t>
            </w:r>
          </w:p>
        </w:tc>
        <w:tc>
          <w:tcPr>
            <w:tcW w:w="850"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数量</w:t>
            </w:r>
          </w:p>
        </w:tc>
        <w:tc>
          <w:tcPr>
            <w:tcW w:w="850"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单价</w:t>
            </w:r>
          </w:p>
        </w:tc>
        <w:tc>
          <w:tcPr>
            <w:tcW w:w="7712" w:type="dxa"/>
            <w:gridSpan w:val="8"/>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政府采购金额（当年部门预算安排资金）</w:t>
            </w:r>
          </w:p>
        </w:tc>
        <w:tc>
          <w:tcPr>
            <w:tcW w:w="964"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097"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项目名称</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预算    资金</w:t>
            </w:r>
          </w:p>
        </w:tc>
        <w:tc>
          <w:tcPr>
            <w:tcW w:w="1134" w:type="dxa"/>
            <w:vMerge w:val="continue"/>
          </w:tcPr>
          <w:p>
            <w:pPr>
              <w:keepNext w:val="0"/>
              <w:keepLines w:val="0"/>
              <w:pageBreakBefore w:val="0"/>
              <w:kinsoku/>
              <w:wordWrap/>
              <w:overflowPunct/>
              <w:topLinePunct w:val="0"/>
              <w:autoSpaceDE/>
              <w:autoSpaceDN/>
              <w:bidi w:val="0"/>
              <w:adjustRightInd/>
              <w:snapToGrid/>
              <w:spacing w:line="240" w:lineRule="exact"/>
              <w:textAlignment w:val="auto"/>
            </w:pPr>
          </w:p>
        </w:tc>
        <w:tc>
          <w:tcPr>
            <w:tcW w:w="1134" w:type="dxa"/>
            <w:vMerge w:val="continue"/>
          </w:tcPr>
          <w:p>
            <w:pPr>
              <w:keepNext w:val="0"/>
              <w:keepLines w:val="0"/>
              <w:pageBreakBefore w:val="0"/>
              <w:kinsoku/>
              <w:wordWrap/>
              <w:overflowPunct/>
              <w:topLinePunct w:val="0"/>
              <w:autoSpaceDE/>
              <w:autoSpaceDN/>
              <w:bidi w:val="0"/>
              <w:adjustRightInd/>
              <w:snapToGrid/>
              <w:spacing w:line="240" w:lineRule="exact"/>
              <w:textAlignment w:val="auto"/>
            </w:pPr>
          </w:p>
        </w:tc>
        <w:tc>
          <w:tcPr>
            <w:tcW w:w="709" w:type="dxa"/>
            <w:vMerge w:val="continue"/>
          </w:tcPr>
          <w:p>
            <w:pPr>
              <w:keepNext w:val="0"/>
              <w:keepLines w:val="0"/>
              <w:pageBreakBefore w:val="0"/>
              <w:kinsoku/>
              <w:wordWrap/>
              <w:overflowPunct/>
              <w:topLinePunct w:val="0"/>
              <w:autoSpaceDE/>
              <w:autoSpaceDN/>
              <w:bidi w:val="0"/>
              <w:adjustRightInd/>
              <w:snapToGrid/>
              <w:spacing w:line="240" w:lineRule="exact"/>
              <w:textAlignment w:val="auto"/>
            </w:pPr>
          </w:p>
        </w:tc>
        <w:tc>
          <w:tcPr>
            <w:tcW w:w="850" w:type="dxa"/>
            <w:vMerge w:val="continue"/>
          </w:tcPr>
          <w:p>
            <w:pPr>
              <w:keepNext w:val="0"/>
              <w:keepLines w:val="0"/>
              <w:pageBreakBefore w:val="0"/>
              <w:kinsoku/>
              <w:wordWrap/>
              <w:overflowPunct/>
              <w:topLinePunct w:val="0"/>
              <w:autoSpaceDE/>
              <w:autoSpaceDN/>
              <w:bidi w:val="0"/>
              <w:adjustRightInd/>
              <w:snapToGrid/>
              <w:spacing w:line="240" w:lineRule="exact"/>
              <w:textAlignment w:val="auto"/>
            </w:pPr>
          </w:p>
        </w:tc>
        <w:tc>
          <w:tcPr>
            <w:tcW w:w="850" w:type="dxa"/>
            <w:vMerge w:val="continue"/>
          </w:tcPr>
          <w:p>
            <w:pPr>
              <w:keepNext w:val="0"/>
              <w:keepLines w:val="0"/>
              <w:pageBreakBefore w:val="0"/>
              <w:kinsoku/>
              <w:wordWrap/>
              <w:overflowPunct/>
              <w:topLinePunct w:val="0"/>
              <w:autoSpaceDE/>
              <w:autoSpaceDN/>
              <w:bidi w:val="0"/>
              <w:adjustRightInd/>
              <w:snapToGrid/>
              <w:spacing w:line="240" w:lineRule="exact"/>
              <w:textAlignment w:val="auto"/>
            </w:pP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合计</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一般公共预算拨款</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基金预算拨款</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国有资本经营预算拨款</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财政专户核拨</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单位    资金</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财政拨    款结转</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非财政    拨款结    转结余</w:t>
            </w:r>
          </w:p>
        </w:tc>
        <w:tc>
          <w:tcPr>
            <w:tcW w:w="964" w:type="dxa"/>
            <w:vMerge w:val="continue"/>
          </w:tcPr>
          <w:p>
            <w:pPr>
              <w:keepNext w:val="0"/>
              <w:keepLines w:val="0"/>
              <w:pageBreakBefore w:val="0"/>
              <w:kinsoku/>
              <w:wordWrap/>
              <w:overflowPunct/>
              <w:topLinePunct w:val="0"/>
              <w:autoSpaceDE/>
              <w:autoSpaceDN/>
              <w:bidi w:val="0"/>
              <w:adjustRightInd/>
              <w:snapToGrid/>
              <w:spacing w:line="2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rPr>
                <w:rFonts w:hint="eastAsia"/>
                <w:lang w:eastAsia="zh-CN"/>
              </w:rPr>
            </w:pPr>
            <w:r>
              <w:rPr>
                <w:rFonts w:hint="eastAsia"/>
                <w:lang w:eastAsia="zh-CN"/>
              </w:rPr>
              <w:t>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w:t>
      </w:r>
      <w:r>
        <w:rPr>
          <w:rFonts w:hint="eastAsia" w:ascii="Times New Roman" w:hAnsi="Times New Roman" w:eastAsia="仿宋_GB2312" w:cs="Times New Roman"/>
          <w:sz w:val="32"/>
          <w:szCs w:val="32"/>
        </w:rPr>
        <w:t>市广阳区</w:t>
      </w:r>
      <w:r>
        <w:rPr>
          <w:rFonts w:ascii="Times New Roman" w:hAnsi="Times New Roman" w:eastAsia="仿宋_GB2312" w:cs="Times New Roman"/>
          <w:sz w:val="32"/>
          <w:szCs w:val="32"/>
        </w:rPr>
        <w:t>第九幼儿（含所属单位）上年末固定资产金额为0万元。</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广阳区第九幼儿园</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5</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87CE2"/>
    <w:multiLevelType w:val="singleLevel"/>
    <w:tmpl w:val="57F87CE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1438F"/>
    <w:rsid w:val="000230E6"/>
    <w:rsid w:val="000E6AAC"/>
    <w:rsid w:val="000F6018"/>
    <w:rsid w:val="00145ACF"/>
    <w:rsid w:val="00161684"/>
    <w:rsid w:val="001F4C36"/>
    <w:rsid w:val="0025632D"/>
    <w:rsid w:val="002600DD"/>
    <w:rsid w:val="002E1739"/>
    <w:rsid w:val="003059E0"/>
    <w:rsid w:val="00331CEA"/>
    <w:rsid w:val="004A54AA"/>
    <w:rsid w:val="004C190D"/>
    <w:rsid w:val="00501798"/>
    <w:rsid w:val="006A73B9"/>
    <w:rsid w:val="007130CF"/>
    <w:rsid w:val="00722FD3"/>
    <w:rsid w:val="007B5D93"/>
    <w:rsid w:val="008559EE"/>
    <w:rsid w:val="0087635B"/>
    <w:rsid w:val="008F54DF"/>
    <w:rsid w:val="00904C59"/>
    <w:rsid w:val="00944233"/>
    <w:rsid w:val="0095476F"/>
    <w:rsid w:val="00B40732"/>
    <w:rsid w:val="00B80935"/>
    <w:rsid w:val="00D20C76"/>
    <w:rsid w:val="00D347CC"/>
    <w:rsid w:val="00D67D01"/>
    <w:rsid w:val="00DC72B4"/>
    <w:rsid w:val="00E50E33"/>
    <w:rsid w:val="00E97D5B"/>
    <w:rsid w:val="00EC513B"/>
    <w:rsid w:val="00F52C17"/>
    <w:rsid w:val="00F84F0E"/>
    <w:rsid w:val="0CEC1180"/>
    <w:rsid w:val="18600E68"/>
    <w:rsid w:val="4B5662AC"/>
    <w:rsid w:val="61B95FBE"/>
    <w:rsid w:val="73693C55"/>
    <w:rsid w:val="73DE10D3"/>
    <w:rsid w:val="743A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839</Words>
  <Characters>4788</Characters>
  <Lines>39</Lines>
  <Paragraphs>11</Paragraphs>
  <TotalTime>0</TotalTime>
  <ScaleCrop>false</ScaleCrop>
  <LinksUpToDate>false</LinksUpToDate>
  <CharactersWithSpaces>5616</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2022-07-07T02:00:11Z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C1243CD6D9864F279C3808332F51B170</vt:lpwstr>
  </property>
</Properties>
</file>