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新世纪步行街服务中心</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广阳区新世纪步行街服务中心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楷体_GB2312" w:cs="Times New Roman"/>
          <w:b/>
          <w:sz w:val="32"/>
          <w:szCs w:val="32"/>
        </w:rPr>
      </w:pPr>
      <w:r>
        <w:rPr>
          <w:rFonts w:hint="eastAsia" w:ascii="仿宋_GB2312" w:eastAsia="仿宋_GB2312" w:cs="Arial Black"/>
          <w:kern w:val="0"/>
          <w:sz w:val="32"/>
          <w:szCs w:val="32"/>
        </w:rPr>
        <w:t>贯彻落实上级党委、政府和区委、区政府关于步行街发展工作的方针政策和决策部署，坚持和加强党对步行街发展工作的集中统一领导。主要职责是：</w:t>
      </w:r>
    </w:p>
    <w:p>
      <w:pPr>
        <w:pStyle w:val="22"/>
        <w:numPr>
          <w:ilvl w:val="0"/>
          <w:numId w:val="1"/>
        </w:numPr>
        <w:spacing w:line="584" w:lineRule="exact"/>
        <w:ind w:firstLineChars="0"/>
        <w:rPr>
          <w:rFonts w:ascii="Times New Roman" w:hAnsi="Times New Roman" w:eastAsia="楷体_GB2312" w:cs="Times New Roman"/>
          <w:b/>
          <w:sz w:val="32"/>
          <w:szCs w:val="32"/>
        </w:rPr>
      </w:pPr>
      <w:r>
        <w:rPr>
          <w:rFonts w:hint="eastAsia" w:ascii="仿宋_GB2312" w:eastAsia="仿宋_GB2312" w:cs="Arial Black"/>
          <w:kern w:val="0"/>
          <w:sz w:val="32"/>
          <w:szCs w:val="32"/>
        </w:rPr>
        <w:t>负责步行街界定范围内的日常服务工作。</w:t>
      </w:r>
    </w:p>
    <w:p>
      <w:pPr>
        <w:pStyle w:val="22"/>
        <w:numPr>
          <w:ilvl w:val="0"/>
          <w:numId w:val="1"/>
        </w:numPr>
        <w:spacing w:line="584" w:lineRule="exact"/>
        <w:ind w:firstLineChars="0"/>
        <w:rPr>
          <w:rFonts w:ascii="Times New Roman" w:hAnsi="Times New Roman" w:eastAsia="楷体_GB2312" w:cs="Times New Roman"/>
          <w:b/>
          <w:sz w:val="32"/>
          <w:szCs w:val="32"/>
        </w:rPr>
      </w:pPr>
      <w:r>
        <w:rPr>
          <w:rFonts w:hint="eastAsia" w:ascii="仿宋_GB2312" w:eastAsia="仿宋_GB2312" w:cs="Arial Black"/>
          <w:kern w:val="0"/>
          <w:sz w:val="32"/>
          <w:szCs w:val="32"/>
        </w:rPr>
        <w:t>负责开展调查研究，及时向区政府提出步行街发展意见，为领导决策服务；积极推动商业业态调整，促进商业结构上档升级。</w:t>
      </w:r>
    </w:p>
    <w:p>
      <w:pPr>
        <w:pStyle w:val="22"/>
        <w:numPr>
          <w:ilvl w:val="0"/>
          <w:numId w:val="1"/>
        </w:numPr>
        <w:spacing w:line="584" w:lineRule="exact"/>
        <w:ind w:firstLineChars="0"/>
        <w:rPr>
          <w:rFonts w:ascii="Times New Roman" w:hAnsi="Times New Roman" w:eastAsia="楷体_GB2312" w:cs="Times New Roman"/>
          <w:b/>
          <w:sz w:val="32"/>
          <w:szCs w:val="32"/>
        </w:rPr>
      </w:pPr>
      <w:r>
        <w:rPr>
          <w:rFonts w:hint="eastAsia" w:ascii="仿宋_GB2312" w:eastAsia="仿宋_GB2312" w:cs="Arial Black"/>
          <w:kern w:val="0"/>
          <w:sz w:val="32"/>
          <w:szCs w:val="32"/>
        </w:rPr>
        <w:t>负责协调步行街招商引资和涉外经济服务活动；为投资企业、商户办理证照等相关事宜提供服务。</w:t>
      </w:r>
    </w:p>
    <w:p>
      <w:pPr>
        <w:keepNext/>
        <w:keepLines/>
        <w:numPr>
          <w:ilvl w:val="0"/>
          <w:numId w:val="1"/>
        </w:numPr>
        <w:spacing w:line="580" w:lineRule="exact"/>
        <w:ind w:firstLine="640" w:firstLineChars="200"/>
        <w:jc w:val="left"/>
        <w:outlineLvl w:val="0"/>
        <w:rPr>
          <w:rFonts w:ascii="仿宋_GB2312" w:eastAsia="仿宋_GB2312" w:cs="Arial Black"/>
          <w:kern w:val="0"/>
          <w:sz w:val="32"/>
          <w:szCs w:val="32"/>
        </w:rPr>
      </w:pPr>
      <w:r>
        <w:rPr>
          <w:rFonts w:hint="eastAsia" w:ascii="仿宋_GB2312" w:eastAsia="仿宋_GB2312" w:cs="Arial Black"/>
          <w:kern w:val="0"/>
          <w:sz w:val="32"/>
          <w:szCs w:val="32"/>
        </w:rPr>
        <w:t>负责协助步行街社会治安、市容环境、道路交通、市政设施、市场监督管理等行政执法服务工作。</w:t>
      </w:r>
    </w:p>
    <w:p>
      <w:pPr>
        <w:keepNext/>
        <w:keepLines/>
        <w:numPr>
          <w:ilvl w:val="0"/>
          <w:numId w:val="1"/>
        </w:numPr>
        <w:spacing w:line="580" w:lineRule="exact"/>
        <w:ind w:firstLine="640" w:firstLineChars="200"/>
        <w:jc w:val="left"/>
        <w:outlineLvl w:val="0"/>
        <w:rPr>
          <w:rFonts w:ascii="仿宋_GB2312" w:eastAsia="仿宋_GB2312" w:cs="Arial Black"/>
          <w:kern w:val="0"/>
          <w:sz w:val="32"/>
          <w:szCs w:val="32"/>
        </w:rPr>
      </w:pPr>
      <w:r>
        <w:rPr>
          <w:rFonts w:hint="eastAsia" w:ascii="仿宋_GB2312" w:eastAsia="仿宋_GB2312" w:cs="Arial Black"/>
          <w:kern w:val="0"/>
          <w:sz w:val="32"/>
          <w:szCs w:val="32"/>
        </w:rPr>
        <w:t>负责协调税务、金融、保险、自然资源、生态环境、邮政、电信、文化、新闻出版、物业等服务工作。</w:t>
      </w:r>
    </w:p>
    <w:p>
      <w:pPr>
        <w:keepNext/>
        <w:keepLines/>
        <w:numPr>
          <w:ilvl w:val="0"/>
          <w:numId w:val="1"/>
        </w:numPr>
        <w:spacing w:line="580" w:lineRule="exact"/>
        <w:ind w:firstLine="640" w:firstLineChars="200"/>
        <w:jc w:val="left"/>
        <w:outlineLvl w:val="0"/>
        <w:rPr>
          <w:rFonts w:ascii="仿宋_GB2312" w:eastAsia="仿宋_GB2312" w:cs="Arial Black"/>
          <w:kern w:val="0"/>
          <w:sz w:val="32"/>
          <w:szCs w:val="32"/>
        </w:rPr>
      </w:pPr>
      <w:r>
        <w:rPr>
          <w:rFonts w:hint="eastAsia" w:ascii="仿宋_GB2312" w:eastAsia="仿宋_GB2312" w:cs="Arial Black"/>
          <w:kern w:val="0"/>
          <w:sz w:val="32"/>
          <w:szCs w:val="32"/>
        </w:rPr>
        <w:t>负责步行街内的环卫、绿化、市政维修等综合服务工作。</w:t>
      </w:r>
    </w:p>
    <w:p>
      <w:pPr>
        <w:keepNext/>
        <w:keepLines/>
        <w:numPr>
          <w:ilvl w:val="0"/>
          <w:numId w:val="1"/>
        </w:numPr>
        <w:spacing w:line="580" w:lineRule="exact"/>
        <w:ind w:firstLine="640" w:firstLineChars="200"/>
        <w:jc w:val="left"/>
        <w:outlineLvl w:val="0"/>
        <w:rPr>
          <w:rFonts w:ascii="仿宋_GB2312" w:eastAsia="仿宋_GB2312" w:cs="Arial Black"/>
          <w:kern w:val="0"/>
          <w:sz w:val="32"/>
          <w:szCs w:val="32"/>
        </w:rPr>
      </w:pPr>
      <w:r>
        <w:rPr>
          <w:rFonts w:hint="eastAsia" w:ascii="仿宋_GB2312" w:eastAsia="仿宋_GB2312" w:cs="Arial Black"/>
          <w:kern w:val="0"/>
          <w:sz w:val="32"/>
          <w:szCs w:val="32"/>
        </w:rPr>
        <w:t>承担区委、区政府交办的其他事项。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11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275"/>
        <w:gridCol w:w="1418"/>
        <w:gridCol w:w="3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66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275"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1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74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668" w:type="dxa"/>
            <w:vMerge w:val="continue"/>
            <w:shd w:val="clear" w:color="auto" w:fill="auto"/>
            <w:vAlign w:val="center"/>
          </w:tcPr>
          <w:p/>
        </w:tc>
        <w:tc>
          <w:tcPr>
            <w:tcW w:w="1275" w:type="dxa"/>
            <w:vMerge w:val="continue"/>
            <w:shd w:val="clear" w:color="auto" w:fill="auto"/>
            <w:vAlign w:val="center"/>
          </w:tcPr>
          <w:p/>
        </w:tc>
        <w:tc>
          <w:tcPr>
            <w:tcW w:w="1418" w:type="dxa"/>
            <w:vMerge w:val="continue"/>
            <w:shd w:val="clear" w:color="auto" w:fill="auto"/>
            <w:vAlign w:val="center"/>
          </w:tcPr>
          <w:p/>
        </w:tc>
        <w:tc>
          <w:tcPr>
            <w:tcW w:w="3741"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668"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廊坊市广阳区新世纪步行街服务中心</w:t>
            </w:r>
          </w:p>
        </w:tc>
        <w:tc>
          <w:tcPr>
            <w:tcW w:w="1275"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418"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3741"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广阳区新世纪步行街服务中心</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178.83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178.83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广阳区新世纪步行街服务中心2022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178.83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178.83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160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18.83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178.83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4.36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4.36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一般公共服务</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18.83</w:t>
      </w:r>
      <w:r>
        <w:rPr>
          <w:rFonts w:ascii="Times New Roman" w:hAnsi="Times New Roman" w:eastAsia="仿宋_GB2312" w:cs="Times New Roman"/>
          <w:sz w:val="32"/>
          <w:szCs w:val="32"/>
        </w:rPr>
        <w:t>万元，主要用于廊坊市</w:t>
      </w:r>
      <w:r>
        <w:rPr>
          <w:rFonts w:hint="eastAsia" w:ascii="Times New Roman" w:hAnsi="Times New Roman" w:eastAsia="仿宋_GB2312" w:cs="Times New Roman"/>
          <w:sz w:val="32"/>
          <w:szCs w:val="32"/>
        </w:rPr>
        <w:t>广阳区新世纪步行街服务中心</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widowControl w:val="0"/>
        <w:kinsoku/>
        <w:wordWrap/>
        <w:topLinePunct w:val="0"/>
        <w:autoSpaceDE/>
        <w:autoSpaceDN/>
        <w:bidi w:val="0"/>
        <w:spacing w:line="584" w:lineRule="exact"/>
        <w:textAlignment w:val="auto"/>
      </w:pPr>
      <w:r>
        <w:rPr>
          <w:rFonts w:eastAsia="仿宋_GB2312"/>
          <w:sz w:val="32"/>
          <w:szCs w:val="32"/>
        </w:rPr>
        <w:t>以习近平新时代中国特色社会主义思想为指导，全面贯彻落实党的十九大、十九届二中、三中、四中、六中全会精神，切实增强“四个意识”，坚定落实“两个维护”，进一步推动重点项目建设，切实改善街区环境，维护社会和谐稳定，巩固良好政治生态，有效促进街区平稳发展，全力打造有活力的新街区。</w:t>
      </w:r>
    </w:p>
    <w:p>
      <w:pPr>
        <w:keepNext w:val="0"/>
        <w:keepLines w:val="0"/>
        <w:pageBreakBefore w:val="0"/>
        <w:widowControl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hint="eastAsia" w:eastAsia="仿宋_GB2312"/>
          <w:sz w:val="32"/>
          <w:szCs w:val="32"/>
        </w:rPr>
        <w:t>1、</w:t>
      </w:r>
      <w:r>
        <w:rPr>
          <w:rFonts w:eastAsia="仿宋_GB2312"/>
          <w:sz w:val="32"/>
          <w:szCs w:val="32"/>
        </w:rPr>
        <w:t>人员类支出绩效目标主要用于人员工资福利等支出，社会保障缴纳，进一步增强干部职工的归属感，保障办公正常运转。</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eastAsia="仿宋_GB2312"/>
          <w:sz w:val="32"/>
          <w:szCs w:val="32"/>
        </w:rPr>
        <w:t>数量指标  保障单位实有人数的各项工资、保险的发放缴纳</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eastAsia="仿宋_GB2312"/>
          <w:sz w:val="32"/>
          <w:szCs w:val="32"/>
        </w:rPr>
        <w:t>质量指标  社会保障准确缴纳</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hint="eastAsia" w:eastAsia="仿宋_GB2312"/>
          <w:sz w:val="32"/>
          <w:szCs w:val="32"/>
        </w:rPr>
        <w:t>时效</w:t>
      </w:r>
      <w:r>
        <w:rPr>
          <w:rFonts w:eastAsia="仿宋_GB2312"/>
          <w:sz w:val="32"/>
          <w:szCs w:val="32"/>
        </w:rPr>
        <w:t>指标  社会保障及时缴纳</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eastAsia="仿宋_GB2312"/>
          <w:sz w:val="32"/>
          <w:szCs w:val="32"/>
        </w:rPr>
        <w:t>成本指标  严格按照保障缴纳社会保障业务</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hint="eastAsia" w:eastAsia="仿宋_GB2312"/>
          <w:sz w:val="32"/>
          <w:szCs w:val="32"/>
        </w:rPr>
        <w:t>2</w:t>
      </w:r>
      <w:r>
        <w:rPr>
          <w:rFonts w:eastAsia="仿宋_GB2312"/>
          <w:sz w:val="32"/>
          <w:szCs w:val="32"/>
        </w:rPr>
        <w:t>、公用类支出绩效目标主要是经费保障工作，保障办公正常运转。</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eastAsia="仿宋_GB2312"/>
          <w:sz w:val="32"/>
          <w:szCs w:val="32"/>
        </w:rPr>
        <w:t>数量指标  保障单位实有人数的办公</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eastAsia="仿宋_GB2312"/>
          <w:sz w:val="32"/>
          <w:szCs w:val="32"/>
        </w:rPr>
        <w:t>质量指标  保障单位的运转</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eastAsia="仿宋_GB2312"/>
          <w:sz w:val="32"/>
          <w:szCs w:val="32"/>
        </w:rPr>
        <w:t>时效指标  及时保障日常工作经费的支出</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eastAsia="仿宋_GB2312"/>
          <w:sz w:val="32"/>
          <w:szCs w:val="32"/>
        </w:rPr>
        <w:t>成本指标  严格按照标准保障单位日常公用经费开支</w:t>
      </w:r>
    </w:p>
    <w:p>
      <w:pPr>
        <w:keepNext w:val="0"/>
        <w:keepLines w:val="0"/>
        <w:pageBreakBefore w:val="0"/>
        <w:widowControl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hint="eastAsia" w:eastAsia="仿宋_GB2312"/>
          <w:sz w:val="32"/>
          <w:szCs w:val="32"/>
        </w:rPr>
        <w:t>1、加强制度建设。围绕预算绩效管理的主要内容，研究制定本部门整体绩效目标，建立绩效运行“双监控”制度，健全目标管理、运行监控、绩效自评等管理制度体系。</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hint="eastAsia" w:eastAsia="仿宋_GB2312"/>
          <w:sz w:val="32"/>
          <w:szCs w:val="32"/>
        </w:rPr>
        <w:t>2、实施绩效监控。按照“双监控”要求，建立预算执行监控机制，一方面严格按照预算、用款计划、项目进度、有关合同办理资金制度，不得无故滞留、拖延，另一方面对绩效目标实现程度和预算支出进度进行监控，做到发现问题及时纠正，确保绩效目标如期实现。</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hint="eastAsia" w:eastAsia="仿宋_GB2312"/>
          <w:sz w:val="32"/>
          <w:szCs w:val="32"/>
        </w:rPr>
        <w:t>3、开展绩效评价。预算执行终了，对照设定目标及实现程度进行自评，及时分析原因并提出改进措施，并将此作为改进预算管理，优化支出的重要依据。</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hint="eastAsia" w:eastAsia="仿宋_GB2312"/>
          <w:sz w:val="32"/>
          <w:szCs w:val="32"/>
        </w:rPr>
        <w:t>4、规范财务管理，进一步完善财务管理制度，通过科学编制预算，优化支出结构，加快政府采购，加快项目建设，确保经费支出进度达到规定标准。</w:t>
      </w:r>
    </w:p>
    <w:p>
      <w:pPr>
        <w:pStyle w:val="20"/>
        <w:keepNext w:val="0"/>
        <w:keepLines w:val="0"/>
        <w:pageBreakBefore w:val="0"/>
        <w:widowControl w:val="0"/>
        <w:kinsoku/>
        <w:wordWrap/>
        <w:topLinePunct w:val="0"/>
        <w:autoSpaceDE/>
        <w:autoSpaceDN/>
        <w:bidi w:val="0"/>
        <w:spacing w:line="584" w:lineRule="exact"/>
        <w:textAlignment w:val="auto"/>
        <w:rPr>
          <w:rFonts w:eastAsia="仿宋_GB2312"/>
          <w:sz w:val="32"/>
          <w:szCs w:val="32"/>
        </w:rPr>
      </w:pPr>
      <w:r>
        <w:rPr>
          <w:rFonts w:hint="eastAsia" w:eastAsia="仿宋_GB2312"/>
          <w:sz w:val="32"/>
          <w:szCs w:val="32"/>
        </w:rPr>
        <w:t>5、加强内部监督。对绩效运行、重大支出事项、资产处置及其他重要经济业务事项决策和执行进度监督，定期开展财务内部审计，确保财政资金使用安全合规。</w:t>
      </w:r>
    </w:p>
    <w:p>
      <w:pPr>
        <w:pStyle w:val="20"/>
        <w:keepNext w:val="0"/>
        <w:keepLines w:val="0"/>
        <w:pageBreakBefore w:val="0"/>
        <w:widowControl w:val="0"/>
        <w:kinsoku/>
        <w:wordWrap/>
        <w:topLinePunct w:val="0"/>
        <w:autoSpaceDE/>
        <w:autoSpaceDN/>
        <w:bidi w:val="0"/>
        <w:spacing w:line="584" w:lineRule="exact"/>
        <w:textAlignment w:val="auto"/>
      </w:pPr>
      <w:r>
        <w:rPr>
          <w:rFonts w:hint="eastAsia" w:eastAsia="仿宋_GB2312"/>
          <w:sz w:val="32"/>
          <w:szCs w:val="32"/>
        </w:rPr>
        <w:t>6、加强宣传培训。加强人员培训，加大宣传力度，强化预算绩效管理意识，促进预算绩效管理水平提高。</w:t>
      </w:r>
    </w:p>
    <w:p>
      <w:pPr>
        <w:keepNext w:val="0"/>
        <w:keepLines w:val="0"/>
        <w:pageBreakBefore w:val="0"/>
        <w:widowControl w:val="0"/>
        <w:kinsoku/>
        <w:wordWrap/>
        <w:topLinePunct w:val="0"/>
        <w:autoSpaceDE/>
        <w:autoSpaceDN/>
        <w:bidi w:val="0"/>
        <w:spacing w:line="584" w:lineRule="exact"/>
        <w:jc w:val="center"/>
        <w:textAlignment w:val="auto"/>
      </w:pPr>
      <w:r>
        <w:rPr>
          <w:rFonts w:ascii="方正书宋_GBK" w:hAnsi="方正书宋_GBK" w:eastAsia="方正书宋_GBK" w:cs="方正书宋_GBK"/>
          <w:color w:val="000000"/>
        </w:rPr>
        <w:t xml:space="preserve"> </w:t>
      </w:r>
    </w:p>
    <w:p>
      <w:pPr>
        <w:keepNext w:val="0"/>
        <w:keepLines w:val="0"/>
        <w:pageBreakBefore w:val="0"/>
        <w:widowControl w:val="0"/>
        <w:kinsoku/>
        <w:wordWrap/>
        <w:overflowPunct w:val="0"/>
        <w:topLinePunct w:val="0"/>
        <w:autoSpaceDE/>
        <w:autoSpaceDN/>
        <w:bidi w:val="0"/>
        <w:adjustRightInd w:val="0"/>
        <w:snapToGrid w:val="0"/>
        <w:spacing w:after="156" w:afterLines="50" w:line="584" w:lineRule="exact"/>
        <w:ind w:firstLine="630" w:firstLineChars="196"/>
        <w:jc w:val="left"/>
        <w:textAlignment w:val="auto"/>
        <w:rPr>
          <w:rFonts w:ascii="楷体_GB2312" w:eastAsia="楷体_GB2312" w:cs="Times New Roman"/>
          <w:b/>
          <w:sz w:val="32"/>
          <w:szCs w:val="32"/>
        </w:rPr>
      </w:pPr>
    </w:p>
    <w:p>
      <w:pPr>
        <w:keepNext w:val="0"/>
        <w:keepLines w:val="0"/>
        <w:pageBreakBefore w:val="0"/>
        <w:widowControl w:val="0"/>
        <w:kinsoku/>
        <w:wordWrap/>
        <w:overflowPunct w:val="0"/>
        <w:topLinePunct w:val="0"/>
        <w:autoSpaceDE/>
        <w:autoSpaceDN/>
        <w:bidi w:val="0"/>
        <w:adjustRightInd w:val="0"/>
        <w:snapToGrid w:val="0"/>
        <w:spacing w:after="156" w:afterLines="50" w:line="584" w:lineRule="exact"/>
        <w:ind w:firstLine="630" w:firstLineChars="196"/>
        <w:jc w:val="left"/>
        <w:textAlignment w:val="auto"/>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564"/>
        <w:gridCol w:w="996"/>
        <w:gridCol w:w="1843"/>
        <w:gridCol w:w="2596"/>
        <w:gridCol w:w="4062"/>
        <w:gridCol w:w="487"/>
        <w:gridCol w:w="361"/>
        <w:gridCol w:w="1074"/>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02"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35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65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92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52"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687"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714"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02" w:type="pct"/>
            <w:vMerge w:val="continue"/>
            <w:tcBorders>
              <w:tl2br w:val="nil"/>
              <w:tr2bl w:val="nil"/>
            </w:tcBorders>
            <w:vAlign w:val="center"/>
          </w:tcPr>
          <w:p/>
        </w:tc>
        <w:tc>
          <w:tcPr>
            <w:tcW w:w="356" w:type="pct"/>
            <w:vMerge w:val="continue"/>
            <w:tcBorders>
              <w:tl2br w:val="nil"/>
              <w:tr2bl w:val="nil"/>
            </w:tcBorders>
            <w:vAlign w:val="center"/>
          </w:tcPr>
          <w:p/>
        </w:tc>
        <w:tc>
          <w:tcPr>
            <w:tcW w:w="659" w:type="pct"/>
            <w:vMerge w:val="continue"/>
            <w:tcBorders>
              <w:tl2br w:val="nil"/>
              <w:tr2bl w:val="nil"/>
            </w:tcBorders>
            <w:vAlign w:val="center"/>
          </w:tcPr>
          <w:p/>
        </w:tc>
        <w:tc>
          <w:tcPr>
            <w:tcW w:w="928" w:type="pct"/>
            <w:vMerge w:val="continue"/>
            <w:tcBorders>
              <w:tl2br w:val="nil"/>
              <w:tr2bl w:val="nil"/>
            </w:tcBorders>
            <w:vAlign w:val="center"/>
          </w:tcPr>
          <w:p/>
        </w:tc>
        <w:tc>
          <w:tcPr>
            <w:tcW w:w="1452" w:type="pct"/>
            <w:vMerge w:val="continue"/>
            <w:tcBorders>
              <w:tl2br w:val="nil"/>
              <w:tr2bl w:val="nil"/>
            </w:tcBorders>
            <w:vAlign w:val="center"/>
          </w:tcPr>
          <w:p/>
        </w:tc>
        <w:tc>
          <w:tcPr>
            <w:tcW w:w="174"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29"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84"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714"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1" w:hRule="atLeast"/>
          <w:jc w:val="center"/>
        </w:trPr>
        <w:tc>
          <w:tcPr>
            <w:tcW w:w="202" w:type="pct"/>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35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659"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保障人数</w:t>
            </w:r>
          </w:p>
        </w:tc>
        <w:tc>
          <w:tcPr>
            <w:tcW w:w="928"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完成绩效目标得15分</w:t>
            </w:r>
          </w:p>
        </w:tc>
        <w:tc>
          <w:tcPr>
            <w:tcW w:w="1452"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保障人数</w:t>
            </w:r>
          </w:p>
        </w:tc>
        <w:tc>
          <w:tcPr>
            <w:tcW w:w="174" w:type="pct"/>
            <w:tcBorders>
              <w:tl2br w:val="nil"/>
              <w:tr2bl w:val="nil"/>
            </w:tcBorders>
            <w:vAlign w:val="center"/>
          </w:tcPr>
          <w:p>
            <w:pPr>
              <w:widowControl/>
              <w:adjustRightInd w:val="0"/>
              <w:snapToGrid w:val="0"/>
              <w:jc w:val="center"/>
              <w:rPr>
                <w:rFonts w:ascii="仿宋" w:hAnsi="仿宋" w:eastAsia="仿宋"/>
                <w:szCs w:val="21"/>
              </w:rPr>
            </w:pPr>
            <w:r>
              <w:rPr>
                <w:rFonts w:hint="eastAsia" w:ascii="仿宋" w:hAnsi="仿宋" w:eastAsia="仿宋"/>
                <w:szCs w:val="21"/>
              </w:rPr>
              <w:t>=</w:t>
            </w:r>
          </w:p>
        </w:tc>
        <w:tc>
          <w:tcPr>
            <w:tcW w:w="129" w:type="pct"/>
            <w:tcBorders>
              <w:tl2br w:val="nil"/>
              <w:tr2bl w:val="nil"/>
            </w:tcBorders>
            <w:vAlign w:val="center"/>
          </w:tcPr>
          <w:p>
            <w:pPr>
              <w:widowControl/>
              <w:adjustRightInd w:val="0"/>
              <w:snapToGrid w:val="0"/>
              <w:jc w:val="center"/>
              <w:rPr>
                <w:rFonts w:ascii="仿宋" w:hAnsi="仿宋" w:eastAsia="仿宋"/>
                <w:szCs w:val="21"/>
              </w:rPr>
            </w:pPr>
            <w:r>
              <w:rPr>
                <w:rFonts w:hint="eastAsia" w:ascii="仿宋" w:hAnsi="仿宋" w:eastAsia="仿宋"/>
                <w:szCs w:val="21"/>
              </w:rPr>
              <w:t>13</w:t>
            </w:r>
          </w:p>
        </w:tc>
        <w:tc>
          <w:tcPr>
            <w:tcW w:w="384" w:type="pct"/>
            <w:tcBorders>
              <w:tl2br w:val="nil"/>
              <w:tr2bl w:val="nil"/>
            </w:tcBorders>
            <w:vAlign w:val="center"/>
          </w:tcPr>
          <w:p>
            <w:pPr>
              <w:widowControl/>
              <w:adjustRightInd w:val="0"/>
              <w:snapToGrid w:val="0"/>
              <w:jc w:val="center"/>
              <w:rPr>
                <w:rFonts w:ascii="仿宋" w:hAnsi="仿宋" w:eastAsia="仿宋"/>
                <w:szCs w:val="21"/>
              </w:rPr>
            </w:pPr>
            <w:r>
              <w:rPr>
                <w:rFonts w:hint="eastAsia" w:ascii="仿宋" w:hAnsi="仿宋" w:eastAsia="仿宋"/>
                <w:szCs w:val="21"/>
              </w:rPr>
              <w:t>人</w:t>
            </w:r>
          </w:p>
        </w:tc>
        <w:tc>
          <w:tcPr>
            <w:tcW w:w="71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单位实有人数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2" w:hRule="atLeast"/>
          <w:jc w:val="center"/>
        </w:trPr>
        <w:tc>
          <w:tcPr>
            <w:tcW w:w="202" w:type="pct"/>
            <w:vMerge w:val="continue"/>
            <w:tcBorders>
              <w:tl2br w:val="nil"/>
              <w:tr2bl w:val="nil"/>
            </w:tcBorders>
            <w:vAlign w:val="center"/>
          </w:tcPr>
          <w:p/>
        </w:tc>
        <w:tc>
          <w:tcPr>
            <w:tcW w:w="35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659"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运转保障率</w:t>
            </w:r>
          </w:p>
        </w:tc>
        <w:tc>
          <w:tcPr>
            <w:tcW w:w="928"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维持机关正常运转得15分</w:t>
            </w:r>
          </w:p>
        </w:tc>
        <w:tc>
          <w:tcPr>
            <w:tcW w:w="1452"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各项日常工作保障率</w:t>
            </w:r>
          </w:p>
        </w:tc>
        <w:tc>
          <w:tcPr>
            <w:tcW w:w="174" w:type="pct"/>
            <w:tcBorders>
              <w:tl2br w:val="nil"/>
              <w:tr2bl w:val="nil"/>
            </w:tcBorders>
            <w:vAlign w:val="center"/>
          </w:tcPr>
          <w:p>
            <w:pPr>
              <w:widowControl/>
              <w:adjustRightInd w:val="0"/>
              <w:snapToGrid w:val="0"/>
              <w:jc w:val="center"/>
              <w:rPr>
                <w:rFonts w:ascii="仿宋" w:hAnsi="仿宋" w:eastAsia="仿宋"/>
                <w:szCs w:val="21"/>
              </w:rPr>
            </w:pPr>
            <w:r>
              <w:rPr>
                <w:rFonts w:hint="eastAsia" w:ascii="仿宋" w:hAnsi="仿宋" w:eastAsia="仿宋"/>
                <w:szCs w:val="21"/>
              </w:rPr>
              <w:t>=</w:t>
            </w:r>
          </w:p>
        </w:tc>
        <w:tc>
          <w:tcPr>
            <w:tcW w:w="129" w:type="pct"/>
            <w:tcBorders>
              <w:tl2br w:val="nil"/>
              <w:tr2bl w:val="nil"/>
            </w:tcBorders>
            <w:vAlign w:val="center"/>
          </w:tcPr>
          <w:p>
            <w:pPr>
              <w:widowControl/>
              <w:adjustRightInd w:val="0"/>
              <w:snapToGrid w:val="0"/>
              <w:jc w:val="center"/>
              <w:rPr>
                <w:rFonts w:ascii="仿宋" w:hAnsi="仿宋" w:eastAsia="仿宋"/>
                <w:szCs w:val="21"/>
              </w:rPr>
            </w:pPr>
            <w:r>
              <w:rPr>
                <w:rFonts w:hint="eastAsia" w:ascii="仿宋" w:hAnsi="仿宋" w:eastAsia="仿宋"/>
                <w:szCs w:val="21"/>
              </w:rPr>
              <w:t>100</w:t>
            </w:r>
          </w:p>
        </w:tc>
        <w:tc>
          <w:tcPr>
            <w:tcW w:w="384" w:type="pct"/>
            <w:tcBorders>
              <w:tl2br w:val="nil"/>
              <w:tr2bl w:val="nil"/>
            </w:tcBorders>
            <w:vAlign w:val="center"/>
          </w:tcPr>
          <w:p>
            <w:pPr>
              <w:widowControl/>
              <w:adjustRightInd w:val="0"/>
              <w:snapToGrid w:val="0"/>
              <w:jc w:val="center"/>
              <w:rPr>
                <w:rFonts w:ascii="仿宋" w:hAnsi="仿宋" w:eastAsia="仿宋"/>
                <w:szCs w:val="21"/>
              </w:rPr>
            </w:pPr>
            <w:r>
              <w:rPr>
                <w:rFonts w:hint="eastAsia" w:ascii="仿宋" w:hAnsi="仿宋" w:eastAsia="仿宋"/>
                <w:szCs w:val="21"/>
              </w:rPr>
              <w:t>%</w:t>
            </w:r>
          </w:p>
        </w:tc>
        <w:tc>
          <w:tcPr>
            <w:tcW w:w="71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根据实际工作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1" w:hRule="atLeast"/>
          <w:jc w:val="center"/>
        </w:trPr>
        <w:tc>
          <w:tcPr>
            <w:tcW w:w="202" w:type="pct"/>
            <w:vMerge w:val="continue"/>
            <w:tcBorders>
              <w:tl2br w:val="nil"/>
              <w:tr2bl w:val="nil"/>
            </w:tcBorders>
            <w:vAlign w:val="center"/>
          </w:tcPr>
          <w:p/>
        </w:tc>
        <w:tc>
          <w:tcPr>
            <w:tcW w:w="35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659"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工资福利发放及社保缴纳的及时性</w:t>
            </w:r>
          </w:p>
        </w:tc>
        <w:tc>
          <w:tcPr>
            <w:tcW w:w="928"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完成绩效目标得15分</w:t>
            </w:r>
          </w:p>
        </w:tc>
        <w:tc>
          <w:tcPr>
            <w:tcW w:w="1452"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工资福利发放及社保缴纳的及时性</w:t>
            </w:r>
          </w:p>
        </w:tc>
        <w:tc>
          <w:tcPr>
            <w:tcW w:w="17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文字描述</w:t>
            </w:r>
          </w:p>
        </w:tc>
        <w:tc>
          <w:tcPr>
            <w:tcW w:w="129" w:type="pct"/>
            <w:tcBorders>
              <w:tl2br w:val="nil"/>
              <w:tr2bl w:val="nil"/>
            </w:tcBorders>
            <w:vAlign w:val="center"/>
          </w:tcPr>
          <w:p>
            <w:pPr>
              <w:widowControl/>
              <w:adjustRightInd w:val="0"/>
              <w:snapToGrid w:val="0"/>
              <w:jc w:val="center"/>
              <w:rPr>
                <w:rFonts w:ascii="仿宋" w:hAnsi="仿宋" w:eastAsia="仿宋"/>
                <w:szCs w:val="21"/>
              </w:rPr>
            </w:pPr>
          </w:p>
        </w:tc>
        <w:tc>
          <w:tcPr>
            <w:tcW w:w="38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按规定时间发放缴纳</w:t>
            </w:r>
          </w:p>
        </w:tc>
        <w:tc>
          <w:tcPr>
            <w:tcW w:w="71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按规定实际发放缴纳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02" w:type="pct"/>
            <w:vMerge w:val="continue"/>
            <w:tcBorders>
              <w:tl2br w:val="nil"/>
              <w:tr2bl w:val="nil"/>
            </w:tcBorders>
            <w:vAlign w:val="center"/>
          </w:tcPr>
          <w:p/>
        </w:tc>
        <w:tc>
          <w:tcPr>
            <w:tcW w:w="35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659"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工资社保公积金发放缴纳标准</w:t>
            </w:r>
          </w:p>
        </w:tc>
        <w:tc>
          <w:tcPr>
            <w:tcW w:w="928"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完成绩效目标得15分</w:t>
            </w:r>
          </w:p>
        </w:tc>
        <w:tc>
          <w:tcPr>
            <w:tcW w:w="1452"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工资社保公积金发放缴纳标准</w:t>
            </w:r>
          </w:p>
        </w:tc>
        <w:tc>
          <w:tcPr>
            <w:tcW w:w="17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文字描述</w:t>
            </w:r>
          </w:p>
        </w:tc>
        <w:tc>
          <w:tcPr>
            <w:tcW w:w="129" w:type="pct"/>
            <w:tcBorders>
              <w:tl2br w:val="nil"/>
              <w:tr2bl w:val="nil"/>
            </w:tcBorders>
            <w:vAlign w:val="center"/>
          </w:tcPr>
          <w:p>
            <w:pPr>
              <w:widowControl/>
              <w:adjustRightInd w:val="0"/>
              <w:snapToGrid w:val="0"/>
              <w:jc w:val="center"/>
              <w:rPr>
                <w:rFonts w:ascii="仿宋" w:hAnsi="仿宋" w:eastAsia="仿宋"/>
                <w:szCs w:val="21"/>
              </w:rPr>
            </w:pPr>
          </w:p>
        </w:tc>
        <w:tc>
          <w:tcPr>
            <w:tcW w:w="38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按规定执行</w:t>
            </w:r>
          </w:p>
        </w:tc>
        <w:tc>
          <w:tcPr>
            <w:tcW w:w="71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按标准缴纳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02" w:type="pct"/>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35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659"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加强工作人员归属感</w:t>
            </w:r>
          </w:p>
        </w:tc>
        <w:tc>
          <w:tcPr>
            <w:tcW w:w="928"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完成绩效目标得10分</w:t>
            </w:r>
          </w:p>
        </w:tc>
        <w:tc>
          <w:tcPr>
            <w:tcW w:w="1452"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通过按时按标准发放工资福利等，进一步增强干部职工的归属感，保障办公正常运转</w:t>
            </w:r>
          </w:p>
        </w:tc>
        <w:tc>
          <w:tcPr>
            <w:tcW w:w="17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文字描述</w:t>
            </w:r>
          </w:p>
        </w:tc>
        <w:tc>
          <w:tcPr>
            <w:tcW w:w="129" w:type="pct"/>
            <w:tcBorders>
              <w:tl2br w:val="nil"/>
              <w:tr2bl w:val="nil"/>
            </w:tcBorders>
            <w:vAlign w:val="center"/>
          </w:tcPr>
          <w:p>
            <w:pPr>
              <w:widowControl/>
              <w:adjustRightInd w:val="0"/>
              <w:snapToGrid w:val="0"/>
              <w:jc w:val="center"/>
              <w:rPr>
                <w:rFonts w:ascii="仿宋" w:hAnsi="仿宋" w:eastAsia="仿宋"/>
                <w:szCs w:val="21"/>
              </w:rPr>
            </w:pPr>
          </w:p>
        </w:tc>
        <w:tc>
          <w:tcPr>
            <w:tcW w:w="38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保持干部队伍相对稳定</w:t>
            </w:r>
          </w:p>
        </w:tc>
        <w:tc>
          <w:tcPr>
            <w:tcW w:w="71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保障日常办公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55" w:hRule="atLeast"/>
          <w:jc w:val="center"/>
        </w:trPr>
        <w:tc>
          <w:tcPr>
            <w:tcW w:w="202" w:type="pct"/>
            <w:vMerge w:val="continue"/>
            <w:tcBorders>
              <w:tl2br w:val="nil"/>
              <w:tr2bl w:val="nil"/>
            </w:tcBorders>
            <w:vAlign w:val="center"/>
          </w:tcPr>
          <w:p>
            <w:pPr>
              <w:adjustRightInd w:val="0"/>
              <w:snapToGrid w:val="0"/>
              <w:jc w:val="center"/>
              <w:rPr>
                <w:rFonts w:ascii="方正书宋_GBK" w:eastAsia="方正书宋_GBK"/>
              </w:rPr>
            </w:pPr>
          </w:p>
        </w:tc>
        <w:tc>
          <w:tcPr>
            <w:tcW w:w="35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659"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维持单位正常运转</w:t>
            </w:r>
          </w:p>
        </w:tc>
        <w:tc>
          <w:tcPr>
            <w:tcW w:w="928"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完成绩效目标得10分</w:t>
            </w:r>
          </w:p>
        </w:tc>
        <w:tc>
          <w:tcPr>
            <w:tcW w:w="1452"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保障日常办公需要，维持单位正常运转</w:t>
            </w:r>
          </w:p>
        </w:tc>
        <w:tc>
          <w:tcPr>
            <w:tcW w:w="17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文字描述</w:t>
            </w:r>
          </w:p>
        </w:tc>
        <w:tc>
          <w:tcPr>
            <w:tcW w:w="129" w:type="pct"/>
            <w:tcBorders>
              <w:tl2br w:val="nil"/>
              <w:tr2bl w:val="nil"/>
            </w:tcBorders>
            <w:vAlign w:val="center"/>
          </w:tcPr>
          <w:p>
            <w:pPr>
              <w:widowControl/>
              <w:adjustRightInd w:val="0"/>
              <w:snapToGrid w:val="0"/>
              <w:jc w:val="center"/>
              <w:rPr>
                <w:rFonts w:ascii="仿宋" w:hAnsi="仿宋" w:eastAsia="仿宋"/>
                <w:szCs w:val="21"/>
              </w:rPr>
            </w:pPr>
          </w:p>
        </w:tc>
        <w:tc>
          <w:tcPr>
            <w:tcW w:w="38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维持单位正常运转</w:t>
            </w:r>
          </w:p>
        </w:tc>
        <w:tc>
          <w:tcPr>
            <w:tcW w:w="714" w:type="pct"/>
            <w:tcBorders>
              <w:tl2br w:val="nil"/>
              <w:tr2bl w:val="nil"/>
            </w:tcBorders>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根据实际工作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02" w:type="pct"/>
            <w:vMerge w:val="continue"/>
            <w:tcBorders>
              <w:tl2br w:val="nil"/>
              <w:tr2bl w:val="nil"/>
            </w:tcBorders>
            <w:vAlign w:val="center"/>
          </w:tcPr>
          <w:p/>
        </w:tc>
        <w:tc>
          <w:tcPr>
            <w:tcW w:w="356"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659" w:type="pct"/>
            <w:tcBorders>
              <w:tl2br w:val="nil"/>
              <w:tr2bl w:val="nil"/>
            </w:tcBorders>
            <w:noWrap/>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单位人员满意度</w:t>
            </w:r>
          </w:p>
        </w:tc>
        <w:tc>
          <w:tcPr>
            <w:tcW w:w="928" w:type="pct"/>
            <w:tcBorders>
              <w:tl2br w:val="nil"/>
              <w:tr2bl w:val="nil"/>
            </w:tcBorders>
            <w:noWrap/>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满意度大于等于95%为20分</w:t>
            </w:r>
          </w:p>
        </w:tc>
        <w:tc>
          <w:tcPr>
            <w:tcW w:w="1452" w:type="pct"/>
            <w:tcBorders>
              <w:tl2br w:val="nil"/>
              <w:tr2bl w:val="nil"/>
            </w:tcBorders>
            <w:noWrap/>
          </w:tcPr>
          <w:p>
            <w:pPr>
              <w:widowControl/>
              <w:jc w:val="left"/>
              <w:textAlignment w:val="top"/>
              <w:rPr>
                <w:rFonts w:ascii="仿宋" w:hAnsi="仿宋" w:eastAsia="仿宋" w:cs="Calibri"/>
                <w:color w:val="000000"/>
                <w:szCs w:val="21"/>
              </w:rPr>
            </w:pPr>
            <w:r>
              <w:rPr>
                <w:rFonts w:ascii="仿宋" w:hAnsi="仿宋" w:eastAsia="仿宋" w:cs="Calibri"/>
                <w:color w:val="000000"/>
                <w:kern w:val="0"/>
                <w:szCs w:val="21"/>
                <w:lang w:bidi="ar"/>
              </w:rPr>
              <w:t>单位人员对工资福利等发放工作的满意程度</w:t>
            </w:r>
          </w:p>
        </w:tc>
        <w:tc>
          <w:tcPr>
            <w:tcW w:w="174" w:type="pct"/>
            <w:tcBorders>
              <w:tl2br w:val="nil"/>
              <w:tr2bl w:val="nil"/>
            </w:tcBorders>
          </w:tcPr>
          <w:p>
            <w:pPr>
              <w:widowControl/>
              <w:jc w:val="center"/>
              <w:textAlignment w:val="top"/>
              <w:rPr>
                <w:rFonts w:ascii="仿宋" w:hAnsi="仿宋" w:eastAsia="仿宋" w:cs="Calibri"/>
                <w:color w:val="000000"/>
                <w:kern w:val="0"/>
                <w:szCs w:val="21"/>
                <w:lang w:bidi="ar"/>
              </w:rPr>
            </w:pPr>
            <w:r>
              <w:rPr>
                <w:rFonts w:hint="eastAsia" w:ascii="仿宋" w:hAnsi="仿宋" w:eastAsia="仿宋" w:cs="Calibri"/>
                <w:color w:val="000000"/>
                <w:kern w:val="0"/>
                <w:szCs w:val="21"/>
                <w:lang w:bidi="ar"/>
              </w:rPr>
              <w:t>≥</w:t>
            </w:r>
          </w:p>
          <w:p>
            <w:pPr>
              <w:widowControl/>
              <w:textAlignment w:val="top"/>
              <w:rPr>
                <w:rFonts w:ascii="仿宋" w:hAnsi="仿宋" w:eastAsia="仿宋" w:cs="Calibri"/>
                <w:color w:val="000000"/>
                <w:szCs w:val="21"/>
              </w:rPr>
            </w:pPr>
          </w:p>
        </w:tc>
        <w:tc>
          <w:tcPr>
            <w:tcW w:w="129" w:type="pct"/>
            <w:tcBorders>
              <w:tl2br w:val="nil"/>
              <w:tr2bl w:val="nil"/>
            </w:tcBorders>
            <w:vAlign w:val="center"/>
          </w:tcPr>
          <w:p>
            <w:pPr>
              <w:widowControl/>
              <w:adjustRightInd w:val="0"/>
              <w:snapToGrid w:val="0"/>
              <w:rPr>
                <w:rFonts w:ascii="仿宋" w:hAnsi="仿宋" w:eastAsia="仿宋"/>
                <w:szCs w:val="21"/>
              </w:rPr>
            </w:pPr>
            <w:r>
              <w:rPr>
                <w:rFonts w:hint="eastAsia" w:ascii="仿宋" w:hAnsi="仿宋" w:eastAsia="仿宋"/>
                <w:szCs w:val="21"/>
              </w:rPr>
              <w:t>95</w:t>
            </w:r>
          </w:p>
        </w:tc>
        <w:tc>
          <w:tcPr>
            <w:tcW w:w="384" w:type="pct"/>
            <w:tcBorders>
              <w:tl2br w:val="nil"/>
              <w:tr2bl w:val="nil"/>
            </w:tcBorders>
            <w:vAlign w:val="center"/>
          </w:tcPr>
          <w:p>
            <w:pPr>
              <w:widowControl/>
              <w:adjustRightInd w:val="0"/>
              <w:snapToGrid w:val="0"/>
              <w:rPr>
                <w:rFonts w:ascii="仿宋" w:hAnsi="仿宋" w:eastAsia="仿宋"/>
                <w:szCs w:val="21"/>
              </w:rPr>
            </w:pPr>
            <w:r>
              <w:rPr>
                <w:rFonts w:hint="eastAsia" w:ascii="仿宋" w:hAnsi="仿宋" w:eastAsia="仿宋"/>
                <w:szCs w:val="21"/>
              </w:rPr>
              <w:t>%</w:t>
            </w:r>
          </w:p>
        </w:tc>
        <w:tc>
          <w:tcPr>
            <w:tcW w:w="714" w:type="pct"/>
            <w:tcBorders>
              <w:tl2br w:val="nil"/>
              <w:tr2bl w:val="nil"/>
            </w:tcBorders>
            <w:vAlign w:val="center"/>
          </w:tcPr>
          <w:p>
            <w:pPr>
              <w:widowControl/>
              <w:adjustRightInd w:val="0"/>
              <w:snapToGrid w:val="0"/>
              <w:rPr>
                <w:rFonts w:ascii="仿宋" w:hAnsi="仿宋" w:eastAsia="仿宋"/>
                <w:szCs w:val="21"/>
              </w:rPr>
            </w:pPr>
            <w:r>
              <w:rPr>
                <w:rFonts w:hint="eastAsia" w:ascii="仿宋" w:hAnsi="仿宋" w:eastAsia="仿宋"/>
                <w:szCs w:val="21"/>
              </w:rPr>
              <w:t>问询</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w:t>
      </w:r>
      <w:bookmarkStart w:id="1" w:name="_Hlk97924873"/>
      <w:r>
        <w:rPr>
          <w:rFonts w:ascii="Times New Roman" w:hAnsi="Times New Roman" w:eastAsia="仿宋_GB2312" w:cs="Times New Roman"/>
          <w:sz w:val="32"/>
          <w:szCs w:val="24"/>
        </w:rPr>
        <w:t>具体内容见下表。</w:t>
      </w:r>
      <w:bookmarkEnd w:id="1"/>
    </w:p>
    <w:bookmarkEnd w:id="0"/>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jc w:val="left"/>
        <w:outlineLvl w:val="1"/>
        <w:rPr>
          <w:rFonts w:ascii="方正小标宋_GBK" w:eastAsia="方正小标宋_GBK" w:cs="Times New Roman"/>
          <w:sz w:val="32"/>
        </w:rPr>
      </w:pPr>
      <w:r>
        <w:rPr>
          <w:rFonts w:hint="eastAsia"/>
        </w:rPr>
        <w:t>[</w:t>
      </w:r>
      <w:r>
        <w:t>181001]廊坊市</w:t>
      </w:r>
      <w:r>
        <w:rPr>
          <w:rFonts w:hint="eastAsia"/>
        </w:rPr>
        <w:t>广阳区新世纪步行街服务中心</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93"/>
        <w:gridCol w:w="1043"/>
        <w:gridCol w:w="1043"/>
        <w:gridCol w:w="652"/>
        <w:gridCol w:w="782"/>
        <w:gridCol w:w="782"/>
        <w:gridCol w:w="887"/>
        <w:gridCol w:w="887"/>
        <w:gridCol w:w="887"/>
        <w:gridCol w:w="887"/>
        <w:gridCol w:w="887"/>
        <w:gridCol w:w="888"/>
        <w:gridCol w:w="888"/>
        <w:gridCol w:w="888"/>
        <w:gridCol w:w="8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71" w:type="pct"/>
            <w:gridSpan w:val="2"/>
            <w:vAlign w:val="center"/>
          </w:tcPr>
          <w:p>
            <w:pPr>
              <w:pStyle w:val="12"/>
            </w:pPr>
            <w:r>
              <w:t>政府采购项目来源</w:t>
            </w:r>
          </w:p>
        </w:tc>
        <w:tc>
          <w:tcPr>
            <w:tcW w:w="368" w:type="pct"/>
            <w:vMerge w:val="restart"/>
            <w:vAlign w:val="center"/>
          </w:tcPr>
          <w:p>
            <w:pPr>
              <w:pStyle w:val="12"/>
            </w:pPr>
            <w:r>
              <w:t>采购物品名称</w:t>
            </w:r>
          </w:p>
        </w:tc>
        <w:tc>
          <w:tcPr>
            <w:tcW w:w="368" w:type="pct"/>
            <w:vMerge w:val="restart"/>
            <w:vAlign w:val="center"/>
          </w:tcPr>
          <w:p>
            <w:pPr>
              <w:pStyle w:val="12"/>
            </w:pPr>
            <w:r>
              <w:t>政府采购目录序号</w:t>
            </w:r>
          </w:p>
        </w:tc>
        <w:tc>
          <w:tcPr>
            <w:tcW w:w="230" w:type="pct"/>
            <w:vMerge w:val="restart"/>
            <w:vAlign w:val="center"/>
          </w:tcPr>
          <w:p>
            <w:pPr>
              <w:pStyle w:val="12"/>
            </w:pPr>
            <w:r>
              <w:t>计量  单位</w:t>
            </w:r>
          </w:p>
        </w:tc>
        <w:tc>
          <w:tcPr>
            <w:tcW w:w="276" w:type="pct"/>
            <w:vMerge w:val="restart"/>
            <w:vAlign w:val="center"/>
          </w:tcPr>
          <w:p>
            <w:pPr>
              <w:pStyle w:val="12"/>
            </w:pPr>
            <w:r>
              <w:t>数量</w:t>
            </w:r>
          </w:p>
        </w:tc>
        <w:tc>
          <w:tcPr>
            <w:tcW w:w="276" w:type="pct"/>
            <w:vMerge w:val="restart"/>
            <w:vAlign w:val="center"/>
          </w:tcPr>
          <w:p>
            <w:pPr>
              <w:pStyle w:val="12"/>
            </w:pPr>
            <w:r>
              <w:t>单价</w:t>
            </w:r>
          </w:p>
        </w:tc>
        <w:tc>
          <w:tcPr>
            <w:tcW w:w="2503" w:type="pct"/>
            <w:gridSpan w:val="8"/>
            <w:vAlign w:val="center"/>
          </w:tcPr>
          <w:p>
            <w:pPr>
              <w:pStyle w:val="12"/>
            </w:pPr>
            <w:r>
              <w:t>政府采购金额（当年部门预算安排资金）</w:t>
            </w:r>
          </w:p>
        </w:tc>
        <w:tc>
          <w:tcPr>
            <w:tcW w:w="308"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56" w:type="pct"/>
            <w:vAlign w:val="center"/>
          </w:tcPr>
          <w:p>
            <w:pPr>
              <w:pStyle w:val="12"/>
            </w:pPr>
            <w:r>
              <w:t>项目名称</w:t>
            </w:r>
          </w:p>
        </w:tc>
        <w:tc>
          <w:tcPr>
            <w:tcW w:w="314" w:type="pct"/>
            <w:vAlign w:val="center"/>
          </w:tcPr>
          <w:p>
            <w:pPr>
              <w:pStyle w:val="12"/>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2"/>
            </w:pPr>
            <w:r>
              <w:t>合计</w:t>
            </w:r>
          </w:p>
        </w:tc>
        <w:tc>
          <w:tcPr>
            <w:tcW w:w="313" w:type="pct"/>
            <w:vAlign w:val="center"/>
          </w:tcPr>
          <w:p>
            <w:pPr>
              <w:pStyle w:val="12"/>
            </w:pPr>
            <w:r>
              <w:t>一般公共预算拨款</w:t>
            </w:r>
          </w:p>
        </w:tc>
        <w:tc>
          <w:tcPr>
            <w:tcW w:w="313" w:type="pct"/>
            <w:vAlign w:val="center"/>
          </w:tcPr>
          <w:p>
            <w:pPr>
              <w:pStyle w:val="12"/>
            </w:pPr>
            <w:r>
              <w:t>基金预算拨款</w:t>
            </w:r>
          </w:p>
        </w:tc>
        <w:tc>
          <w:tcPr>
            <w:tcW w:w="313" w:type="pct"/>
            <w:vAlign w:val="center"/>
          </w:tcPr>
          <w:p>
            <w:pPr>
              <w:pStyle w:val="12"/>
            </w:pPr>
            <w:r>
              <w:t>国有资本经营预算拨款</w:t>
            </w:r>
          </w:p>
        </w:tc>
        <w:tc>
          <w:tcPr>
            <w:tcW w:w="313" w:type="pct"/>
            <w:vAlign w:val="center"/>
          </w:tcPr>
          <w:p>
            <w:pPr>
              <w:pStyle w:val="12"/>
            </w:pPr>
            <w:r>
              <w:t>财政专户核拨</w:t>
            </w:r>
          </w:p>
        </w:tc>
        <w:tc>
          <w:tcPr>
            <w:tcW w:w="313" w:type="pct"/>
            <w:vAlign w:val="center"/>
          </w:tcPr>
          <w:p>
            <w:pPr>
              <w:pStyle w:val="12"/>
            </w:pPr>
            <w:r>
              <w:t>单位    资金</w:t>
            </w:r>
          </w:p>
        </w:tc>
        <w:tc>
          <w:tcPr>
            <w:tcW w:w="313" w:type="pct"/>
            <w:vAlign w:val="center"/>
          </w:tcPr>
          <w:p>
            <w:pPr>
              <w:pStyle w:val="12"/>
            </w:pPr>
            <w:r>
              <w:t>财政拨    款结转</w:t>
            </w:r>
          </w:p>
        </w:tc>
        <w:tc>
          <w:tcPr>
            <w:tcW w:w="313" w:type="pct"/>
            <w:vAlign w:val="center"/>
          </w:tcPr>
          <w:p>
            <w:pPr>
              <w:pStyle w:val="12"/>
            </w:pPr>
            <w:r>
              <w:t>非财政    拨款结    转结余</w:t>
            </w:r>
          </w:p>
        </w:tc>
        <w:tc>
          <w:tcPr>
            <w:tcW w:w="30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56" w:type="pct"/>
            <w:vAlign w:val="center"/>
          </w:tcPr>
          <w:p>
            <w:pPr>
              <w:pStyle w:val="16"/>
            </w:pPr>
            <w:r>
              <w:t>合  计</w:t>
            </w:r>
          </w:p>
        </w:tc>
        <w:tc>
          <w:tcPr>
            <w:tcW w:w="314" w:type="pct"/>
            <w:vAlign w:val="center"/>
          </w:tcPr>
          <w:p>
            <w:pPr>
              <w:pStyle w:val="17"/>
              <w:rPr>
                <w:lang w:eastAsia="zh-CN"/>
              </w:rPr>
            </w:pPr>
            <w:r>
              <w:rPr>
                <w:rFonts w:hint="eastAsia"/>
                <w:lang w:eastAsia="zh-CN"/>
              </w:rPr>
              <w:t>0</w:t>
            </w: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0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56" w:type="pct"/>
            <w:vAlign w:val="center"/>
          </w:tcPr>
          <w:p>
            <w:pPr>
              <w:pStyle w:val="16"/>
            </w:pPr>
          </w:p>
        </w:tc>
        <w:tc>
          <w:tcPr>
            <w:tcW w:w="314"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08" w:type="pct"/>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广阳区新世纪步行街服务中心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32.48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广阳区新世纪步行街服务中心</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广阳区新世纪步行街服务中心</w:t>
            </w:r>
          </w:p>
        </w:tc>
        <w:tc>
          <w:tcPr>
            <w:tcW w:w="5103" w:type="dxa"/>
            <w:tcBorders>
              <w:top w:val="nil"/>
              <w:left w:val="nil"/>
              <w:bottom w:val="nil"/>
              <w:right w:val="nil"/>
            </w:tcBorders>
            <w:shd w:val="clear" w:color="auto" w:fill="auto"/>
            <w:noWrap/>
            <w:vAlign w:val="center"/>
          </w:tcPr>
          <w:p>
            <w:pPr>
              <w:widowControl/>
              <w:spacing w:line="584" w:lineRule="exact"/>
              <w:ind w:firstLine="1760" w:firstLineChars="8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tabs>
                <w:tab w:val="left" w:pos="702"/>
              </w:tabs>
              <w:spacing w:line="584" w:lineRule="exact"/>
              <w:jc w:val="left"/>
              <w:rPr>
                <w:rFonts w:ascii="Times New Roman" w:hAnsi="Times New Roman" w:eastAsia="仿宋_GB2312" w:cs="Times New Roman"/>
                <w:sz w:val="22"/>
              </w:rPr>
            </w:pPr>
            <w:r>
              <w:rPr>
                <w:rFonts w:hint="eastAsia" w:ascii="Times New Roman" w:hAnsi="Times New Roman" w:eastAsia="仿宋_GB2312" w:cs="Times New Roman"/>
                <w:sz w:val="22"/>
              </w:rPr>
              <w:tab/>
            </w:r>
            <w:r>
              <w:rPr>
                <w:rFonts w:hint="eastAsia" w:ascii="Times New Roman" w:hAnsi="Times New Roman" w:eastAsia="仿宋_GB2312" w:cs="Times New Roman"/>
                <w:sz w:val="22"/>
              </w:rPr>
              <w:t>204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32.48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61A8C"/>
    <w:multiLevelType w:val="singleLevel"/>
    <w:tmpl w:val="9BB61A8C"/>
    <w:lvl w:ilvl="0" w:tentative="0">
      <w:start w:val="1"/>
      <w:numFmt w:val="japaneseCounting"/>
      <w:suff w:val="nothing"/>
      <w:lvlText w:val="（%1）"/>
      <w:lvlJc w:val="left"/>
      <w:rPr>
        <w:rFonts w:ascii="Times New Roman" w:hAnsi="Times New Roman" w:eastAsia="楷体_GB2312" w:cs="Times New Roman"/>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25632D"/>
    <w:rsid w:val="002A5CE1"/>
    <w:rsid w:val="003059E0"/>
    <w:rsid w:val="00472038"/>
    <w:rsid w:val="004A54AA"/>
    <w:rsid w:val="004C353D"/>
    <w:rsid w:val="005C6F7B"/>
    <w:rsid w:val="007C31D9"/>
    <w:rsid w:val="00822933"/>
    <w:rsid w:val="00944233"/>
    <w:rsid w:val="009618DA"/>
    <w:rsid w:val="00B40732"/>
    <w:rsid w:val="00B80935"/>
    <w:rsid w:val="00BD14C4"/>
    <w:rsid w:val="00BE71F1"/>
    <w:rsid w:val="00C8415F"/>
    <w:rsid w:val="00D347CC"/>
    <w:rsid w:val="00DC72B4"/>
    <w:rsid w:val="00DE206C"/>
    <w:rsid w:val="00DE4CF2"/>
    <w:rsid w:val="00E063FE"/>
    <w:rsid w:val="00F509EB"/>
    <w:rsid w:val="05B9580E"/>
    <w:rsid w:val="0CEC1180"/>
    <w:rsid w:val="3B2B32AF"/>
    <w:rsid w:val="73693C55"/>
    <w:rsid w:val="7D1F314E"/>
    <w:rsid w:val="7D320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 w:type="paragraph" w:styleId="2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607</Words>
  <Characters>3461</Characters>
  <Lines>28</Lines>
  <Paragraphs>8</Paragraphs>
  <TotalTime>4</TotalTime>
  <ScaleCrop>false</ScaleCrop>
  <LinksUpToDate>false</LinksUpToDate>
  <CharactersWithSpaces>4060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2022-07-07T03:35:44Z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EAB777D6F2B44DB7A64D705DA159D1B7</vt:lpwstr>
  </property>
</Properties>
</file>