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r>
        <w:rPr>
          <w:rFonts w:ascii="Times New Roman" w:hAnsi="Times New Roman" w:eastAsia="方正小标宋简体" w:cs="Times New Roman"/>
          <w:sz w:val="44"/>
          <w:szCs w:val="44"/>
        </w:rPr>
        <w:t>解放道街道办事处</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w:t>
      </w:r>
      <w:r>
        <w:rPr>
          <w:rFonts w:ascii="Times New Roman" w:hAnsi="Times New Roman" w:eastAsia="仿宋_GB2312" w:cs="Times New Roman"/>
          <w:sz w:val="32"/>
          <w:szCs w:val="32"/>
        </w:rPr>
        <w:t>解放道街道办事处20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（一）党政综合办公室：</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1.负责监督检查和指导所属单位和行政村的档案工作。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2.做好信访工作，畅通信访渠道、处理来信、接待来访。</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3.负责辖区内的统计工作。履行统计职责，广泛引导、动员和组织社会力量积极参与并认真配合做好国家规定的周期性普查工作。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（二）党建工作办公室</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1.宣传执行党的路线、方针、政策，宣传和执行党中央、上级党组织和本级党组织的决议，团结、组织党内外的干部和群众，努力完成本单位所担负的任务。</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 维护和执行党的纪律，监督党员干部和其他任何工作人员严格遵守国家法律法规。</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3.负责乡镇和街道党（工）委自身建设和基层党组织建设，以及其他隶属乡镇和街道党（工）委的党组织建设。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 负责下级党的基层组织选举工作、对下级党组织的成立或撤销作出决定。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 负责非公有制企业和社会组织党建工作、扩大新兴领域党建有效覆盖</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6.加强党员队伍建设，对党员进行教育、管理、监督和服务，做好经常性的发展党员工作。加强流动党员管理。</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 做好人才服务工作，发现、培养、推荐党员和群众中的优秀人才。</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8.落实意识形态工作责任制，组织党员群众学习习近平新时代中国特色社会主义思想，培育和践行社会主义核心价值观，加强精神文明建设和文化建设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 落实统一战线工作任务要求，做好民族事务工作。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 领导辖区内人大工作，以及工会、共青团、妇联等工作。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 根据委托授权负责本辖区内的宗教事务管理工作。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12.依照法定权限，做好本辖区的征兵、民兵、预备役、国防教育、国民经济动员、人民防空、国防交通、国防设施保护等工作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13.负责联系街道辖区内的人民代表大会代表，组织代表开展活动，反映代表和群众的建议、批评和意见，办理常务委员会交办的监督、选举以及其他工作，并向常务委员会报告工作。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（三）应急管理办公室</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1.负责辖区内的食品安全隐患排查、信息报告、协助执法和宣传教育等工作、做好本行政区域内小作坊、小餐饮、小摊点的监督管理工作。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2.加强本辖区生产经营单位安全生产状况的监督检查、协助上级有关部门依法履行安全生产监督管理职责。</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3.负责本辖区的消防工作、开展消防宣传、防火巡查、隐患查改。指导村（居）民委员会开展群众性的消防工作。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 负责辖区防汛抗洪、抗旱等相关工作。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 负责辖区防灾减灾等相关工作。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6.依法做好本辖区的突发事件应对工作，制定本级突发事件应急预案，组织开展应急演练。</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7.负责辖区应急管理工作，建立健全应急联动机制，严格落实应急管理责任，加强基层综合应急队伍建设和应急保障能力建设。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8.负责本辖区内自然灾害救助工作，做好自然灾害风险排查、隐患治理、救助准备、信息报告、先期处置、应急救助、灾后救助和救助款物管理等工作。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（四）自然资源和生态环境办公室</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 动员和组织社会力量参与土地调查工作。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 按照职责分工负责辖区市容、村容和环境卫生、农村生活污水管理责任。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3.按照职责分工负责本辖区河湖的水资源保护、水域岸线管理、水污染防治、水环境治理等工作，协助上级人民政府及其有关部门做好地下水相关管理和监督工作。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 根据本地区的实际，组织开展大气污染防治工作。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 落实属地监管责任，做好禁止露天焚烧秸秆工作。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6．根据本地区的实际，组织开展扬尘污染防治工作。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 按照职责分工做好“散乱污”企业综合整治工作。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 按照职责分工和相关预案开展突发环境事件应急处置工作，按照有关规定向上级报告。</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（五）综合行政执法队</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1.根据法律法规和省政府授权，承担综合行政执法工作。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2.协助有关部门查处传销行为。</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3.加大信用信息归集应用力度，落实守信联合激励和失信联合惩戒制度、推进信用分级分类监管。</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4.制定本辖区社会治安综合治理规划、检查、推动社会治安综合治理措施的落实，协调和督促有关部门开展法制宣传教育工作、调解各类纠纷。</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5.组织群众开展各种形式的治安防范活动和军民、警民联防活动；指导、帮助村（居）民委员会做好社会治安综合治理工作。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6.组织协调辖区社会治安防控体系建设及普法工作，开展基层平安创建活动及各种形式的治安防范活动。加强群防群治组织建设，动员、组织人民群众维护社会治安和社会秩序，做好防范邪教工作。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7.承担民间纠纷调解相关工作。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8.协调有关部门做好未成年人的保护工作。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9.承担企业劳动争议调解相关工作。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10.组织相关单位开展社区矫正工作和对户籍或居住地在本辖区的刑满释放人员做好接收建档和安置帮教工作，做好重点帮教对象的衔接工作。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11.负责社区戒毒、社区康复工作。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（六）行政综合服务中心</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1.负责指导居民委员会的换届选举工作。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2.指导村（居）民委员会建立健全各项自治制度，并予以备案。</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3.按权限负责基层社区社会组织的分类指导和业务指导。</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4.负责加强本辖区健康教育工作及其专业人才培养、建立健康知识和技能核心信息发布制度、普及健康科学知识、向公众提供科学、准确的健康信息。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5.负责本辖区健康中国建设，健全实施健康中国行动领导推进工作机制，逐项抓好任务落实。</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6.根据法律法规和省政府授权，承担行政审批服务工作。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7.开展就业政策宣传、就业援助等就业服务工作。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8.负责辖区内人口与计划生育工作。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9.组织开展全民健身活动，建立健全全民健身工作协调机制。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10.负责本辖区爱国卫生日常工作。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11.按权限开展社会救助工作。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12.按权限做好残疾人保障工作。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13.负责组织开展预防精神障碍发生、促进精神障碍患者康复等工作。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14.按照职责分工负责做好辖区城乡居民基本养老保险工作。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（七）社区建设和物业监督管理办公室</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1.组织实施居家养老服务工作，建设居家养老服务设施，落实政府购买服务、经费补贴等扶持政策措施、组织、指导社会各界参与居家养老和空巢、留守老年人关爱服务。</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2.负责指导辖区内业主大会的成立和业主委员会的选举工作。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3.按权限负责社区工作者的日常管理工作。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（八）、综合文化服务站</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1.组织开展本辖区科普活动，宣传科学、文明的生产和生活方式。</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2.负责本辖区综合文化站、新时代文明实践中心（所、站）建设和日常管理、实施免费开放。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（九）、退役军人服务站</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负责拥军优属、退役军人服务等工作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廊坊市广阳区解放道街道办事处</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按照预算管理有关规定，目前我部门预算的编制实行综合预算制度，即全部收入和支出都反映在预算中。廊坊市</w:t>
      </w:r>
      <w:r>
        <w:rPr>
          <w:rFonts w:hint="eastAsia" w:ascii="Times New Roman" w:hAnsi="Times New Roman" w:eastAsia="仿宋_GB2312" w:cs="Times New Roman"/>
          <w:sz w:val="32"/>
          <w:szCs w:val="32"/>
        </w:rPr>
        <w:t>广阳区</w:t>
      </w:r>
      <w:r>
        <w:rPr>
          <w:rFonts w:ascii="Times New Roman" w:hAnsi="Times New Roman" w:eastAsia="仿宋_GB2312" w:cs="Times New Roman"/>
          <w:sz w:val="32"/>
          <w:szCs w:val="32"/>
        </w:rPr>
        <w:t>解放道街道办事处机关的收支包含在部门预算中。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2998.28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2998.28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w:t>
      </w:r>
      <w:r>
        <w:rPr>
          <w:rFonts w:ascii="Times New Roman" w:hAnsi="Times New Roman" w:eastAsia="仿宋_GB2312" w:cs="Times New Roman"/>
          <w:sz w:val="32"/>
          <w:szCs w:val="32"/>
        </w:rPr>
        <w:t>解放道街道办事处</w:t>
      </w:r>
      <w:r>
        <w:rPr>
          <w:rFonts w:hint="eastAsia" w:ascii="Times New Roman" w:hAnsi="Times New Roman" w:eastAsia="仿宋_GB2312" w:cs="Times New Roman"/>
          <w:sz w:val="32"/>
          <w:szCs w:val="32"/>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2998.28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2119.40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1887.85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231.55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8</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8.88</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基层政权建设和社区治理</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2998.28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243.55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135.35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商品和服务</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108.20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社会保障和就业支出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街道</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231.55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解放道办事处</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街道</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持平，无增减变化</w:t>
      </w:r>
      <w:r>
        <w:rPr>
          <w:rFonts w:hint="eastAsia" w:ascii="Times New Roman" w:hAnsi="Times New Roman" w:eastAsia="仿宋_GB2312" w:cs="Times New Roman"/>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预算绩效信息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积极招商引资，大力发展城市经济。</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加快集聚，重塑楼宇优势。楼宇经济已成为城市经济发展的新风向。我们始终坚持把发展楼宇经济放在更加突出的位置，整合调动各种招商资源力量，促进楼宇品牌知名度大幅提升。解放道辖区内共有商务楼宇10栋，楼宇内注册企业达700余家。针对新世界中心、浙商广场、尚都金茂、尚都世贸等现代商务楼宇聚集的爱民道两侧区域，着力打造以科技、金融、电子商务为核心的现代服务业企业集群。利用金属大厦地靠钢材市场的区位优势，重点打造以商贸、物流企业为主的商贸企业集群。针对新朝阳二期、辉腾大厦两个新建楼宇，我们加强楼宇招商引资指导，鼓励引进培育高新技术、创意设计、电子商务等新业态。我街道将进一步完善机制、优化举措，不断丰富楼宇经济业态结构，营造区域联动、协调推进的良好氛围，为楼宇经济规模化、集群化发展提供新思路。</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是银企对接，实现互利双赢。面对经济下行压力，我们要立足辖区内企业实际，通过召开座谈会、登门拜访等方式，了解企业发展状况及现实困难。同时结合辖区内新世界中心、浙商广场等楼宇集聚的建设银行、廊坊银行、平安银行、招商银行等金融机构，组织召开银企对接会议，针对辖区内企业提出的融资需求及在融资过程中遇到的困难，为银企双方搭建沟通合作平台，银行机构针对企业尤其是中小微企业的优秀融资产品与企业进行沟通交流，有效解决银企信息不对称问题，有力提升金融服务的针对性和实效性。同时街道做好后续跟踪服务，确保融资意向早日落地，实现金融机构与企业双赢的局面。</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是外贸联盟，抱团出海受益。受国外疫情影响，外贸行业“举步维艰”。我们要对辖区19家外贸企业进行积极走访，通过对企业主营业务进行了解，分别帮助同业务领域的澳澜玻璃微珠、迪兰科技、回章贸易等三家出口玻璃微珠的企业，领尚家具、都华家具、赛唯进出口贸易等出口家具为主的企业召开座谈会，说困难、谈想法、解难题，从而做到抱团取暖。同时鼓励各外贸企业加入广阳区外贸协会，以市场为导向，遵守商业原则，加强行业自律，遵守联盟协议，拓展合作方式，扩大合作范围，实现互利共赢，促进全区外贸企业抱团出海，共同发展。下一步我们要加快洽谈“龙工场”跨境电商产业园项目，促进项目尽快成功落地后可以与外贸企业合作，为外贸企业提供业务订单及综合服务。</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是拉动消费，点亮夜间经济。要想进一步挖掘夜间经济的消费潜力，激发新一轮消费升级，仅是延长营业时间和增加商户数量是远远不够的。我们计划通过不断优化“廊坊印巷”软、硬件环境，提升“廊坊印巷”综合实力，引入运营企业进行整体提升和管理，联动步行街、时代广场等区域，打造特色夜间景观旅游、文艺演出、主题展览等多元文化形态，以满足不同年龄、文化背景和消费层次人群的需求。通过引进品牌店、网红店、体验店等新业态模式，营造体验式、沉浸式场景空间，利用互联网、媒体等方式加大对“廊坊印巷”的曝光力，打造网红打卡地，以“夜经济”为龙头聚人气、促经济，拉动第三产业回暖，聚焦“食、购、游、娱、文、体”，打造高端休闲商贸圈。</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突出民生福祉，扎实推动共同富裕。</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增强就业创业保障。坚持把促进就业放在各项工作首要位置，健全基本公共服务体系，坚持把解决人民群众最关心最直接最现实的利益问题作为民生建设的出发点和落脚点，加强普惠性、基础性、兜底性民生建设，使改革发展成果更多更公平惠及人民。二是做好低保动态化管理。应保尽保、应退尽退。做好80岁以上老人高龄补贴申报、复核及散居孤儿补贴申请申报工作。进一步加大社会救助政策宣传力度，切实提高居民对政策的知晓度和了解度，使符合救助条件的家庭及时提出社会救助申请，使社会救助政策真正受惠于民。三是积极推进医保扩面工作。在全面摸排的基础上，针对未参保人群，通过电话联系、微信群通知、张贴海报和发放宣传材料等方式大力宣传国家政策及相关规定，面对居民做到讲明白，说清楚，全面推进城镇居民基本医疗保险扩面工作，鼓励居民积极参保。</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深化安全监管，加强安全隐患排查</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落实社区巡查员、企业安管员培训，从业务能力、工作规范等多个方面提升综合检查能力。进一步加大隐患整治力度，对街道辖区内的安全生产重点监管单位、重大危险源进行重点监管检查，对一般单位实施定期或不定期专项检查，通过检查及时发现隐患，遏制一般事故，杜绝重大事故。</w:t>
      </w:r>
    </w:p>
    <w:p>
      <w:pPr>
        <w:widowControl/>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加强环境治理，强化城市管理水平</w:t>
      </w:r>
    </w:p>
    <w:p>
      <w:pPr>
        <w:widowControl/>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主抓重点街巷的治理，强化管理力度，对于重点街巷反映出来的市容环境、门前三包、摊点治理等难点问题及时解决，保证辖区环境良好，群众满意度不断提升。加大科技治霾力度加强学习培训，充分利用上级配发的各种检测仪器，坚持以数据说话，用事实说话，充分发挥群管理作用，利用辖区餐饮油烟管控群，加强管理，突出自行监督与巡查管控相结合，提高辖区企业的环保意识。</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1.社区党组织服务群众专项经费</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绩效目标：通过基层项目的开展解决好关系群众切身利益问题和联系服务群众工作，促进社区基层党建工作顺利开展。</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指标：为加强党对城市工作的全面领导，推动城市经济社会发展，结合我辖区14个社区实际情况，推动我社区基层党建工作，发挥社区党组织的主导作用，提升专业化服务水平。解决关系群众切身利益问题和联系服务群众工作，包括便民利民服务、服务设施维护、文化体育活动、党建工作宣传教育等方面支出。</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2.社区工作经费</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绩效目标：通过社区各项日常办公费用支出，达到社区各项日常工作正常运转，实现加强和完善社区治理，基层和谐稳定，进一步健全城乡社区治理体系，推进治理能力现代化。      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指标：社区办公经费主要用于社区居委会购置办公用品，支付水费、电费、取暖费、通信费、订阅报刊杂志，综合服务设施小额应急维修，组织居民和社区开展各种社会公益活动等费用。经费主要用于保障社区数量，维持社区日常工作的运转。</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3.社区招聘人员经费</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绩效目标：通过按时发放社区聘用人员工资，缴纳各项保险，确保人员稳定，达到加强和完善社区治理，基层和谐稳定。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指标：落实社区聘用人员工资及时准确发放，缴纳各项保险，确保人员稳定，实现进一步健全城乡社区治理体系，推进治理能力现代化。完善社区治理，事关基层和谐稳定，进一步健全城乡社区治理体系，推进治理能力现代化。</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4.社区楼门长工作经费</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绩效目标：通过项目的开展完成楼门长补贴经费支出计划，推进社会治理重心向基层下移，实现政府治理和社会调节、居民参与的良性互动。</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绩效指标：确保楼门长的人数数量，以及补贴发放的及时性和准确性。</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5.新春驿站建设经费</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目标：按照街道党工委提出的“党建引领、分级管理、分类指导、平台助力、促进发展”的工作思路，启动“两新”组织党建指导服务中心建设，通过“党建+融合”方式，把党的先进思想和理念融合到非公企业经济发展和企业文化中，把非公党建新春驿站打造成助推民营经济高质量发展的开放平台。      </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绩效指标：及时完成驿站装修，提高驿站维修合格率，提升民营经济发展质量。</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6.机关事务管理经费</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绩效目标：保证街道日常工作运转，水电费、办公用品、取暖、维稳、食堂运营的经费。</w:t>
      </w:r>
    </w:p>
    <w:p>
      <w:pPr>
        <w:widowControl/>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绩效指标：保障办公人数，日常办公需要，维持单位正常运转。</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1.完善制度建设。</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对财务制度以及相关配套制度进行更新和完善，规范票据管理和报销流程，确保有章可循和有章必循，进一步提升财政资金管理使用科学化规范化水平，为全年预算绩效目标的实现奠定制度基础。</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2.加强支出管理。</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结合年度目标任务将全面工作进行细化分解，按月按活动制定支出计划，明确指出分类，不断优化支出结构，同时，严格经费使用管理，严把各个环节支出流程，确保资金使用合规。加快资金支付进度，与工作同时跟进，杜绝滞后现象，通过优化支出结构、编细编实预算、加快履行政府采购手续、尽快启动项目、及时支付资金、细化代编预算、按规定及时安排资金等多种措施，确保支出进度达标。</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3.加强绩效运行监控。 </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按要求开展绩效运行监控，建立健全加强绩效监督管理运行长效机制，按月进行自查自纠，发现问题及时采取措施，确保绩效目标如期保质实现。</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4.做好绩效自评。</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按区财政局要求开展上年度部门预算绩效自评和重点评价工作，做好自评工作，对评价中发现的问题及时整改，调整优化支出结构，提高财政资金使用效益。</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5.规范资产管理。</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不断完善财务管理制度，提高规范化科学化管理水平，严格审批程序，加强固定资产登记、使用和报废处置管理，做到支出合理，物尽其用。</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6.加强内部监督。</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7.加强宣传培训调研等。</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加强人员培训，提高本部门职工业务素质；加强调研，提出优化财政资金配置、提高资金使用效益的意见意见；加大宣传力度，强化预算绩效管理意识，促进预算绩效管理水平进一步提升。</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1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399"/>
        <w:gridCol w:w="1417"/>
        <w:gridCol w:w="1701"/>
        <w:gridCol w:w="2126"/>
        <w:gridCol w:w="1701"/>
        <w:gridCol w:w="685"/>
        <w:gridCol w:w="488"/>
        <w:gridCol w:w="67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39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41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70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2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70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843"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18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399" w:type="dxa"/>
            <w:vMerge w:val="continue"/>
            <w:tcBorders>
              <w:tl2br w:val="nil"/>
              <w:tr2bl w:val="nil"/>
            </w:tcBorders>
            <w:vAlign w:val="center"/>
          </w:tcPr>
          <w:p/>
        </w:tc>
        <w:tc>
          <w:tcPr>
            <w:tcW w:w="1417" w:type="dxa"/>
            <w:vMerge w:val="continue"/>
            <w:tcBorders>
              <w:tl2br w:val="nil"/>
              <w:tr2bl w:val="nil"/>
            </w:tcBorders>
            <w:vAlign w:val="center"/>
          </w:tcPr>
          <w:p/>
        </w:tc>
        <w:tc>
          <w:tcPr>
            <w:tcW w:w="1701" w:type="dxa"/>
            <w:vMerge w:val="continue"/>
            <w:tcBorders>
              <w:tl2br w:val="nil"/>
              <w:tr2bl w:val="nil"/>
            </w:tcBorders>
            <w:vAlign w:val="center"/>
          </w:tcPr>
          <w:p/>
        </w:tc>
        <w:tc>
          <w:tcPr>
            <w:tcW w:w="2126" w:type="dxa"/>
            <w:vMerge w:val="continue"/>
            <w:tcBorders>
              <w:tl2br w:val="nil"/>
              <w:tr2bl w:val="nil"/>
            </w:tcBorders>
            <w:vAlign w:val="center"/>
          </w:tcPr>
          <w:p/>
        </w:tc>
        <w:tc>
          <w:tcPr>
            <w:tcW w:w="1701" w:type="dxa"/>
            <w:vMerge w:val="continue"/>
            <w:tcBorders>
              <w:tl2br w:val="nil"/>
              <w:tr2bl w:val="nil"/>
            </w:tcBorders>
            <w:vAlign w:val="center"/>
          </w:tcPr>
          <w:p/>
        </w:tc>
        <w:tc>
          <w:tcPr>
            <w:tcW w:w="68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7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18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399"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701"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保障人数</w:t>
            </w:r>
          </w:p>
        </w:tc>
        <w:tc>
          <w:tcPr>
            <w:tcW w:w="2126"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反映保障人数</w:t>
            </w:r>
          </w:p>
        </w:tc>
        <w:tc>
          <w:tcPr>
            <w:tcW w:w="1701"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此项15分，每少一个人扣0.1分</w:t>
            </w:r>
          </w:p>
        </w:tc>
        <w:tc>
          <w:tcPr>
            <w:tcW w:w="685"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文字描述</w:t>
            </w:r>
          </w:p>
        </w:tc>
        <w:tc>
          <w:tcPr>
            <w:tcW w:w="488" w:type="dxa"/>
            <w:tcBorders>
              <w:tl2br w:val="nil"/>
              <w:tr2bl w:val="nil"/>
            </w:tcBorders>
          </w:tcPr>
          <w:p>
            <w:pPr>
              <w:rPr>
                <w:rFonts w:hint="eastAsia" w:ascii="仿宋_GB2312" w:hAnsi="仿宋_GB2312" w:eastAsia="仿宋_GB2312" w:cs="仿宋_GB2312"/>
                <w:color w:val="000000"/>
                <w:sz w:val="22"/>
              </w:rPr>
            </w:pPr>
          </w:p>
        </w:tc>
        <w:tc>
          <w:tcPr>
            <w:tcW w:w="670"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保人员稳定障</w:t>
            </w:r>
          </w:p>
        </w:tc>
        <w:tc>
          <w:tcPr>
            <w:tcW w:w="1180"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年度考核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99" w:type="dxa"/>
            <w:vMerge w:val="continue"/>
            <w:tcBorders>
              <w:tl2br w:val="nil"/>
              <w:tr2bl w:val="nil"/>
            </w:tcBorders>
            <w:vAlign w:val="center"/>
          </w:tcP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701"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运转保障率</w:t>
            </w:r>
          </w:p>
        </w:tc>
        <w:tc>
          <w:tcPr>
            <w:tcW w:w="2126"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反映各项日常工作保障情况</w:t>
            </w:r>
          </w:p>
        </w:tc>
        <w:tc>
          <w:tcPr>
            <w:tcW w:w="1701"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此项15分，每少1%扣0.2分</w:t>
            </w:r>
          </w:p>
        </w:tc>
        <w:tc>
          <w:tcPr>
            <w:tcW w:w="685" w:type="dxa"/>
            <w:tcBorders>
              <w:tl2br w:val="nil"/>
              <w:tr2bl w:val="nil"/>
            </w:tcBorders>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488"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100</w:t>
            </w:r>
          </w:p>
        </w:tc>
        <w:tc>
          <w:tcPr>
            <w:tcW w:w="670"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180"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年度考核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399" w:type="dxa"/>
            <w:vMerge w:val="continue"/>
            <w:tcBorders>
              <w:tl2br w:val="nil"/>
              <w:tr2bl w:val="nil"/>
            </w:tcBorders>
            <w:vAlign w:val="center"/>
          </w:tcP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701"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职工工资及社保发放及时率</w:t>
            </w:r>
          </w:p>
        </w:tc>
        <w:tc>
          <w:tcPr>
            <w:tcW w:w="2126"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反映工资发放的时效情况</w:t>
            </w:r>
          </w:p>
        </w:tc>
        <w:tc>
          <w:tcPr>
            <w:tcW w:w="1701"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此项15分，每少1%扣0.2分</w:t>
            </w:r>
          </w:p>
        </w:tc>
        <w:tc>
          <w:tcPr>
            <w:tcW w:w="685" w:type="dxa"/>
            <w:tcBorders>
              <w:tl2br w:val="nil"/>
              <w:tr2bl w:val="nil"/>
            </w:tcBorders>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488"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95</w:t>
            </w:r>
          </w:p>
        </w:tc>
        <w:tc>
          <w:tcPr>
            <w:tcW w:w="670"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180"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年度考核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99" w:type="dxa"/>
            <w:vMerge w:val="continue"/>
            <w:tcBorders>
              <w:tl2br w:val="nil"/>
              <w:tr2bl w:val="nil"/>
            </w:tcBorders>
            <w:vAlign w:val="center"/>
          </w:tcP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701"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资金成本</w:t>
            </w:r>
          </w:p>
        </w:tc>
        <w:tc>
          <w:tcPr>
            <w:tcW w:w="2126"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反映单位资金成本</w:t>
            </w:r>
          </w:p>
        </w:tc>
        <w:tc>
          <w:tcPr>
            <w:tcW w:w="1701"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此项15分，每加减1万扣0.1分</w:t>
            </w:r>
          </w:p>
        </w:tc>
        <w:tc>
          <w:tcPr>
            <w:tcW w:w="685" w:type="dxa"/>
            <w:tcBorders>
              <w:tl2br w:val="nil"/>
              <w:tr2bl w:val="nil"/>
            </w:tcBorders>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488"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231.55</w:t>
            </w:r>
          </w:p>
        </w:tc>
        <w:tc>
          <w:tcPr>
            <w:tcW w:w="670"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万元/年</w:t>
            </w:r>
          </w:p>
        </w:tc>
        <w:tc>
          <w:tcPr>
            <w:tcW w:w="1180"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年度考核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99"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701"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加强工作人员归属感，保持干部队伍稳定</w:t>
            </w:r>
          </w:p>
        </w:tc>
        <w:tc>
          <w:tcPr>
            <w:tcW w:w="2126"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通过按时按标准发放工资福利等，进一步增强职工的归属感，保障办公正常运转</w:t>
            </w:r>
          </w:p>
          <w:p>
            <w:pPr>
              <w:widowControl/>
              <w:adjustRightInd w:val="0"/>
              <w:snapToGrid w:val="0"/>
              <w:rPr>
                <w:rFonts w:hint="eastAsia" w:ascii="仿宋_GB2312" w:hAnsi="仿宋_GB2312" w:eastAsia="仿宋_GB2312" w:cs="仿宋_GB2312"/>
              </w:rPr>
            </w:pPr>
          </w:p>
        </w:tc>
        <w:tc>
          <w:tcPr>
            <w:tcW w:w="1701"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此项20分，每少1%扣0.2分</w:t>
            </w:r>
          </w:p>
          <w:p>
            <w:pPr>
              <w:widowControl/>
              <w:adjustRightInd w:val="0"/>
              <w:snapToGrid w:val="0"/>
              <w:rPr>
                <w:rFonts w:hint="eastAsia" w:ascii="仿宋_GB2312" w:hAnsi="仿宋_GB2312" w:eastAsia="仿宋_GB2312" w:cs="仿宋_GB2312"/>
              </w:rPr>
            </w:pPr>
          </w:p>
        </w:tc>
        <w:tc>
          <w:tcPr>
            <w:tcW w:w="685" w:type="dxa"/>
            <w:tcBorders>
              <w:tl2br w:val="nil"/>
              <w:tr2bl w:val="nil"/>
            </w:tcBorders>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488"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90</w:t>
            </w:r>
          </w:p>
        </w:tc>
        <w:tc>
          <w:tcPr>
            <w:tcW w:w="670"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180"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color w:val="000000"/>
                <w:sz w:val="22"/>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399" w:type="dxa"/>
            <w:vMerge w:val="continue"/>
            <w:tcBorders>
              <w:tl2br w:val="nil"/>
              <w:tr2bl w:val="nil"/>
            </w:tcBorders>
            <w:vAlign w:val="center"/>
          </w:tcP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701" w:type="dxa"/>
            <w:tcBorders>
              <w:tl2br w:val="nil"/>
              <w:tr2bl w:val="nil"/>
            </w:tcBorders>
            <w:noWrap/>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群众满意度</w:t>
            </w:r>
          </w:p>
        </w:tc>
        <w:tc>
          <w:tcPr>
            <w:tcW w:w="2126" w:type="dxa"/>
            <w:tcBorders>
              <w:tl2br w:val="nil"/>
              <w:tr2bl w:val="nil"/>
            </w:tcBorders>
            <w:noWrap/>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反映群众对街道当年工作满意度</w:t>
            </w:r>
          </w:p>
        </w:tc>
        <w:tc>
          <w:tcPr>
            <w:tcW w:w="1701" w:type="dxa"/>
            <w:tcBorders>
              <w:tl2br w:val="nil"/>
              <w:tr2bl w:val="nil"/>
            </w:tcBorders>
            <w:noWrap/>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此项20分，每少1%扣0.2分</w:t>
            </w:r>
          </w:p>
        </w:tc>
        <w:tc>
          <w:tcPr>
            <w:tcW w:w="685"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488"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90</w:t>
            </w:r>
          </w:p>
        </w:tc>
        <w:tc>
          <w:tcPr>
            <w:tcW w:w="670"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180" w:type="dxa"/>
            <w:tcBorders>
              <w:tl2br w:val="nil"/>
              <w:tr2bl w:val="nil"/>
            </w:tcBorders>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1.社区招聘人员经费[区级]（项目名称）绩效目标表</w:t>
      </w:r>
      <w:bookmarkStart w:id="0" w:name="_Toc29799657"/>
      <w:bookmarkEnd w:id="0"/>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数量指标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保障人数</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反映保障人数</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≥61人</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廊办发〔2012〕6号、廊发〔2017〕23号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质量指标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工资发放准确率</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反映工资发放精准情况</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=100%</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廊办发〔2012〕6号、廊发〔2017〕23号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质量指标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个人保险申报表</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反映保险申报情况</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=100%</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廊办发〔2012〕6号、廊发〔2017〕23号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时效指标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工资发放及时率</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反映工资发放的时效情况</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≥95%</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廊办发〔2012〕6号、廊发〔2017〕23号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成本指标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社区聘用人员人均工资标准</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社区聘用人员人均工资标准</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≤4203元/人/月</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廊办发〔2012〕6号、廊发〔2017〕23号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成本指标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社区聘用人员人均保险所需资金</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社区聘用人员人均保险所需资金</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≤2469元/人/月</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廊办发〔2012〕6号、廊发〔2017〕23号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社会效益指标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确保人员稳定，实现进一步提升</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反映人员稳定提升情况</w:t>
            </w:r>
          </w:p>
        </w:tc>
        <w:tc>
          <w:tcPr>
            <w:tcW w:w="1843"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文字描述 不上访</w:t>
            </w:r>
          </w:p>
        </w:tc>
        <w:tc>
          <w:tcPr>
            <w:tcW w:w="2155"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廊办发〔2012〕6号、廊发〔2017〕23号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服务对象满意度指标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社区聘用人员的满意度</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社区聘用人员满意的占总人数的比例</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≥90</w:t>
            </w:r>
            <w:r>
              <w:rPr>
                <w:rFonts w:hint="eastAsia" w:ascii="仿宋_GB2312" w:hAnsi="仿宋_GB2312" w:eastAsia="仿宋_GB2312" w:cs="仿宋_GB2312"/>
                <w:color w:val="000000"/>
                <w:kern w:val="0"/>
                <w:sz w:val="22"/>
              </w:rPr>
              <w:t>%</w:t>
            </w:r>
          </w:p>
        </w:tc>
        <w:tc>
          <w:tcPr>
            <w:tcW w:w="2155"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年度考核</w:t>
            </w:r>
          </w:p>
        </w:tc>
      </w:tr>
    </w:tbl>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w:t>
      </w:r>
      <w:r>
        <w:rPr>
          <w:rFonts w:hint="eastAsia" w:ascii="仿宋_GB2312" w:hAnsi="仿宋_GB2312" w:eastAsia="仿宋_GB2312" w:cs="仿宋_GB2312"/>
          <w:sz w:val="28"/>
        </w:rPr>
        <w:t>.社区楼门长工作经费</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kern w:val="0"/>
                <w:sz w:val="24"/>
              </w:rPr>
              <w:t>通过项目的开展完成楼门长补贴经费支出计划，推进社会治理重心向基层下移，实现政府治理和社会调节、居民参与的良性互动。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数量指标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补贴楼门长人员数量</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反映发放补贴的人数</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=606人</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质量指标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补贴发放精准性</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反应补贴资金发放人员范围和发放数据的准确性</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=100%</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时效指标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补贴发放及时率</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反映补贴发放时间及时性情况</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≥95%</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成本指标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有物业小区单元长补贴标准</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有物业小区单元长补贴标准</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=50元/月/人</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成本指标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有物业小区楼长、无物业小区单元长补贴标准</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有物业小区楼长、无物业小区单元长补贴标准</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=100元/月/人</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成本指标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无物业小区楼长补贴标准</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无物业小区楼长补贴标准</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=200元/月/人</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廊广办发〔2020〕1号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社会效益指标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补贴人群生活水平提高程度</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反应补贴人群生活水平提高程度</w:t>
            </w:r>
          </w:p>
        </w:tc>
        <w:tc>
          <w:tcPr>
            <w:tcW w:w="1843"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提升楼门长工作积极性</w:t>
            </w:r>
          </w:p>
        </w:tc>
        <w:tc>
          <w:tcPr>
            <w:tcW w:w="2155"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考核情况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服务对象满意度指标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满意度</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楼门长满意度</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2"/>
              </w:rPr>
              <w:t>≥90%</w:t>
            </w:r>
          </w:p>
        </w:tc>
        <w:tc>
          <w:tcPr>
            <w:tcW w:w="2155"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调查问卷</w:t>
            </w:r>
          </w:p>
        </w:tc>
      </w:tr>
    </w:tbl>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3</w:t>
      </w:r>
      <w:r>
        <w:rPr>
          <w:rFonts w:hint="eastAsia" w:ascii="仿宋_GB2312" w:hAnsi="仿宋_GB2312" w:eastAsia="仿宋_GB2312" w:cs="仿宋_GB2312"/>
          <w:sz w:val="28"/>
        </w:rPr>
        <w:t>.社区工作经费</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szCs w:val="21"/>
              </w:rPr>
              <w:t>通过社区各项日常办公费用支出，达到社区各项日常工作正常运转，实现加强和完善社区治理，基层和谐稳定，进一步健全城乡社区治理体系，推进治理能力现代化。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数量指标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经费保障社区数量</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反应经费保障社区数量</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=14个</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质量指标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运转保障率</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反映各项日常工作保障情况</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=100%</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时效指标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经费保障及时率</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反映及时保障各项日常办公需要</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≥95%</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成本指标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资金成本</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反映单位资金成本</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≤10万元/社区/年</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社会效益指标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保障日常办公需要，维持社区正常运转</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反映保障日常办公需要，维持社区正常运转</w:t>
            </w:r>
          </w:p>
        </w:tc>
        <w:tc>
          <w:tcPr>
            <w:tcW w:w="1843"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维持社区正常运转</w:t>
            </w:r>
          </w:p>
        </w:tc>
        <w:tc>
          <w:tcPr>
            <w:tcW w:w="2155"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服务对象满意度指标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社区居民对社区服务的满意度</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社区居民对社区当年工作满意度</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2"/>
              </w:rPr>
              <w:t>≥90%</w:t>
            </w:r>
          </w:p>
        </w:tc>
        <w:tc>
          <w:tcPr>
            <w:tcW w:w="2155"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调查问卷</w:t>
            </w:r>
          </w:p>
        </w:tc>
      </w:tr>
    </w:tbl>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4</w:t>
      </w:r>
      <w:r>
        <w:rPr>
          <w:rFonts w:hint="eastAsia" w:ascii="仿宋_GB2312" w:hAnsi="仿宋_GB2312" w:eastAsia="仿宋_GB2312" w:cs="仿宋_GB2312"/>
          <w:sz w:val="28"/>
        </w:rPr>
        <w:t>.社区党组织服务群众专项经费[区级]</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color w:val="000000"/>
                <w:kern w:val="0"/>
                <w:sz w:val="22"/>
              </w:rPr>
              <w:t>通过推动我社区基层党建工作，实现社区党组织的主导作用，提升专业化服务水平。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数量指标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项目保障社区数</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反映项目保障服务人数</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=14个</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质量指标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运转保障率</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反映党组织日常工作保障情况</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=100%</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时效指标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经费保障及时率</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反应工作完成及时率</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≥95%</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成本指标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资金成本</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反映单位资金成本</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≤20万元/社区/年</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社会效益指标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提升专业化服务水平</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反映专业化服务水平情况</w:t>
            </w:r>
          </w:p>
        </w:tc>
        <w:tc>
          <w:tcPr>
            <w:tcW w:w="1843"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进一步提升</w:t>
            </w:r>
          </w:p>
        </w:tc>
        <w:tc>
          <w:tcPr>
            <w:tcW w:w="2155"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服务对象满意度指标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社区居民对社区服务的满意度</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社区居民对社区当年工作满意度</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2"/>
              </w:rPr>
              <w:t>≥90%</w:t>
            </w:r>
          </w:p>
        </w:tc>
        <w:tc>
          <w:tcPr>
            <w:tcW w:w="2155"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调查问卷</w:t>
            </w:r>
          </w:p>
        </w:tc>
      </w:tr>
    </w:tbl>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5</w:t>
      </w:r>
      <w:r>
        <w:rPr>
          <w:rFonts w:hint="eastAsia" w:ascii="仿宋_GB2312" w:hAnsi="仿宋_GB2312" w:eastAsia="仿宋_GB2312" w:cs="仿宋_GB2312"/>
          <w:sz w:val="28"/>
        </w:rPr>
        <w:t>.新春驿站建设经费</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绩效目标表</w:t>
      </w:r>
      <w:bookmarkStart w:id="3" w:name="_GoBack"/>
      <w:bookmarkEnd w:id="3"/>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val="0"/>
                <w:bCs/>
              </w:rPr>
            </w:pPr>
            <w:r>
              <w:rPr>
                <w:rFonts w:hint="eastAsia" w:ascii="仿宋_GB2312" w:hAnsi="仿宋_GB2312" w:eastAsia="仿宋_GB2312" w:cs="仿宋_GB2312"/>
                <w:b w:val="0"/>
                <w:bCs/>
              </w:rPr>
              <w:t>1.1、通过“党建+融合”方式，把党的先进思想和理念融合到非公企业经济发展和企业文化中，把非公党建新春驿站打造成助推民营经济高质量发展的开放平台。</w:t>
            </w:r>
          </w:p>
          <w:p>
            <w:pPr>
              <w:spacing w:line="300" w:lineRule="exact"/>
              <w:rPr>
                <w:rFonts w:hint="eastAsia" w:ascii="仿宋_GB2312" w:hAnsi="仿宋_GB2312" w:eastAsia="仿宋_GB2312" w:cs="仿宋_GB2312"/>
                <w:b w:val="0"/>
                <w:bCs/>
              </w:rPr>
            </w:pPr>
            <w:r>
              <w:rPr>
                <w:rFonts w:hint="eastAsia" w:ascii="仿宋_GB2312" w:hAnsi="仿宋_GB2312" w:eastAsia="仿宋_GB2312" w:cs="仿宋_GB2312"/>
                <w:b w:val="0"/>
                <w:bCs/>
              </w:rPr>
              <w:t>2.2、能够提升服务水平的不同层次、不同类型的典型，激励先进，鞭策后进，为党建工作开展常态化、作用发挥最大化提供坚实保障。</w:t>
            </w:r>
          </w:p>
          <w:p>
            <w:pPr>
              <w:spacing w:line="300" w:lineRule="exact"/>
              <w:rPr>
                <w:rFonts w:hint="eastAsia" w:ascii="仿宋_GB2312" w:hAnsi="仿宋_GB2312" w:eastAsia="仿宋_GB2312" w:cs="仿宋_GB2312"/>
                <w:b w:val="0"/>
                <w:bCs/>
              </w:rPr>
            </w:pPr>
            <w:r>
              <w:rPr>
                <w:rFonts w:hint="eastAsia" w:ascii="仿宋_GB2312" w:hAnsi="仿宋_GB2312" w:eastAsia="仿宋_GB2312" w:cs="仿宋_GB2312"/>
                <w:b w:val="0"/>
                <w:bCs/>
              </w:rPr>
              <w:t>3.3、驿站改造顺利完成，达到可使用状态，预算安排、成本支出合理，党建工作开展可持续健康发展。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数量指标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维修面积</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驿站维修面积</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=300平方米</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实际面积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质量指标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维修合格率</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驿站维修合格率</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=100%</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成本指标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预算支出资金成本</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资金成本</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=45.22万元</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实际支出金额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时效指标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项目完成时间</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在计划间内顺利完成</w:t>
            </w:r>
          </w:p>
        </w:tc>
        <w:tc>
          <w:tcPr>
            <w:tcW w:w="1843" w:type="dxa"/>
            <w:shd w:val="clear" w:color="auto" w:fill="auto"/>
          </w:tcPr>
          <w:p>
            <w:pPr>
              <w:jc w:val="left"/>
              <w:rPr>
                <w:rFonts w:hint="eastAsia" w:ascii="仿宋_GB2312" w:hAnsi="仿宋_GB2312" w:eastAsia="仿宋_GB2312" w:cs="仿宋_GB2312"/>
              </w:rPr>
            </w:pPr>
            <w:r>
              <w:rPr>
                <w:rFonts w:hint="eastAsia" w:ascii="仿宋_GB2312" w:hAnsi="仿宋_GB2312" w:eastAsia="仿宋_GB2312" w:cs="仿宋_GB2312"/>
              </w:rPr>
              <w:t>2022年12月31日前</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廊广解办字〔2021〕16号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可持续影响指标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驿站可使用年限</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驿站可使用年限</w:t>
            </w:r>
          </w:p>
        </w:tc>
        <w:tc>
          <w:tcPr>
            <w:tcW w:w="1843"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≥3年</w:t>
            </w:r>
          </w:p>
        </w:tc>
        <w:tc>
          <w:tcPr>
            <w:tcW w:w="2155"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廊广解办字〔2021〕16号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社会效益指标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提升民营经济高质量发展</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提升民营经济高质量发展</w:t>
            </w:r>
          </w:p>
        </w:tc>
        <w:tc>
          <w:tcPr>
            <w:tcW w:w="1843"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促进民营经济高质量发展</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廊广解办字〔2021〕16号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服务对象满意度指标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群众满意度</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群众对党建活动满意度</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2"/>
              </w:rPr>
              <w:t>≥90%</w:t>
            </w:r>
          </w:p>
        </w:tc>
        <w:tc>
          <w:tcPr>
            <w:tcW w:w="2155"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调查问卷</w:t>
            </w:r>
          </w:p>
        </w:tc>
      </w:tr>
    </w:tbl>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lang w:val="en-US" w:eastAsia="zh-CN"/>
        </w:rPr>
      </w:pP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6</w:t>
      </w:r>
      <w:r>
        <w:rPr>
          <w:rFonts w:hint="eastAsia" w:ascii="仿宋_GB2312" w:hAnsi="仿宋_GB2312" w:eastAsia="仿宋_GB2312" w:cs="仿宋_GB2312"/>
          <w:sz w:val="28"/>
        </w:rPr>
        <w:t>.机关事务管理经费绩效目标表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rPr>
            </w:pPr>
            <w:r>
              <w:rPr>
                <w:rFonts w:hint="eastAsia" w:ascii="仿宋_GB2312" w:hAnsi="仿宋_GB2312" w:eastAsia="仿宋_GB2312" w:cs="仿宋_GB2312"/>
                <w:color w:val="000000"/>
                <w:kern w:val="0"/>
                <w:sz w:val="22"/>
              </w:rPr>
              <w:t>保证街道的日常工作的正常运转，群暖、慰问的办公经费。</w:t>
            </w:r>
            <w:r>
              <w:rPr>
                <w:rFonts w:hint="eastAsia" w:ascii="仿宋_GB2312" w:hAnsi="仿宋_GB2312" w:eastAsia="仿宋_GB2312" w:cs="仿宋_GB2312"/>
                <w:color w:val="000000"/>
                <w:kern w:val="0"/>
                <w:sz w:val="22"/>
              </w:rPr>
              <w:tab/>
            </w:r>
            <w:r>
              <w:rPr>
                <w:rFonts w:hint="eastAsia" w:ascii="仿宋_GB2312" w:hAnsi="仿宋_GB2312" w:eastAsia="仿宋_GB2312" w:cs="仿宋_GB2312"/>
                <w:color w:val="000000"/>
                <w:kern w:val="0"/>
                <w:sz w:val="22"/>
              </w:rPr>
              <w:tab/>
            </w:r>
            <w:r>
              <w:rPr>
                <w:rFonts w:hint="eastAsia" w:ascii="仿宋_GB2312" w:hAnsi="仿宋_GB2312" w:eastAsia="仿宋_GB2312" w:cs="仿宋_GB2312"/>
                <w:color w:val="000000"/>
                <w:kern w:val="0"/>
                <w:sz w:val="22"/>
              </w:rPr>
              <w:tab/>
            </w:r>
            <w:r>
              <w:rPr>
                <w:rFonts w:hint="eastAsia" w:ascii="仿宋_GB2312" w:hAnsi="仿宋_GB2312" w:eastAsia="仿宋_GB2312" w:cs="仿宋_GB2312"/>
                <w:color w:val="000000"/>
                <w:kern w:val="0"/>
                <w:sz w:val="22"/>
              </w:rPr>
              <w:tab/>
            </w:r>
            <w:r>
              <w:rPr>
                <w:rFonts w:hint="eastAsia" w:ascii="仿宋_GB2312" w:hAnsi="仿宋_GB2312" w:eastAsia="仿宋_GB2312" w:cs="仿宋_GB2312"/>
                <w:color w:val="000000"/>
                <w:kern w:val="0"/>
                <w:sz w:val="22"/>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数量指标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保障办公人数</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保障办公人数</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≥196人</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反映保障办公人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质量指标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运转保障率</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运转保障率</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=100%</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反映各项日常工作保障率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时效指标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经费保障及时性</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经费保障及时性</w:t>
            </w:r>
          </w:p>
        </w:tc>
        <w:tc>
          <w:tcPr>
            <w:tcW w:w="1843" w:type="dxa"/>
            <w:shd w:val="clear" w:color="auto" w:fill="auto"/>
          </w:tcPr>
          <w:p>
            <w:pPr>
              <w:jc w:val="left"/>
              <w:rPr>
                <w:rFonts w:hint="eastAsia" w:ascii="仿宋_GB2312" w:hAnsi="仿宋_GB2312" w:eastAsia="仿宋_GB2312" w:cs="仿宋_GB2312"/>
              </w:rPr>
            </w:pPr>
            <w:r>
              <w:rPr>
                <w:rFonts w:hint="eastAsia" w:ascii="仿宋_GB2312" w:hAnsi="仿宋_GB2312" w:eastAsia="仿宋_GB2312" w:cs="仿宋_GB2312"/>
              </w:rPr>
              <w:t>及时</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反映及时保障各项日常办公需要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成本指标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日常公用支出</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日常公用支出</w:t>
            </w:r>
          </w:p>
        </w:tc>
        <w:tc>
          <w:tcPr>
            <w:tcW w:w="1843"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≤60万</w:t>
            </w:r>
          </w:p>
        </w:tc>
        <w:tc>
          <w:tcPr>
            <w:tcW w:w="215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反映办公费及其他公用经费的开支标准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社会效益指标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保障日常办公需要，维持单位正常运转</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保障单位正常运转</w:t>
            </w:r>
          </w:p>
        </w:tc>
        <w:tc>
          <w:tcPr>
            <w:tcW w:w="1843"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维持单位正常运转</w:t>
            </w:r>
          </w:p>
        </w:tc>
        <w:tc>
          <w:tcPr>
            <w:tcW w:w="2155"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反映保障日常办公需要，维持单位正常运转。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shd w:val="clear" w:color="auto" w:fill="auto"/>
            <w:vAlign w:val="center"/>
          </w:tcPr>
          <w:p>
            <w:pPr>
              <w:widowControl/>
              <w:jc w:val="left"/>
              <w:textAlignment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服务对象满意度指标</w:t>
            </w:r>
          </w:p>
        </w:tc>
        <w:tc>
          <w:tcPr>
            <w:tcW w:w="1985"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日常办公保障满意度</w:t>
            </w:r>
          </w:p>
        </w:tc>
        <w:tc>
          <w:tcPr>
            <w:tcW w:w="3402" w:type="dxa"/>
            <w:shd w:val="clear" w:color="auto" w:fill="auto"/>
          </w:tcPr>
          <w:p>
            <w:pPr>
              <w:widowControl/>
              <w:jc w:val="left"/>
              <w:textAlignment w:val="top"/>
              <w:rPr>
                <w:rFonts w:hint="eastAsia" w:ascii="仿宋_GB2312" w:hAnsi="仿宋_GB2312" w:eastAsia="仿宋_GB2312" w:cs="仿宋_GB2312"/>
              </w:rPr>
            </w:pPr>
            <w:r>
              <w:rPr>
                <w:rFonts w:hint="eastAsia" w:ascii="仿宋_GB2312" w:hAnsi="仿宋_GB2312" w:eastAsia="仿宋_GB2312" w:cs="仿宋_GB2312"/>
                <w:color w:val="000000"/>
                <w:kern w:val="0"/>
                <w:sz w:val="22"/>
              </w:rPr>
              <w:t>机关工作人员对日常办公保障满意度</w:t>
            </w:r>
          </w:p>
        </w:tc>
        <w:tc>
          <w:tcPr>
            <w:tcW w:w="1843" w:type="dxa"/>
            <w:shd w:val="clear" w:color="auto" w:fill="auto"/>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2"/>
              </w:rPr>
              <w:t>≥90%</w:t>
            </w:r>
          </w:p>
        </w:tc>
        <w:tc>
          <w:tcPr>
            <w:tcW w:w="2155" w:type="dxa"/>
            <w:shd w:val="clear" w:color="auto" w:fill="auto"/>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调查问卷</w:t>
            </w:r>
          </w:p>
        </w:tc>
      </w:tr>
    </w:tbl>
    <w:p>
      <w:pPr>
        <w:autoSpaceDE w:val="0"/>
        <w:autoSpaceDN w:val="0"/>
        <w:adjustRightInd w:val="0"/>
        <w:spacing w:line="584" w:lineRule="exact"/>
        <w:jc w:val="left"/>
        <w:rPr>
          <w:rFonts w:hint="eastAsia" w:ascii="仿宋_GB2312" w:hAnsi="仿宋_GB2312" w:eastAsia="仿宋_GB2312" w:cs="仿宋_GB2312"/>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rPr>
        <w:t>街道</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26.20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outlineLvl w:val="1"/>
        <w:rPr>
          <w:rFonts w:ascii="方正小标宋_GBK" w:eastAsia="方正小标宋_GBK" w:cs="Times New Roman"/>
          <w:sz w:val="32"/>
        </w:rPr>
      </w:pPr>
      <w:r>
        <w:t>廊坊市</w:t>
      </w:r>
      <w:r>
        <w:rPr>
          <w:rFonts w:hint="eastAsia"/>
        </w:rPr>
        <w:t>广阳区解放道街道办事处</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7712" w:type="dxa"/>
            <w:gridSpan w:val="8"/>
            <w:vAlign w:val="center"/>
          </w:tcPr>
          <w:p>
            <w:pPr>
              <w:pStyle w:val="16"/>
            </w:pPr>
            <w:r>
              <w:t>政府采购金额（当年部门预算安排资金）</w:t>
            </w:r>
          </w:p>
        </w:tc>
        <w:tc>
          <w:tcPr>
            <w:tcW w:w="964" w:type="dxa"/>
            <w:vMerge w:val="restart"/>
            <w:vAlign w:val="center"/>
          </w:tcPr>
          <w:p>
            <w:pPr>
              <w:pStyle w:val="1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pPr>
            <w:r>
              <w:t>合  计</w:t>
            </w:r>
          </w:p>
        </w:tc>
        <w:tc>
          <w:tcPr>
            <w:tcW w:w="964" w:type="dxa"/>
            <w:vAlign w:val="center"/>
          </w:tcPr>
          <w:p>
            <w:pPr>
              <w:pStyle w:val="21"/>
              <w:rPr>
                <w:rFonts w:hint="default" w:eastAsiaTheme="minorEastAsia"/>
                <w:lang w:val="en-US" w:eastAsia="zh-CN"/>
              </w:rPr>
            </w:pPr>
            <w:r>
              <w:rPr>
                <w:rFonts w:hint="eastAsia" w:eastAsiaTheme="minorEastAsia"/>
                <w:lang w:val="en-US" w:eastAsia="zh-CN"/>
              </w:rPr>
              <w:t>40.40</w:t>
            </w: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rPr>
                <w:rFonts w:hint="default" w:eastAsia="方正书宋_GBK"/>
                <w:lang w:val="en-US" w:eastAsia="zh-CN"/>
              </w:rPr>
            </w:pPr>
            <w:r>
              <w:rPr>
                <w:rFonts w:hint="eastAsia"/>
                <w:lang w:val="en-US" w:eastAsia="zh-CN"/>
              </w:rPr>
              <w:t>40.40</w:t>
            </w:r>
          </w:p>
        </w:tc>
        <w:tc>
          <w:tcPr>
            <w:tcW w:w="964" w:type="dxa"/>
            <w:vAlign w:val="center"/>
          </w:tcPr>
          <w:p>
            <w:pPr>
              <w:pStyle w:val="21"/>
              <w:rPr>
                <w:rFonts w:hint="default" w:eastAsia="方正书宋_GBK"/>
                <w:lang w:val="en-US" w:eastAsia="zh-CN"/>
              </w:rPr>
            </w:pPr>
            <w:r>
              <w:rPr>
                <w:rFonts w:hint="eastAsia"/>
                <w:lang w:val="en-US" w:eastAsia="zh-CN"/>
              </w:rPr>
              <w:t>40.40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tcPr>
          <w:p>
            <w:r>
              <w:rPr>
                <w:rFonts w:hint="eastAsia"/>
              </w:rPr>
              <w:t>社区工作经费</w:t>
            </w:r>
          </w:p>
        </w:tc>
        <w:tc>
          <w:tcPr>
            <w:tcW w:w="964" w:type="dxa"/>
            <w:vAlign w:val="top"/>
          </w:tcPr>
          <w:p>
            <w:pPr>
              <w:pStyle w:val="21"/>
              <w:rPr>
                <w:b w:val="0"/>
              </w:rPr>
            </w:pPr>
            <w:r>
              <w:rPr>
                <w:b w:val="0"/>
              </w:rPr>
              <w:t>5.76</w:t>
            </w:r>
          </w:p>
        </w:tc>
        <w:tc>
          <w:tcPr>
            <w:tcW w:w="1134" w:type="dxa"/>
          </w:tcPr>
          <w:p>
            <w:pPr>
              <w:keepNext w:val="0"/>
              <w:keepLines w:val="0"/>
              <w:widowControl/>
              <w:suppressLineNumbers w:val="0"/>
              <w:jc w:val="right"/>
              <w:textAlignment w:val="top"/>
              <w:rPr>
                <w:rFonts w:hint="default" w:ascii="方正书宋_GBK" w:hAnsi="方正书宋_GBK" w:eastAsia="方正书宋_GBK" w:cs="方正书宋_GBK"/>
                <w:i w:val="0"/>
                <w:iCs w:val="0"/>
                <w:color w:val="000000"/>
                <w:kern w:val="0"/>
                <w:sz w:val="21"/>
                <w:szCs w:val="21"/>
                <w:u w:val="none"/>
                <w:lang w:val="en-US" w:eastAsia="zh-CN" w:bidi="ar"/>
              </w:rPr>
            </w:pPr>
            <w:r>
              <w:rPr>
                <w:rFonts w:hint="eastAsia" w:ascii="方正书宋_GBK" w:hAnsi="方正书宋_GBK" w:eastAsia="方正书宋_GBK" w:cs="方正书宋_GBK"/>
                <w:i w:val="0"/>
                <w:iCs w:val="0"/>
                <w:color w:val="000000"/>
                <w:kern w:val="0"/>
                <w:sz w:val="21"/>
                <w:szCs w:val="21"/>
                <w:u w:val="none"/>
                <w:lang w:val="en-US" w:eastAsia="zh-CN" w:bidi="ar"/>
              </w:rPr>
              <w:t>办公桌椅</w:t>
            </w:r>
          </w:p>
        </w:tc>
        <w:tc>
          <w:tcPr>
            <w:tcW w:w="1134" w:type="dxa"/>
            <w:vAlign w:val="center"/>
          </w:tcPr>
          <w:p>
            <w:pPr>
              <w:pStyle w:val="21"/>
            </w:pPr>
          </w:p>
        </w:tc>
        <w:tc>
          <w:tcPr>
            <w:tcW w:w="709" w:type="dxa"/>
          </w:tcPr>
          <w:p>
            <w:pPr>
              <w:pStyle w:val="21"/>
              <w:rPr>
                <w:b w:val="0"/>
              </w:rPr>
            </w:pPr>
            <w:r>
              <w:rPr>
                <w:rFonts w:hint="eastAsia"/>
                <w:b w:val="0"/>
              </w:rPr>
              <w:t>套</w:t>
            </w:r>
          </w:p>
        </w:tc>
        <w:tc>
          <w:tcPr>
            <w:tcW w:w="850" w:type="dxa"/>
          </w:tcPr>
          <w:p>
            <w:pPr>
              <w:pStyle w:val="21"/>
              <w:rPr>
                <w:b w:val="0"/>
              </w:rPr>
            </w:pPr>
            <w:r>
              <w:rPr>
                <w:b w:val="0"/>
              </w:rPr>
              <w:t>48</w:t>
            </w:r>
          </w:p>
        </w:tc>
        <w:tc>
          <w:tcPr>
            <w:tcW w:w="850" w:type="dxa"/>
          </w:tcPr>
          <w:p>
            <w:pPr>
              <w:pStyle w:val="21"/>
              <w:rPr>
                <w:b w:val="0"/>
              </w:rPr>
            </w:pPr>
            <w:r>
              <w:rPr>
                <w:b w:val="0"/>
              </w:rPr>
              <w:t>0.12</w:t>
            </w:r>
          </w:p>
        </w:tc>
        <w:tc>
          <w:tcPr>
            <w:tcW w:w="964" w:type="dxa"/>
          </w:tcPr>
          <w:p>
            <w:pPr>
              <w:pStyle w:val="21"/>
              <w:rPr>
                <w:b w:val="0"/>
              </w:rPr>
            </w:pPr>
            <w:r>
              <w:rPr>
                <w:b w:val="0"/>
              </w:rPr>
              <w:t>5.76</w:t>
            </w:r>
          </w:p>
        </w:tc>
        <w:tc>
          <w:tcPr>
            <w:tcW w:w="964" w:type="dxa"/>
          </w:tcPr>
          <w:p>
            <w:pPr>
              <w:pStyle w:val="21"/>
              <w:rPr>
                <w:b w:val="0"/>
              </w:rPr>
            </w:pPr>
            <w:r>
              <w:rPr>
                <w:b w:val="0"/>
              </w:rPr>
              <w:t>5.76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tcPr>
          <w:p>
            <w:r>
              <w:rPr>
                <w:rFonts w:hint="eastAsia"/>
              </w:rPr>
              <w:t>社区工作经费</w:t>
            </w:r>
          </w:p>
        </w:tc>
        <w:tc>
          <w:tcPr>
            <w:tcW w:w="964" w:type="dxa"/>
            <w:vAlign w:val="top"/>
          </w:tcPr>
          <w:p>
            <w:pPr>
              <w:pStyle w:val="21"/>
              <w:rPr>
                <w:b w:val="0"/>
              </w:rPr>
            </w:pPr>
            <w:r>
              <w:rPr>
                <w:b w:val="0"/>
              </w:rPr>
              <w:t>13.44</w:t>
            </w:r>
          </w:p>
        </w:tc>
        <w:tc>
          <w:tcPr>
            <w:tcW w:w="1134" w:type="dxa"/>
          </w:tcPr>
          <w:p>
            <w:pPr>
              <w:keepNext w:val="0"/>
              <w:keepLines w:val="0"/>
              <w:widowControl/>
              <w:suppressLineNumbers w:val="0"/>
              <w:jc w:val="right"/>
              <w:textAlignment w:val="top"/>
              <w:rPr>
                <w:rFonts w:hint="default" w:ascii="方正书宋_GBK" w:hAnsi="方正书宋_GBK" w:eastAsia="方正书宋_GBK" w:cs="方正书宋_GBK"/>
                <w:i w:val="0"/>
                <w:iCs w:val="0"/>
                <w:color w:val="000000"/>
                <w:kern w:val="0"/>
                <w:sz w:val="21"/>
                <w:szCs w:val="21"/>
                <w:u w:val="none"/>
                <w:lang w:val="en-US" w:eastAsia="zh-CN" w:bidi="ar"/>
              </w:rPr>
            </w:pPr>
            <w:r>
              <w:rPr>
                <w:rFonts w:hint="eastAsia" w:ascii="方正书宋_GBK" w:hAnsi="方正书宋_GBK" w:eastAsia="方正书宋_GBK" w:cs="方正书宋_GBK"/>
                <w:i w:val="0"/>
                <w:iCs w:val="0"/>
                <w:color w:val="000000"/>
                <w:kern w:val="0"/>
                <w:sz w:val="21"/>
                <w:szCs w:val="21"/>
                <w:u w:val="none"/>
                <w:lang w:val="en-US" w:eastAsia="zh-CN" w:bidi="ar"/>
              </w:rPr>
              <w:t>电脑</w:t>
            </w:r>
          </w:p>
        </w:tc>
        <w:tc>
          <w:tcPr>
            <w:tcW w:w="1134" w:type="dxa"/>
            <w:vAlign w:val="center"/>
          </w:tcPr>
          <w:p>
            <w:pPr>
              <w:pStyle w:val="21"/>
            </w:pPr>
          </w:p>
        </w:tc>
        <w:tc>
          <w:tcPr>
            <w:tcW w:w="709" w:type="dxa"/>
          </w:tcPr>
          <w:p>
            <w:pPr>
              <w:pStyle w:val="21"/>
              <w:rPr>
                <w:b w:val="0"/>
              </w:rPr>
            </w:pPr>
            <w:r>
              <w:rPr>
                <w:rFonts w:hint="eastAsia"/>
                <w:b w:val="0"/>
              </w:rPr>
              <w:t>台</w:t>
            </w:r>
          </w:p>
        </w:tc>
        <w:tc>
          <w:tcPr>
            <w:tcW w:w="850" w:type="dxa"/>
          </w:tcPr>
          <w:p>
            <w:pPr>
              <w:pStyle w:val="21"/>
              <w:rPr>
                <w:b w:val="0"/>
              </w:rPr>
            </w:pPr>
            <w:r>
              <w:rPr>
                <w:b w:val="0"/>
              </w:rPr>
              <w:t>28</w:t>
            </w:r>
          </w:p>
        </w:tc>
        <w:tc>
          <w:tcPr>
            <w:tcW w:w="850" w:type="dxa"/>
          </w:tcPr>
          <w:p>
            <w:pPr>
              <w:pStyle w:val="21"/>
              <w:rPr>
                <w:b w:val="0"/>
              </w:rPr>
            </w:pPr>
            <w:r>
              <w:rPr>
                <w:b w:val="0"/>
              </w:rPr>
              <w:t>0.48</w:t>
            </w:r>
          </w:p>
        </w:tc>
        <w:tc>
          <w:tcPr>
            <w:tcW w:w="964" w:type="dxa"/>
          </w:tcPr>
          <w:p>
            <w:pPr>
              <w:pStyle w:val="21"/>
              <w:rPr>
                <w:b w:val="0"/>
              </w:rPr>
            </w:pPr>
            <w:r>
              <w:rPr>
                <w:b w:val="0"/>
              </w:rPr>
              <w:t>13.44</w:t>
            </w:r>
          </w:p>
        </w:tc>
        <w:tc>
          <w:tcPr>
            <w:tcW w:w="964" w:type="dxa"/>
          </w:tcPr>
          <w:p>
            <w:pPr>
              <w:pStyle w:val="21"/>
              <w:rPr>
                <w:b w:val="0"/>
              </w:rPr>
            </w:pPr>
            <w:r>
              <w:rPr>
                <w:b w:val="0"/>
              </w:rPr>
              <w:t>13.44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tcPr>
          <w:p>
            <w:r>
              <w:rPr>
                <w:rFonts w:hint="eastAsia"/>
              </w:rPr>
              <w:t>社区工作经费</w:t>
            </w:r>
          </w:p>
        </w:tc>
        <w:tc>
          <w:tcPr>
            <w:tcW w:w="964" w:type="dxa"/>
            <w:vAlign w:val="top"/>
          </w:tcPr>
          <w:p>
            <w:pPr>
              <w:pStyle w:val="21"/>
              <w:rPr>
                <w:b w:val="0"/>
              </w:rPr>
            </w:pPr>
            <w:r>
              <w:rPr>
                <w:b w:val="0"/>
              </w:rPr>
              <w:t>7.00</w:t>
            </w:r>
          </w:p>
        </w:tc>
        <w:tc>
          <w:tcPr>
            <w:tcW w:w="1134" w:type="dxa"/>
          </w:tcPr>
          <w:p>
            <w:pPr>
              <w:keepNext w:val="0"/>
              <w:keepLines w:val="0"/>
              <w:widowControl/>
              <w:suppressLineNumbers w:val="0"/>
              <w:jc w:val="right"/>
              <w:textAlignment w:val="top"/>
              <w:rPr>
                <w:rFonts w:hint="default" w:ascii="方正书宋_GBK" w:hAnsi="方正书宋_GBK" w:eastAsia="方正书宋_GBK" w:cs="方正书宋_GBK"/>
                <w:i w:val="0"/>
                <w:iCs w:val="0"/>
                <w:color w:val="000000"/>
                <w:kern w:val="0"/>
                <w:sz w:val="21"/>
                <w:szCs w:val="21"/>
                <w:u w:val="none"/>
                <w:lang w:val="en-US" w:eastAsia="zh-CN" w:bidi="ar"/>
              </w:rPr>
            </w:pPr>
            <w:r>
              <w:rPr>
                <w:rFonts w:hint="eastAsia" w:ascii="方正书宋_GBK" w:hAnsi="方正书宋_GBK" w:eastAsia="方正书宋_GBK" w:cs="方正书宋_GBK"/>
                <w:i w:val="0"/>
                <w:iCs w:val="0"/>
                <w:color w:val="000000"/>
                <w:kern w:val="0"/>
                <w:sz w:val="21"/>
                <w:szCs w:val="21"/>
                <w:u w:val="none"/>
                <w:lang w:val="en-US" w:eastAsia="zh-CN" w:bidi="ar"/>
              </w:rPr>
              <w:t>空调</w:t>
            </w:r>
          </w:p>
        </w:tc>
        <w:tc>
          <w:tcPr>
            <w:tcW w:w="1134" w:type="dxa"/>
            <w:vAlign w:val="center"/>
          </w:tcPr>
          <w:p>
            <w:pPr>
              <w:pStyle w:val="21"/>
            </w:pPr>
          </w:p>
        </w:tc>
        <w:tc>
          <w:tcPr>
            <w:tcW w:w="709" w:type="dxa"/>
          </w:tcPr>
          <w:p>
            <w:pPr>
              <w:pStyle w:val="21"/>
              <w:rPr>
                <w:b w:val="0"/>
              </w:rPr>
            </w:pPr>
            <w:r>
              <w:rPr>
                <w:rFonts w:hint="eastAsia"/>
                <w:b w:val="0"/>
              </w:rPr>
              <w:t>台</w:t>
            </w:r>
          </w:p>
        </w:tc>
        <w:tc>
          <w:tcPr>
            <w:tcW w:w="850" w:type="dxa"/>
          </w:tcPr>
          <w:p>
            <w:pPr>
              <w:pStyle w:val="21"/>
              <w:rPr>
                <w:b w:val="0"/>
              </w:rPr>
            </w:pPr>
            <w:r>
              <w:rPr>
                <w:b w:val="0"/>
              </w:rPr>
              <w:t>28</w:t>
            </w:r>
          </w:p>
        </w:tc>
        <w:tc>
          <w:tcPr>
            <w:tcW w:w="850" w:type="dxa"/>
          </w:tcPr>
          <w:p>
            <w:pPr>
              <w:pStyle w:val="21"/>
              <w:rPr>
                <w:b w:val="0"/>
              </w:rPr>
            </w:pPr>
            <w:r>
              <w:rPr>
                <w:b w:val="0"/>
              </w:rPr>
              <w:t>0.25</w:t>
            </w:r>
          </w:p>
        </w:tc>
        <w:tc>
          <w:tcPr>
            <w:tcW w:w="964" w:type="dxa"/>
          </w:tcPr>
          <w:p>
            <w:pPr>
              <w:pStyle w:val="21"/>
              <w:rPr>
                <w:b w:val="0"/>
              </w:rPr>
            </w:pPr>
            <w:r>
              <w:rPr>
                <w:b w:val="0"/>
              </w:rPr>
              <w:t>7.00</w:t>
            </w:r>
          </w:p>
        </w:tc>
        <w:tc>
          <w:tcPr>
            <w:tcW w:w="964" w:type="dxa"/>
          </w:tcPr>
          <w:p>
            <w:pPr>
              <w:pStyle w:val="21"/>
              <w:rPr>
                <w:b w:val="0"/>
              </w:rPr>
            </w:pPr>
            <w:r>
              <w:rPr>
                <w:b w:val="0"/>
              </w:rPr>
              <w:t>7.00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rPr>
                <w:rFonts w:hint="eastAsia" w:eastAsia="方正书宋_GBK"/>
                <w:lang w:eastAsia="zh-CN"/>
              </w:rPr>
            </w:pPr>
            <w:r>
              <w:rPr>
                <w:rFonts w:hint="eastAsia"/>
                <w:lang w:eastAsia="zh-CN"/>
              </w:rPr>
              <w:t>办公费</w:t>
            </w:r>
          </w:p>
        </w:tc>
        <w:tc>
          <w:tcPr>
            <w:tcW w:w="964"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1.5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i w:val="0"/>
                <w:iCs w:val="0"/>
                <w:color w:val="000000"/>
                <w:kern w:val="0"/>
                <w:sz w:val="21"/>
                <w:szCs w:val="21"/>
                <w:u w:val="none"/>
                <w:lang w:val="en-US" w:eastAsia="zh-CN" w:bidi="ar"/>
              </w:rPr>
            </w:pPr>
            <w:r>
              <w:rPr>
                <w:rFonts w:hint="eastAsia" w:ascii="方正书宋_GBK" w:hAnsi="方正书宋_GBK" w:eastAsia="方正书宋_GBK" w:cs="方正书宋_GBK"/>
                <w:i w:val="0"/>
                <w:iCs w:val="0"/>
                <w:color w:val="000000"/>
                <w:kern w:val="0"/>
                <w:sz w:val="21"/>
                <w:szCs w:val="21"/>
                <w:u w:val="none"/>
                <w:lang w:val="en-US" w:eastAsia="zh-CN" w:bidi="ar"/>
              </w:rPr>
              <w:t>办公桌椅</w:t>
            </w:r>
          </w:p>
        </w:tc>
        <w:tc>
          <w:tcPr>
            <w:tcW w:w="1134" w:type="dxa"/>
            <w:vAlign w:val="center"/>
          </w:tcPr>
          <w:p>
            <w:pPr>
              <w:jc w:val="right"/>
            </w:pPr>
          </w:p>
        </w:tc>
        <w:tc>
          <w:tcPr>
            <w:tcW w:w="709"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套</w:t>
            </w:r>
          </w:p>
        </w:tc>
        <w:tc>
          <w:tcPr>
            <w:tcW w:w="850"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10</w:t>
            </w:r>
          </w:p>
        </w:tc>
        <w:tc>
          <w:tcPr>
            <w:tcW w:w="850"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0.15</w:t>
            </w:r>
          </w:p>
        </w:tc>
        <w:tc>
          <w:tcPr>
            <w:tcW w:w="964"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1.5</w:t>
            </w:r>
          </w:p>
        </w:tc>
        <w:tc>
          <w:tcPr>
            <w:tcW w:w="964"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1.5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pPr>
            <w:r>
              <w:rPr>
                <w:rFonts w:hint="eastAsia"/>
                <w:lang w:eastAsia="zh-CN"/>
              </w:rPr>
              <w:t>办公费</w:t>
            </w:r>
          </w:p>
        </w:tc>
        <w:tc>
          <w:tcPr>
            <w:tcW w:w="964"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9.8</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i w:val="0"/>
                <w:iCs w:val="0"/>
                <w:color w:val="000000"/>
                <w:kern w:val="0"/>
                <w:sz w:val="21"/>
                <w:szCs w:val="21"/>
                <w:u w:val="none"/>
                <w:lang w:val="en-US" w:eastAsia="zh-CN" w:bidi="ar"/>
              </w:rPr>
            </w:pPr>
            <w:r>
              <w:rPr>
                <w:rFonts w:hint="eastAsia" w:ascii="方正书宋_GBK" w:hAnsi="方正书宋_GBK" w:eastAsia="方正书宋_GBK" w:cs="方正书宋_GBK"/>
                <w:i w:val="0"/>
                <w:iCs w:val="0"/>
                <w:color w:val="000000"/>
                <w:kern w:val="0"/>
                <w:sz w:val="21"/>
                <w:szCs w:val="21"/>
                <w:u w:val="none"/>
                <w:lang w:val="en-US" w:eastAsia="zh-CN" w:bidi="ar"/>
              </w:rPr>
              <w:t>电脑</w:t>
            </w:r>
          </w:p>
        </w:tc>
        <w:tc>
          <w:tcPr>
            <w:tcW w:w="1134" w:type="dxa"/>
            <w:vAlign w:val="center"/>
          </w:tcPr>
          <w:p>
            <w:pPr>
              <w:jc w:val="right"/>
            </w:pPr>
          </w:p>
        </w:tc>
        <w:tc>
          <w:tcPr>
            <w:tcW w:w="709"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台</w:t>
            </w:r>
          </w:p>
        </w:tc>
        <w:tc>
          <w:tcPr>
            <w:tcW w:w="850"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20</w:t>
            </w:r>
          </w:p>
        </w:tc>
        <w:tc>
          <w:tcPr>
            <w:tcW w:w="850"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0.49</w:t>
            </w:r>
          </w:p>
        </w:tc>
        <w:tc>
          <w:tcPr>
            <w:tcW w:w="964"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9.8</w:t>
            </w:r>
          </w:p>
        </w:tc>
        <w:tc>
          <w:tcPr>
            <w:tcW w:w="964"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9.8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pPr>
            <w:r>
              <w:rPr>
                <w:rFonts w:hint="eastAsia"/>
                <w:lang w:eastAsia="zh-CN"/>
              </w:rPr>
              <w:t>办公费</w:t>
            </w:r>
          </w:p>
        </w:tc>
        <w:tc>
          <w:tcPr>
            <w:tcW w:w="96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2.9</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i w:val="0"/>
                <w:iCs w:val="0"/>
                <w:color w:val="000000"/>
                <w:kern w:val="0"/>
                <w:sz w:val="21"/>
                <w:szCs w:val="21"/>
                <w:u w:val="none"/>
                <w:lang w:val="en-US" w:eastAsia="zh-CN" w:bidi="ar"/>
              </w:rPr>
            </w:pPr>
            <w:r>
              <w:rPr>
                <w:rFonts w:hint="eastAsia" w:ascii="方正书宋_GBK" w:hAnsi="方正书宋_GBK" w:eastAsia="方正书宋_GBK" w:cs="方正书宋_GBK"/>
                <w:i w:val="0"/>
                <w:iCs w:val="0"/>
                <w:color w:val="000000"/>
                <w:kern w:val="0"/>
                <w:sz w:val="21"/>
                <w:szCs w:val="21"/>
                <w:u w:val="none"/>
                <w:lang w:val="en-US" w:eastAsia="zh-CN" w:bidi="ar"/>
              </w:rPr>
              <w:t>空调</w:t>
            </w:r>
          </w:p>
        </w:tc>
        <w:tc>
          <w:tcPr>
            <w:tcW w:w="1134" w:type="dxa"/>
            <w:vAlign w:val="center"/>
          </w:tcPr>
          <w:p/>
        </w:tc>
        <w:tc>
          <w:tcPr>
            <w:tcW w:w="709" w:type="dxa"/>
            <w:vAlign w:val="top"/>
          </w:tcPr>
          <w:p>
            <w:pPr>
              <w:keepNext w:val="0"/>
              <w:keepLines w:val="0"/>
              <w:widowControl/>
              <w:suppressLineNumbers w:val="0"/>
              <w:jc w:val="right"/>
              <w:textAlignment w:val="top"/>
            </w:pPr>
            <w:r>
              <w:rPr>
                <w:rFonts w:hint="default" w:ascii="方正书宋_GBK" w:hAnsi="方正书宋_GBK" w:eastAsia="方正书宋_GBK" w:cs="方正书宋_GBK"/>
                <w:i w:val="0"/>
                <w:iCs w:val="0"/>
                <w:color w:val="000000"/>
                <w:kern w:val="0"/>
                <w:sz w:val="21"/>
                <w:szCs w:val="21"/>
                <w:u w:val="none"/>
                <w:lang w:val="en-US" w:eastAsia="zh-CN" w:bidi="ar"/>
              </w:rPr>
              <w:t>台</w:t>
            </w:r>
          </w:p>
        </w:tc>
        <w:tc>
          <w:tcPr>
            <w:tcW w:w="850"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w:t>
            </w:r>
          </w:p>
        </w:tc>
        <w:tc>
          <w:tcPr>
            <w:tcW w:w="850"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0.29</w:t>
            </w:r>
          </w:p>
        </w:tc>
        <w:tc>
          <w:tcPr>
            <w:tcW w:w="96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2.9</w:t>
            </w:r>
          </w:p>
        </w:tc>
        <w:tc>
          <w:tcPr>
            <w:tcW w:w="964"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2.9</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廊坊市广阳区解放道街道办事处</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945.446153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rPr>
        <w:t>街道</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总额为26.20万元，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电脑、空调、办公家具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廊坊市广阳区解放道街道办事处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945.446153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2862.00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highlight w:val="none"/>
                <w:lang w:val="en-US" w:eastAsia="zh-CN"/>
              </w:rPr>
            </w:pPr>
            <w:r>
              <w:rPr>
                <w:rFonts w:hint="eastAsia" w:ascii="Times New Roman" w:hAnsi="Times New Roman" w:eastAsia="仿宋_GB2312" w:cs="Times New Roman"/>
                <w:sz w:val="22"/>
                <w:highlight w:val="none"/>
                <w:lang w:val="en-US" w:eastAsia="zh-CN"/>
              </w:rPr>
              <w:t>473.90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1300.00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highlight w:val="none"/>
                <w:lang w:val="en-US" w:eastAsia="zh-CN"/>
              </w:rPr>
            </w:pPr>
            <w:r>
              <w:rPr>
                <w:rFonts w:hint="eastAsia" w:ascii="Times New Roman" w:hAnsi="Times New Roman" w:eastAsia="仿宋_GB2312" w:cs="Times New Roman"/>
                <w:sz w:val="22"/>
                <w:highlight w:val="none"/>
                <w:lang w:val="en-US" w:eastAsia="zh-CN"/>
              </w:rPr>
              <w:t>473.90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33</w:t>
            </w:r>
            <w:r>
              <w:rPr>
                <w:rFonts w:hint="eastAsia" w:ascii="Times New Roman" w:hAnsi="Times New Roman" w:eastAsia="仿宋_GB2312" w:cs="Times New Roman"/>
                <w:sz w:val="22"/>
              </w:rPr>
              <w:t>.</w:t>
            </w:r>
            <w:r>
              <w:rPr>
                <w:rFonts w:ascii="Times New Roman" w:hAnsi="Times New Roman" w:eastAsia="仿宋_GB2312" w:cs="Times New Roman"/>
                <w:sz w:val="22"/>
              </w:rPr>
              <w:t>90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437.646153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DA4EDC"/>
    <w:multiLevelType w:val="singleLevel"/>
    <w:tmpl w:val="86DA4ED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24"/>
    <w:rsid w:val="000B23B8"/>
    <w:rsid w:val="003F5A2E"/>
    <w:rsid w:val="00566B5E"/>
    <w:rsid w:val="00C32B24"/>
    <w:rsid w:val="00CB2E22"/>
    <w:rsid w:val="10263931"/>
    <w:rsid w:val="113A7AB0"/>
    <w:rsid w:val="1E932FD6"/>
    <w:rsid w:val="25A466BB"/>
    <w:rsid w:val="2CBB372A"/>
    <w:rsid w:val="4F28775F"/>
    <w:rsid w:val="50264FA9"/>
    <w:rsid w:val="548B0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link w:val="14"/>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character" w:customStyle="1" w:styleId="11">
    <w:name w:val="页眉 Char"/>
    <w:basedOn w:val="9"/>
    <w:link w:val="4"/>
    <w:semiHidden/>
    <w:qFormat/>
    <w:uiPriority w:val="99"/>
    <w:rPr>
      <w:sz w:val="18"/>
      <w:szCs w:val="18"/>
    </w:rPr>
  </w:style>
  <w:style w:type="character" w:customStyle="1" w:styleId="12">
    <w:name w:val="页脚 Char"/>
    <w:basedOn w:val="9"/>
    <w:link w:val="3"/>
    <w:semiHidden/>
    <w:qFormat/>
    <w:uiPriority w:val="99"/>
    <w:rPr>
      <w:sz w:val="18"/>
      <w:szCs w:val="18"/>
    </w:rPr>
  </w:style>
  <w:style w:type="character" w:customStyle="1" w:styleId="13">
    <w:name w:val="批注框文本 Char"/>
    <w:basedOn w:val="9"/>
    <w:link w:val="2"/>
    <w:qFormat/>
    <w:uiPriority w:val="0"/>
    <w:rPr>
      <w:rFonts w:ascii="Calibri" w:hAnsi="Calibri" w:eastAsia="宋体" w:cs="Arial"/>
      <w:sz w:val="18"/>
      <w:szCs w:val="18"/>
    </w:rPr>
  </w:style>
  <w:style w:type="character" w:customStyle="1" w:styleId="14">
    <w:name w:val="脚注文本 Char"/>
    <w:basedOn w:val="9"/>
    <w:link w:val="6"/>
    <w:qFormat/>
    <w:uiPriority w:val="0"/>
    <w:rPr>
      <w:rFonts w:ascii="Calibri" w:hAnsi="Calibri" w:eastAsia="宋体" w:cs="Times New Roman"/>
      <w:sz w:val="18"/>
      <w:szCs w:val="18"/>
    </w:rPr>
  </w:style>
  <w:style w:type="paragraph" w:customStyle="1" w:styleId="1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styleId="2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31</Pages>
  <Words>1919</Words>
  <Characters>10941</Characters>
  <Lines>91</Lines>
  <Paragraphs>25</Paragraphs>
  <TotalTime>0</TotalTime>
  <ScaleCrop>false</ScaleCrop>
  <LinksUpToDate>false</LinksUpToDate>
  <CharactersWithSpaces>12835</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2022-03-09T07:58:00Z</dcterms:created>
  <dc:creator>Acer</dc:creator>
  <cp:lastModifiedBy>灰太羊cc</cp:lastModifiedBy>
  <dcterms:modified xsi:type="dcterms:W3CDTF">2022-03-18T07:28:22Z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3670EA3A9FC544A8BAFD83510CF1B063</vt:lpwstr>
  </property>
</Properties>
</file>