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33" w:rsidRDefault="00340E0D">
      <w:pPr>
        <w:rPr>
          <w:color w:val="000000"/>
        </w:rPr>
        <w:sectPr w:rsidR="00FA3533">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340E0D">
        <w:pict>
          <v:group id="组合 6" o:spid="_x0000_s1038" style="position:absolute;left:0;text-align:left;margin-left:-30.75pt;margin-top:-9.8pt;width:719.25pt;height:309.9pt;z-index:-251652608;mso-wrap-distance-left:3.17494mm;mso-wrap-distance-right:3.17494mm" coordorigin="-614,-195" coordsize="14385,6198">
            <v:rect id="矩形 7" o:spid="_x0000_s1040" style="position:absolute;left:-614;top:-195;width:14385;height:6198" fillcolor="#fdbc11" stroked="f"/>
            <v:rect id="矩形 8" o:spid="_x0000_s1039" style="position:absolute;left:3696;top:4563;width:9685;height:1397" filled="f" stroked="f">
              <v:textbox id="848custom">
                <w:txbxContent>
                  <w:p w:rsidR="00FA3533" w:rsidRDefault="00390FD9">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sidRPr="00340E0D">
        <w:pict>
          <v:rect id="矩形 11" o:spid="_x0000_s1037" style="position:absolute;left:0;text-align:left;margin-left:106.25pt;margin-top:693.55pt;width:404.15pt;height:54pt;z-index:251651584;mso-wrap-distance-left:3.17494mm;mso-wrap-distance-right:3.17494mm" filled="f" stroked="f">
            <v:textbox id="849custom" style="mso-fit-shape-to-text:t">
              <w:txbxContent>
                <w:p w:rsidR="00FA3533" w:rsidRDefault="00390FD9">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w:r>
      <w:r w:rsidRPr="00340E0D">
        <w:pict>
          <v:oval id="椭圆 14" o:spid="_x0000_s1036" style="position:absolute;left:0;text-align:left;margin-left:53.5pt;margin-top:232.45pt;width:121.95pt;height:121.95pt;z-index:251652608;mso-wrap-distance-left:3.17494mm;mso-wrap-distance-right:3.17494mm;v-text-anchor:middle" stroked="f">
            <v:textbox id="850custom">
              <w:txbxContent>
                <w:p w:rsidR="00FA3533" w:rsidRDefault="00FA3533">
                  <w:pPr>
                    <w:jc w:val="center"/>
                  </w:pPr>
                </w:p>
              </w:txbxContent>
            </v:textbox>
          </v:oval>
        </w:pict>
      </w:r>
      <w:r w:rsidRPr="00340E0D">
        <w:pict>
          <v:rect id="矩形 17" o:spid="_x0000_s1035" style="position:absolute;left:0;text-align:left;margin-left:33.6pt;margin-top:256.75pt;width:160.65pt;height:54pt;z-index:251653632;mso-wrap-distance-left:3.17494mm;mso-wrap-distance-right:3.17494mm" filled="f" stroked="f">
            <v:textbox id="851custom" style="mso-fit-shape-to-text:t">
              <w:txbxContent>
                <w:p w:rsidR="00FA3533" w:rsidRDefault="00390FD9">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340E0D">
        <w:pict>
          <v:oval id="椭圆 20" o:spid="_x0000_s1034" style="position:absolute;left:0;text-align:left;margin-left:62.2pt;margin-top:242.75pt;width:103.45pt;height:103.45pt;z-index:251654656;mso-wrap-distance-left:3.17494mm;mso-wrap-distance-right:3.17494mm;v-text-anchor:middle" fillcolor="#1f2959" stroked="f">
            <v:textbox id="852custom">
              <w:txbxContent>
                <w:p w:rsidR="00FA3533" w:rsidRPr="004859C5" w:rsidRDefault="004859C5">
                  <w:pPr>
                    <w:jc w:val="center"/>
                    <w:rPr>
                      <w:sz w:val="44"/>
                      <w:szCs w:val="44"/>
                    </w:rPr>
                  </w:pPr>
                  <w:r w:rsidRPr="004859C5">
                    <w:rPr>
                      <w:rFonts w:hint="eastAsia"/>
                      <w:sz w:val="44"/>
                      <w:szCs w:val="44"/>
                    </w:rPr>
                    <w:t>2019</w:t>
                  </w:r>
                </w:p>
              </w:txbxContent>
            </v:textbox>
          </v:oval>
        </w:pict>
      </w:r>
      <w:r w:rsidRPr="00340E0D">
        <w:pict>
          <v:rect id="矩形 23" o:spid="_x0000_s1033" style="position:absolute;left:0;text-align:left;margin-left:184.75pt;margin-top:286.6pt;width:15.15pt;height:38.4pt;z-index:251655680;mso-wrap-style:none;mso-wrap-distance-left:3.17494mm;mso-wrap-distance-right:3.17494mm" filled="f" stroked="f">
            <v:textbox id="853custom" style="mso-fit-shape-to-text:t">
              <w:txbxContent>
                <w:p w:rsidR="00FA3533" w:rsidRDefault="00FA3533"/>
              </w:txbxContent>
            </v:textbox>
          </v:rect>
        </w:pict>
      </w:r>
    </w:p>
    <w:p w:rsidR="00FA3533" w:rsidRDefault="00FA3533">
      <w:pPr>
        <w:rPr>
          <w:color w:val="000000"/>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390FD9">
      <w:pPr>
        <w:rPr>
          <w:rFonts w:ascii="黑体" w:eastAsia="黑体" w:cs="Times New Roman"/>
          <w:color w:val="000000"/>
          <w:sz w:val="48"/>
          <w:szCs w:val="48"/>
        </w:rPr>
      </w:pPr>
      <w:r>
        <w:rPr>
          <w:rFonts w:ascii="黑体" w:eastAsia="黑体" w:cs="Times New Roman"/>
          <w:color w:val="000000"/>
          <w:sz w:val="48"/>
          <w:szCs w:val="48"/>
        </w:rPr>
        <w:br w:type="page"/>
      </w:r>
    </w:p>
    <w:p w:rsidR="00FA3533" w:rsidRDefault="00390FD9">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FA3533" w:rsidRDefault="00FA3533">
      <w:pPr>
        <w:rPr>
          <w:rFonts w:ascii="黑体" w:eastAsia="黑体" w:cs="黑体"/>
          <w:color w:val="000000"/>
          <w:sz w:val="56"/>
          <w:szCs w:val="72"/>
        </w:rPr>
      </w:pPr>
    </w:p>
    <w:p w:rsidR="00FA3533" w:rsidRDefault="00390FD9">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FA3533" w:rsidRDefault="00FA3533">
      <w:pPr>
        <w:spacing w:line="360" w:lineRule="auto"/>
        <w:jc w:val="center"/>
        <w:rPr>
          <w:rFonts w:ascii="黑体" w:eastAsia="黑体" w:cs="黑体"/>
          <w:color w:val="000000"/>
          <w:sz w:val="56"/>
          <w:szCs w:val="72"/>
        </w:rPr>
      </w:pPr>
    </w:p>
    <w:p w:rsidR="00FA3533" w:rsidRDefault="00FA3533">
      <w:pPr>
        <w:spacing w:line="600" w:lineRule="auto"/>
        <w:jc w:val="center"/>
        <w:rPr>
          <w:rFonts w:ascii="黑体" w:eastAsia="黑体" w:cs="黑体"/>
          <w:color w:val="000000"/>
          <w:sz w:val="56"/>
          <w:szCs w:val="72"/>
        </w:rPr>
      </w:pPr>
    </w:p>
    <w:p w:rsidR="00FA3533" w:rsidRDefault="00FA3533">
      <w:pPr>
        <w:spacing w:line="600" w:lineRule="auto"/>
        <w:jc w:val="center"/>
        <w:rPr>
          <w:rFonts w:ascii="黑体" w:eastAsia="黑体" w:cs="黑体"/>
          <w:color w:val="000000"/>
          <w:sz w:val="56"/>
          <w:szCs w:val="72"/>
        </w:rPr>
      </w:pPr>
    </w:p>
    <w:p w:rsidR="00FA3533" w:rsidRDefault="00FA3533">
      <w:pPr>
        <w:spacing w:line="600" w:lineRule="auto"/>
        <w:jc w:val="center"/>
        <w:rPr>
          <w:rFonts w:ascii="黑体" w:eastAsia="黑体" w:cs="黑体"/>
          <w:color w:val="000000"/>
          <w:sz w:val="56"/>
          <w:szCs w:val="72"/>
        </w:rPr>
      </w:pPr>
    </w:p>
    <w:p w:rsidR="00FA3533" w:rsidRDefault="00FA3533">
      <w:pPr>
        <w:spacing w:line="600" w:lineRule="auto"/>
        <w:jc w:val="center"/>
        <w:rPr>
          <w:rFonts w:ascii="黑体" w:eastAsia="黑体" w:cs="黑体"/>
          <w:color w:val="000000"/>
          <w:sz w:val="56"/>
          <w:szCs w:val="72"/>
        </w:rPr>
      </w:pPr>
    </w:p>
    <w:p w:rsidR="00FA3533" w:rsidRDefault="00FA3533">
      <w:pPr>
        <w:spacing w:line="480" w:lineRule="auto"/>
        <w:jc w:val="center"/>
        <w:rPr>
          <w:rFonts w:ascii="黑体" w:eastAsia="黑体" w:cs="黑体"/>
          <w:color w:val="000000"/>
          <w:sz w:val="56"/>
          <w:szCs w:val="72"/>
        </w:rPr>
      </w:pPr>
    </w:p>
    <w:p w:rsidR="00FA3533" w:rsidRDefault="00FA3533">
      <w:pPr>
        <w:spacing w:line="480" w:lineRule="auto"/>
        <w:jc w:val="center"/>
        <w:rPr>
          <w:rFonts w:ascii="黑体" w:eastAsia="黑体" w:cs="黑体"/>
          <w:color w:val="000000"/>
          <w:sz w:val="56"/>
          <w:szCs w:val="72"/>
        </w:rPr>
      </w:pPr>
    </w:p>
    <w:p w:rsidR="00FA3533" w:rsidRDefault="00FA3533">
      <w:pPr>
        <w:snapToGrid w:val="0"/>
        <w:spacing w:line="480" w:lineRule="auto"/>
        <w:jc w:val="center"/>
        <w:rPr>
          <w:rFonts w:ascii="黑体" w:eastAsia="黑体" w:cs="黑体"/>
          <w:color w:val="000000"/>
          <w:sz w:val="56"/>
          <w:szCs w:val="72"/>
        </w:rPr>
      </w:pPr>
    </w:p>
    <w:p w:rsidR="00FA3533" w:rsidRDefault="00390FD9">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廊坊市广阳区发展和改革局</w:t>
      </w:r>
    </w:p>
    <w:p w:rsidR="00FA3533" w:rsidRDefault="00390FD9">
      <w:pPr>
        <w:snapToGrid w:val="0"/>
        <w:jc w:val="center"/>
        <w:rPr>
          <w:rFonts w:ascii="楷体_GB2312" w:eastAsia="楷体_GB2312" w:cs="楷体_GB2312"/>
          <w:color w:val="000000"/>
          <w:kern w:val="0"/>
          <w:sz w:val="44"/>
          <w:szCs w:val="44"/>
        </w:rPr>
        <w:sectPr w:rsidR="00FA3533">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FA3533" w:rsidRDefault="00390FD9">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FA3533" w:rsidRDefault="00FA3533">
      <w:pPr>
        <w:widowControl/>
        <w:spacing w:after="160" w:line="584" w:lineRule="exact"/>
        <w:ind w:firstLineChars="200" w:firstLine="640"/>
        <w:rPr>
          <w:rFonts w:ascii="Times New Roman" w:eastAsia="黑体" w:cs="Times New Roman"/>
          <w:color w:val="000000"/>
          <w:sz w:val="32"/>
          <w:szCs w:val="32"/>
        </w:rPr>
      </w:pPr>
    </w:p>
    <w:p w:rsidR="00FA3533" w:rsidRDefault="00390FD9">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FA3533" w:rsidRDefault="00390FD9">
      <w:pPr>
        <w:spacing w:line="360" w:lineRule="auto"/>
        <w:ind w:firstLineChars="400" w:firstLine="1280"/>
        <w:rPr>
          <w:rFonts w:ascii="仿宋" w:eastAsia="仿宋" w:cs="仿宋"/>
          <w:color w:val="000000"/>
          <w:sz w:val="24"/>
          <w:szCs w:val="24"/>
        </w:rPr>
      </w:pPr>
      <w:r>
        <w:rPr>
          <w:rFonts w:ascii="Times New Roman" w:eastAsia="仿宋_GB2312" w:cs="Times New Roman" w:hint="eastAsia"/>
          <w:color w:val="000000"/>
          <w:sz w:val="32"/>
          <w:szCs w:val="32"/>
        </w:rPr>
        <w:t>一、部门职责</w:t>
      </w:r>
    </w:p>
    <w:p w:rsidR="00FA3533" w:rsidRDefault="00390FD9">
      <w:pPr>
        <w:widowControl/>
        <w:numPr>
          <w:ilvl w:val="0"/>
          <w:numId w:val="1"/>
        </w:numPr>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机构设置</w:t>
      </w:r>
    </w:p>
    <w:p w:rsidR="00FA3533" w:rsidRDefault="00390FD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FA3533" w:rsidRDefault="00390FD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FA3533" w:rsidRDefault="00390FD9">
      <w:pPr>
        <w:widowControl/>
        <w:spacing w:after="160" w:line="584" w:lineRule="exact"/>
        <w:ind w:leftChars="398" w:left="836" w:firstLineChars="100" w:firstLine="320"/>
        <w:rPr>
          <w:rFonts w:ascii="仿宋_GB2312" w:eastAsia="仿宋_GB2312" w:cs="DengXian-Regular"/>
          <w:sz w:val="32"/>
          <w:szCs w:val="32"/>
        </w:rPr>
      </w:pPr>
      <w:r>
        <w:rPr>
          <w:rFonts w:ascii="Times New Roman" w:eastAsia="仿宋_GB2312" w:cs="Times New Roman" w:hint="eastAsia"/>
          <w:color w:val="000000"/>
          <w:sz w:val="32"/>
          <w:szCs w:val="32"/>
        </w:rPr>
        <w:t>二、收入决算情况说明</w:t>
      </w:r>
    </w:p>
    <w:p w:rsidR="00FA3533" w:rsidRDefault="00390FD9">
      <w:pPr>
        <w:widowControl/>
        <w:numPr>
          <w:ilvl w:val="0"/>
          <w:numId w:val="1"/>
        </w:numPr>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支出决算情况说明</w:t>
      </w:r>
    </w:p>
    <w:p w:rsidR="00FA3533" w:rsidRDefault="00390FD9">
      <w:pPr>
        <w:widowControl/>
        <w:numPr>
          <w:ilvl w:val="0"/>
          <w:numId w:val="1"/>
        </w:numPr>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财政拨款收入支出决算总体情况说明</w:t>
      </w:r>
    </w:p>
    <w:p w:rsidR="00FA3533" w:rsidRDefault="00390FD9">
      <w:pPr>
        <w:widowControl/>
        <w:numPr>
          <w:ilvl w:val="0"/>
          <w:numId w:val="1"/>
        </w:numPr>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FA3533" w:rsidRDefault="00390FD9">
      <w:pPr>
        <w:pStyle w:val="3"/>
        <w:numPr>
          <w:ilvl w:val="0"/>
          <w:numId w:val="1"/>
        </w:numPr>
        <w:spacing w:before="0" w:after="0" w:line="580" w:lineRule="exact"/>
        <w:ind w:firstLineChars="398" w:firstLine="1274"/>
        <w:rPr>
          <w:rFonts w:ascii="Times New Roman" w:eastAsia="仿宋_GB2312" w:cs="Times New Roman"/>
          <w:b w:val="0"/>
          <w:bCs w:val="0"/>
          <w:color w:val="000000"/>
        </w:rPr>
      </w:pPr>
      <w:r>
        <w:rPr>
          <w:rFonts w:ascii="Times New Roman" w:eastAsia="仿宋_GB2312" w:cs="Times New Roman" w:hint="eastAsia"/>
          <w:b w:val="0"/>
          <w:bCs w:val="0"/>
          <w:color w:val="000000"/>
        </w:rPr>
        <w:t>其他重要事项的说明</w:t>
      </w:r>
    </w:p>
    <w:p w:rsidR="00FA3533" w:rsidRDefault="00390FD9">
      <w:pPr>
        <w:widowControl/>
        <w:spacing w:line="560"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FA3533" w:rsidRDefault="00390FD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FA3533" w:rsidRDefault="00390FD9">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FA3533" w:rsidRDefault="00390FD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w:t>
      </w:r>
      <w:r>
        <w:rPr>
          <w:rFonts w:ascii="Times New Roman" w:eastAsia="仿宋_GB2312" w:cs="Times New Roman"/>
          <w:color w:val="000000"/>
          <w:sz w:val="32"/>
          <w:szCs w:val="32"/>
        </w:rPr>
        <w:t>、预算绩效情况说明</w:t>
      </w:r>
    </w:p>
    <w:p w:rsidR="00FA3533" w:rsidRDefault="00390FD9">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预算</w:t>
      </w:r>
      <w:r>
        <w:rPr>
          <w:rFonts w:ascii="Times New Roman" w:eastAsia="仿宋_GB2312" w:cs="Times New Roman"/>
          <w:color w:val="000000"/>
          <w:sz w:val="32"/>
          <w:szCs w:val="32"/>
        </w:rPr>
        <w:t>绩效公开表格</w:t>
      </w:r>
    </w:p>
    <w:p w:rsidR="00FA3533" w:rsidRDefault="00FA3533">
      <w:pPr>
        <w:widowControl/>
        <w:spacing w:after="160" w:line="584" w:lineRule="exact"/>
        <w:ind w:firstLineChars="200" w:firstLine="400"/>
        <w:rPr>
          <w:rFonts w:ascii="Times New Roman" w:eastAsia="仿宋_GB2312" w:cs="Times New Roman"/>
          <w:color w:val="000000"/>
          <w:sz w:val="20"/>
          <w:szCs w:val="32"/>
        </w:rPr>
      </w:pPr>
    </w:p>
    <w:p w:rsidR="00FA3533" w:rsidRDefault="00FA3533">
      <w:pPr>
        <w:widowControl/>
        <w:spacing w:after="160" w:line="580" w:lineRule="exact"/>
        <w:ind w:firstLineChars="200" w:firstLine="640"/>
        <w:rPr>
          <w:rFonts w:ascii="Times New Roman" w:eastAsia="黑体" w:cs="Times New Roman"/>
          <w:color w:val="000000"/>
          <w:sz w:val="32"/>
          <w:szCs w:val="32"/>
        </w:rPr>
        <w:sectPr w:rsidR="00FA3533">
          <w:headerReference w:type="default" r:id="rId16"/>
          <w:footerReference w:type="default" r:id="rId17"/>
          <w:headerReference w:type="first" r:id="rId18"/>
          <w:footerReference w:type="first" r:id="rId19"/>
          <w:type w:val="continuous"/>
          <w:pgSz w:w="11906" w:h="16838"/>
          <w:pgMar w:top="2041" w:right="1531" w:bottom="2041" w:left="1531" w:header="851" w:footer="992" w:gutter="0"/>
          <w:cols w:space="720"/>
          <w:titlePg/>
          <w:docGrid w:type="lines" w:linePitch="312"/>
        </w:sectPr>
      </w:pPr>
    </w:p>
    <w:p w:rsidR="00FA3533" w:rsidRDefault="00340E0D">
      <w:pPr>
        <w:rPr>
          <w:color w:val="000000"/>
        </w:rPr>
      </w:pPr>
      <w:r>
        <w:rPr>
          <w:noProof/>
          <w:color w:val="000000"/>
        </w:rPr>
        <w:lastRenderedPageBreak/>
        <w:pict>
          <v:rect id="矩形 59" o:spid="_x0000_s1042" style="position:absolute;left:0;text-align:left;margin-left:-78.2pt;margin-top:83.7pt;width:613.65pt;height:263.1pt;z-index:251664896;mso-wrap-distance-left:3.17494mm;mso-wrap-distance-right:3.17494mm;v-text-anchor:middle" fillcolor="#ffd966" strokecolor="#ffd966" strokeweight="1pt">
            <v:fill r:id="rId20" o:title="5%" type="pattern"/>
            <v:textbox id="854">
              <w:txbxContent>
                <w:p w:rsidR="00F53B57" w:rsidRDefault="00F53B57" w:rsidP="00F53B57">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w:r>
      <w:r w:rsidR="00390FD9">
        <w:rPr>
          <w:color w:val="000000"/>
        </w:rPr>
        <w:br w:type="page"/>
      </w:r>
    </w:p>
    <w:p w:rsidR="00FA3533" w:rsidRDefault="00390FD9">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（三）负责汇总和分析财政、金融等方面的情况，研究贯彻国家财政政策、货币政策以及其它调控政策的措施，组织实施产业政策，监督检查产业政策的执行；受政府委托对相关投融资机构进行宏观指导。</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w:t>
      </w:r>
      <w:r>
        <w:rPr>
          <w:rFonts w:ascii="仿宋" w:eastAsia="仿宋" w:cs="仿宋" w:hint="eastAsia"/>
          <w:color w:val="000000"/>
          <w:sz w:val="24"/>
          <w:szCs w:val="24"/>
        </w:rPr>
        <w:lastRenderedPageBreak/>
        <w:t>信息化；拟定工业行业规划；推进高技术产业发展，实施技术进步和产业现代化的宏观指导。</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（八）研究分析区域经济和城镇化发展情况，搞好资源开发，生产力布局和生态环境建设规划；提出区域经济协调发展的政策建议，推进城镇化建设。</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（十）做好人口和计划生育、科学技术、教育、文化、卫生等社会事业以及国防建设与国民经济发展的衔接平衡；提出经济与社会协调发展、相互促进的政策，协调社会事业发展的重大问题。</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（十一）推进可持续发展战略，研究拟定资源节约综合利用规划，编制生态建设规划，提出资源节约综合利用的政策建议；组织协调环保产业工作。</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（十二）研究多种所有制经济的状况，提出优化所有制结构和企业组织结构的建议，促进各种所有制企业公平竞争和共同发展；宏观指导和协调促进中小企业、非国有经济发展的重大问题。</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（十三）研究提出促进就业、调整收入分配、完善社会保障与经济协调发展的政策，协调就业、收入分配和社会保障的重大问题。</w:t>
      </w:r>
    </w:p>
    <w:p w:rsidR="00FA3533" w:rsidRDefault="00390FD9">
      <w:pPr>
        <w:spacing w:line="360" w:lineRule="auto"/>
        <w:ind w:firstLineChars="200" w:firstLine="480"/>
        <w:rPr>
          <w:rFonts w:ascii="仿宋" w:eastAsia="仿宋" w:cs="仿宋"/>
          <w:color w:val="000000"/>
          <w:sz w:val="24"/>
          <w:szCs w:val="24"/>
        </w:rPr>
      </w:pPr>
      <w:r>
        <w:rPr>
          <w:rFonts w:ascii="仿宋" w:eastAsia="仿宋" w:cs="仿宋" w:hint="eastAsia"/>
          <w:color w:val="000000"/>
          <w:sz w:val="24"/>
          <w:szCs w:val="24"/>
        </w:rPr>
        <w:t>（十四）参与国民经济和社会发展以及经济体制改革、对外开放有关地方性法规、规章的组织实施工作。</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 xml:space="preserve"> (</w:t>
      </w:r>
      <w:r>
        <w:rPr>
          <w:rFonts w:ascii="仿宋" w:eastAsia="仿宋" w:cs="仿宋" w:hint="eastAsia"/>
          <w:sz w:val="24"/>
          <w:szCs w:val="24"/>
        </w:rPr>
        <w:t>十五</w:t>
      </w:r>
      <w:r>
        <w:rPr>
          <w:rFonts w:ascii="仿宋" w:eastAsia="仿宋" w:cs="仿宋"/>
          <w:sz w:val="24"/>
          <w:szCs w:val="24"/>
        </w:rPr>
        <w:t xml:space="preserve">) </w:t>
      </w:r>
      <w:r>
        <w:rPr>
          <w:rFonts w:ascii="仿宋" w:eastAsia="仿宋" w:cs="仿宋" w:hint="eastAsia"/>
          <w:sz w:val="24"/>
          <w:szCs w:val="24"/>
        </w:rPr>
        <w:t>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十六</w:t>
      </w:r>
      <w:r>
        <w:rPr>
          <w:rFonts w:ascii="仿宋" w:eastAsia="仿宋" w:cs="仿宋"/>
          <w:sz w:val="24"/>
          <w:szCs w:val="24"/>
        </w:rPr>
        <w:t xml:space="preserve">) </w:t>
      </w:r>
      <w:r>
        <w:rPr>
          <w:rFonts w:ascii="仿宋" w:eastAsia="仿宋" w:cs="仿宋" w:hint="eastAsia"/>
          <w:sz w:val="24"/>
          <w:szCs w:val="24"/>
        </w:rPr>
        <w:t>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w:t>
      </w:r>
      <w:r>
        <w:rPr>
          <w:rFonts w:ascii="仿宋" w:eastAsia="仿宋" w:cs="仿宋" w:hint="eastAsia"/>
          <w:sz w:val="24"/>
          <w:szCs w:val="24"/>
        </w:rPr>
        <w:lastRenderedPageBreak/>
        <w:t>信息网络和电子商务建设。</w:t>
      </w:r>
    </w:p>
    <w:p w:rsidR="00FA3533" w:rsidRDefault="00390FD9">
      <w:pPr>
        <w:spacing w:line="360" w:lineRule="auto"/>
        <w:ind w:firstLineChars="200" w:firstLine="480"/>
        <w:rPr>
          <w:rFonts w:ascii="仿宋" w:eastAsia="仿宋" w:cs="仿宋"/>
          <w:sz w:val="24"/>
          <w:szCs w:val="24"/>
          <w:shd w:val="pct40" w:color="auto" w:fill="FFFFFF"/>
        </w:rPr>
      </w:pPr>
      <w:r>
        <w:rPr>
          <w:rFonts w:ascii="仿宋" w:eastAsia="仿宋" w:cs="仿宋"/>
          <w:sz w:val="24"/>
          <w:szCs w:val="24"/>
        </w:rPr>
        <w:t>(</w:t>
      </w:r>
      <w:r>
        <w:rPr>
          <w:rFonts w:ascii="仿宋" w:eastAsia="仿宋" w:cs="仿宋" w:hint="eastAsia"/>
          <w:sz w:val="24"/>
          <w:szCs w:val="24"/>
        </w:rPr>
        <w:t>十七</w:t>
      </w:r>
      <w:r>
        <w:rPr>
          <w:rFonts w:ascii="仿宋" w:eastAsia="仿宋" w:cs="仿宋"/>
          <w:sz w:val="24"/>
          <w:szCs w:val="24"/>
        </w:rPr>
        <w:t xml:space="preserve">) </w:t>
      </w:r>
      <w:r>
        <w:rPr>
          <w:rFonts w:ascii="仿宋" w:eastAsia="仿宋" w:cs="仿宋" w:hint="eastAsia"/>
          <w:sz w:val="24"/>
          <w:szCs w:val="24"/>
        </w:rPr>
        <w:t>牵头推进商务领域信用体系建设，建立商务诚信公共服务平台。规范商贸企业交易行为，牵头推动全区重要产品追溯体系建设；按有关规定对特殊流通行业进行监督管理。</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十八</w:t>
      </w:r>
      <w:r>
        <w:rPr>
          <w:rFonts w:ascii="仿宋" w:eastAsia="仿宋" w:cs="仿宋"/>
          <w:sz w:val="24"/>
          <w:szCs w:val="24"/>
        </w:rPr>
        <w:t xml:space="preserve">) </w:t>
      </w:r>
      <w:r>
        <w:rPr>
          <w:rFonts w:ascii="仿宋" w:eastAsia="仿宋" w:cs="仿宋" w:hint="eastAsia"/>
          <w:sz w:val="24"/>
          <w:szCs w:val="24"/>
        </w:rPr>
        <w:t>组织实施重要消费品市场调控和重要生产资料流通管理。负责建立健全生活必需品市场供应应急管理机</w:t>
      </w:r>
      <w:r>
        <w:rPr>
          <w:rFonts w:ascii="仿宋" w:eastAsia="仿宋" w:cs="仿宋" w:hint="eastAsia"/>
          <w:spacing w:val="2"/>
          <w:sz w:val="24"/>
          <w:szCs w:val="24"/>
        </w:rPr>
        <w:t>制，监测分析市场运行、商品供求状况</w:t>
      </w:r>
      <w:r>
        <w:rPr>
          <w:rFonts w:ascii="仿宋" w:eastAsia="仿宋" w:cs="仿宋" w:hint="eastAsia"/>
          <w:color w:val="000000"/>
          <w:spacing w:val="2"/>
          <w:sz w:val="24"/>
          <w:szCs w:val="24"/>
        </w:rPr>
        <w:t>，调查分析商品价格信息</w:t>
      </w:r>
      <w:r>
        <w:rPr>
          <w:rFonts w:ascii="仿宋" w:eastAsia="仿宋" w:cs="仿宋" w:hint="eastAsia"/>
          <w:spacing w:val="2"/>
          <w:sz w:val="24"/>
          <w:szCs w:val="24"/>
        </w:rPr>
        <w:t>，</w:t>
      </w:r>
      <w:r>
        <w:rPr>
          <w:rFonts w:ascii="仿宋" w:eastAsia="仿宋" w:cs="仿宋" w:hint="eastAsia"/>
          <w:sz w:val="24"/>
          <w:szCs w:val="24"/>
        </w:rPr>
        <w:t>进行预测预警和信息引导；按分工负责重要消费品储备管理和市场调控工作；按有关规定对成品油市场进行监督管理；对酒类流通发展进行指导。</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十九</w:t>
      </w:r>
      <w:r>
        <w:rPr>
          <w:rFonts w:ascii="仿宋" w:eastAsia="仿宋" w:cs="仿宋"/>
          <w:sz w:val="24"/>
          <w:szCs w:val="24"/>
        </w:rPr>
        <w:t xml:space="preserve">) </w:t>
      </w:r>
      <w:r>
        <w:rPr>
          <w:rFonts w:ascii="仿宋" w:eastAsia="仿宋" w:cs="仿宋" w:hint="eastAsia"/>
          <w:sz w:val="24"/>
          <w:szCs w:val="24"/>
        </w:rPr>
        <w:t>执行国家制定的进出口商品、加工贸易管理办法和进出口商品、技术目录。贯彻执行国家和省促进外贸增长方式转变的政策措施；组织实施国家制定的重要工业品、原材料和重要农产品进出口总量计划；会同有关部门协调大宗进出口商品；指导贸易促进活动和外贸促进体系建设。</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w:t>
      </w:r>
      <w:r>
        <w:rPr>
          <w:rFonts w:ascii="仿宋" w:eastAsia="仿宋" w:cs="仿宋"/>
          <w:sz w:val="24"/>
          <w:szCs w:val="24"/>
        </w:rPr>
        <w:t xml:space="preserve">) </w:t>
      </w:r>
      <w:r>
        <w:rPr>
          <w:rFonts w:ascii="仿宋" w:eastAsia="仿宋" w:cs="仿宋" w:hint="eastAsia"/>
          <w:sz w:val="24"/>
          <w:szCs w:val="24"/>
        </w:rPr>
        <w:t>贯彻执行国家和省对外技术贸易、进出口管制以及鼓励技术和成套设备进出口的贸易政策。拟订和推进全区科技兴贸战略；依法监督技术引进、设备进口、国家限制出口技术的工作。</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二十一</w:t>
      </w:r>
      <w:r>
        <w:rPr>
          <w:rFonts w:ascii="仿宋" w:eastAsia="仿宋" w:cs="仿宋"/>
          <w:sz w:val="24"/>
          <w:szCs w:val="24"/>
        </w:rPr>
        <w:t xml:space="preserve">) </w:t>
      </w:r>
      <w:r>
        <w:rPr>
          <w:rFonts w:ascii="仿宋" w:eastAsia="仿宋" w:cs="仿宋" w:hint="eastAsia"/>
          <w:sz w:val="24"/>
          <w:szCs w:val="24"/>
        </w:rPr>
        <w:t>会同有关部门贯彻执行国家和省、市促进服务出口和服务外包发展的规划、政策，牵头拟订全区服务贸易发展规划并组织实施。</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二十二</w:t>
      </w:r>
      <w:r>
        <w:rPr>
          <w:rFonts w:ascii="仿宋" w:eastAsia="仿宋" w:cs="仿宋"/>
          <w:sz w:val="24"/>
          <w:szCs w:val="24"/>
        </w:rPr>
        <w:t xml:space="preserve">) </w:t>
      </w:r>
      <w:r>
        <w:rPr>
          <w:rFonts w:ascii="仿宋" w:eastAsia="仿宋" w:cs="仿宋" w:hint="eastAsia"/>
          <w:sz w:val="24"/>
          <w:szCs w:val="24"/>
        </w:rPr>
        <w:t>贯彻执行国家、省及市利用外资法律法规规章和外商投资产业政策。拟订全区外商投资政策并组织实施</w:t>
      </w:r>
      <w:r>
        <w:rPr>
          <w:rFonts w:ascii="仿宋" w:eastAsia="仿宋" w:cs="仿宋"/>
          <w:sz w:val="24"/>
          <w:szCs w:val="24"/>
        </w:rPr>
        <w:t>;</w:t>
      </w:r>
      <w:r>
        <w:rPr>
          <w:rFonts w:ascii="仿宋" w:eastAsia="仿宋" w:cs="仿宋" w:hint="eastAsia"/>
          <w:color w:val="000000"/>
          <w:sz w:val="24"/>
          <w:szCs w:val="24"/>
        </w:rPr>
        <w:t>依法对全区外商投资企业设立及变更事项、外商投资项目合同章程及法律规定的变更事项进行备案；</w:t>
      </w:r>
      <w:r>
        <w:rPr>
          <w:rFonts w:ascii="仿宋" w:eastAsia="仿宋" w:cs="仿宋" w:hint="eastAsia"/>
          <w:sz w:val="24"/>
          <w:szCs w:val="24"/>
        </w:rPr>
        <w:t>依法监督检查外商投资企业执行有关法律法规规章、合同章程的情况并协调解决有关问题</w:t>
      </w:r>
      <w:r>
        <w:rPr>
          <w:rFonts w:ascii="仿宋" w:eastAsia="仿宋" w:cs="仿宋"/>
          <w:sz w:val="24"/>
          <w:szCs w:val="24"/>
        </w:rPr>
        <w:t>;</w:t>
      </w:r>
      <w:r>
        <w:rPr>
          <w:rFonts w:ascii="仿宋" w:eastAsia="仿宋" w:cs="仿宋" w:hint="eastAsia"/>
          <w:sz w:val="24"/>
          <w:szCs w:val="24"/>
        </w:rPr>
        <w:t>依法指导全市吸引外资及外商投资企业</w:t>
      </w:r>
      <w:r>
        <w:rPr>
          <w:rFonts w:ascii="仿宋" w:eastAsia="仿宋" w:cs="仿宋" w:hint="eastAsia"/>
          <w:color w:val="000000"/>
          <w:sz w:val="24"/>
          <w:szCs w:val="24"/>
        </w:rPr>
        <w:t>备案</w:t>
      </w:r>
      <w:r>
        <w:rPr>
          <w:rFonts w:ascii="仿宋" w:eastAsia="仿宋" w:cs="仿宋" w:hint="eastAsia"/>
          <w:sz w:val="24"/>
          <w:szCs w:val="24"/>
        </w:rPr>
        <w:t>工作，规范对外招商引资活动；综合协调、指导国家级、省级经济开发区有关工作；指导和管理全区外商投资企业进出口工作。</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二十三</w:t>
      </w:r>
      <w:r>
        <w:rPr>
          <w:rFonts w:ascii="仿宋" w:eastAsia="仿宋" w:cs="仿宋"/>
          <w:sz w:val="24"/>
          <w:szCs w:val="24"/>
        </w:rPr>
        <w:t xml:space="preserve">) </w:t>
      </w:r>
      <w:r>
        <w:rPr>
          <w:rFonts w:ascii="仿宋" w:eastAsia="仿宋" w:cs="仿宋" w:hint="eastAsia"/>
          <w:sz w:val="24"/>
          <w:szCs w:val="24"/>
        </w:rPr>
        <w:t>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w:t>
      </w:r>
      <w:r>
        <w:rPr>
          <w:rFonts w:ascii="仿宋" w:eastAsia="仿宋" w:cs="仿宋" w:hint="eastAsia"/>
          <w:sz w:val="24"/>
          <w:szCs w:val="24"/>
        </w:rPr>
        <w:lastRenderedPageBreak/>
        <w:t>关工作；负责对外援助有关工作；指导全区对外投资和经济合作促进工作。</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二十四</w:t>
      </w:r>
      <w:r>
        <w:rPr>
          <w:rFonts w:ascii="仿宋" w:eastAsia="仿宋" w:cs="仿宋"/>
          <w:sz w:val="24"/>
          <w:szCs w:val="24"/>
        </w:rPr>
        <w:t xml:space="preserve">) </w:t>
      </w:r>
      <w:r>
        <w:rPr>
          <w:rFonts w:ascii="仿宋" w:eastAsia="仿宋" w:cs="仿宋" w:hint="eastAsia"/>
          <w:sz w:val="24"/>
          <w:szCs w:val="24"/>
        </w:rPr>
        <w:t>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w:t>
      </w:r>
      <w:r>
        <w:rPr>
          <w:rFonts w:ascii="仿宋" w:eastAsia="仿宋" w:cs="仿宋" w:hint="eastAsia"/>
          <w:color w:val="000000"/>
          <w:sz w:val="24"/>
          <w:szCs w:val="24"/>
        </w:rPr>
        <w:t>；跟踪调查反倾销、反补贴和保障措施等贸易救济措施对全区相关产业的影响；建立产业安全预警机制。</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二十五</w:t>
      </w:r>
      <w:r>
        <w:rPr>
          <w:rFonts w:ascii="仿宋" w:eastAsia="仿宋" w:cs="仿宋"/>
          <w:sz w:val="24"/>
          <w:szCs w:val="24"/>
        </w:rPr>
        <w:t>)</w:t>
      </w:r>
      <w:r>
        <w:rPr>
          <w:rFonts w:ascii="仿宋" w:eastAsia="仿宋" w:cs="仿宋" w:hint="eastAsia"/>
          <w:sz w:val="24"/>
          <w:szCs w:val="24"/>
        </w:rPr>
        <w:t>负责全区会展业促进与管理工作，指导、管理境内外对外经济技术展览会和赴境外非商业性办展活动。</w:t>
      </w:r>
      <w:r>
        <w:rPr>
          <w:rFonts w:ascii="仿宋" w:eastAsia="仿宋" w:cs="仿宋"/>
          <w:sz w:val="24"/>
          <w:szCs w:val="24"/>
        </w:rPr>
        <w:t xml:space="preserve"> </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sz w:val="24"/>
          <w:szCs w:val="24"/>
        </w:rPr>
        <w:t>(</w:t>
      </w:r>
      <w:r>
        <w:rPr>
          <w:rFonts w:ascii="仿宋" w:eastAsia="仿宋" w:cs="仿宋" w:hint="eastAsia"/>
          <w:sz w:val="24"/>
          <w:szCs w:val="24"/>
        </w:rPr>
        <w:t>二十六</w:t>
      </w:r>
      <w:r>
        <w:rPr>
          <w:rFonts w:ascii="仿宋" w:eastAsia="仿宋" w:cs="仿宋"/>
          <w:sz w:val="24"/>
          <w:szCs w:val="24"/>
        </w:rPr>
        <w:t xml:space="preserve">) </w:t>
      </w:r>
      <w:r>
        <w:rPr>
          <w:rFonts w:ascii="仿宋" w:eastAsia="仿宋" w:cs="仿宋" w:hint="eastAsia"/>
          <w:sz w:val="24"/>
          <w:szCs w:val="24"/>
        </w:rPr>
        <w:t>监测分析全区商务运行情况，承担全区商务系统对外宣传和信息发布工作。</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hint="eastAsia"/>
          <w:sz w:val="24"/>
          <w:szCs w:val="24"/>
        </w:rP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hint="eastAsia"/>
          <w:sz w:val="24"/>
          <w:szCs w:val="24"/>
        </w:rPr>
        <w:t>（二十八）依法对粮食经营者从事粮食收购、储存、运输活动和政策性用粮的购销活动及执行国家粮食流通统计制度的情况进行监督检查</w:t>
      </w:r>
      <w:r>
        <w:rPr>
          <w:rFonts w:ascii="仿宋" w:eastAsia="仿宋" w:cs="仿宋"/>
          <w:sz w:val="24"/>
          <w:szCs w:val="24"/>
        </w:rPr>
        <w:t>;</w:t>
      </w:r>
      <w:r>
        <w:rPr>
          <w:rFonts w:ascii="仿宋" w:eastAsia="仿宋" w:cs="仿宋" w:hint="eastAsia"/>
          <w:sz w:val="24"/>
          <w:szCs w:val="24"/>
        </w:rPr>
        <w:t>依法对区级储备粮的数量、质量、储存安全以及轮换计划执行情况及储备粮承储企业的资格进行监督检查</w:t>
      </w:r>
      <w:r>
        <w:rPr>
          <w:rFonts w:ascii="仿宋" w:eastAsia="仿宋" w:cs="仿宋"/>
          <w:sz w:val="24"/>
          <w:szCs w:val="24"/>
        </w:rPr>
        <w:t>;</w:t>
      </w:r>
      <w:r>
        <w:rPr>
          <w:rFonts w:ascii="仿宋" w:eastAsia="仿宋" w:cs="仿宋" w:hint="eastAsia"/>
          <w:sz w:val="24"/>
          <w:szCs w:val="24"/>
        </w:rPr>
        <w:t>负责粮食收购资格核查</w:t>
      </w:r>
      <w:r>
        <w:rPr>
          <w:rFonts w:ascii="仿宋" w:eastAsia="仿宋" w:cs="仿宋"/>
          <w:sz w:val="24"/>
          <w:szCs w:val="24"/>
        </w:rPr>
        <w:t>;</w:t>
      </w:r>
      <w:r>
        <w:rPr>
          <w:rFonts w:ascii="仿宋" w:eastAsia="仿宋" w:cs="仿宋" w:hint="eastAsia"/>
          <w:sz w:val="24"/>
          <w:szCs w:val="24"/>
        </w:rPr>
        <w:t>指导区粮食行政主管部门开展粮食流通监督检查工作；负责局机关文件的合法性审核，负责行政复议和行政诉讼工作，指导本行业法制建设。</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hint="eastAsia"/>
          <w:sz w:val="24"/>
          <w:szCs w:val="24"/>
        </w:rP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w:t>
      </w:r>
      <w:r>
        <w:rPr>
          <w:rFonts w:ascii="仿宋" w:eastAsia="仿宋" w:cs="仿宋" w:hint="eastAsia"/>
          <w:sz w:val="24"/>
          <w:szCs w:val="24"/>
        </w:rPr>
        <w:lastRenderedPageBreak/>
        <w:t>指挥部办公室日常工作</w:t>
      </w:r>
      <w:r>
        <w:rPr>
          <w:rFonts w:ascii="仿宋" w:eastAsia="仿宋" w:cs="仿宋"/>
          <w:sz w:val="24"/>
          <w:szCs w:val="24"/>
        </w:rPr>
        <w:t>;</w:t>
      </w:r>
      <w:r>
        <w:rPr>
          <w:rFonts w:ascii="仿宋" w:eastAsia="仿宋" w:cs="仿宋" w:hint="eastAsia"/>
          <w:sz w:val="24"/>
          <w:szCs w:val="24"/>
        </w:rPr>
        <w:t>负责粮食行业科技管理、新技术应用；指导粮油品牌建设、龙头企业建设及粮食种植基地建设；负责对粮食收购环节的粮食质量安全和原粮卫生进行监管。</w:t>
      </w:r>
    </w:p>
    <w:p w:rsidR="00FA3533" w:rsidRDefault="00390FD9">
      <w:pPr>
        <w:spacing w:line="360" w:lineRule="auto"/>
        <w:ind w:firstLineChars="200" w:firstLine="480"/>
        <w:outlineLvl w:val="1"/>
        <w:rPr>
          <w:rFonts w:ascii="仿宋" w:eastAsia="仿宋" w:cs="仿宋"/>
          <w:sz w:val="24"/>
          <w:szCs w:val="24"/>
        </w:rPr>
      </w:pPr>
      <w:r>
        <w:rPr>
          <w:rFonts w:ascii="仿宋" w:eastAsia="仿宋" w:cs="仿宋" w:hint="eastAsia"/>
          <w:sz w:val="24"/>
          <w:szCs w:val="24"/>
        </w:rPr>
        <w:t>（三十）研究提出全区价格总水平年度调控计划和中长期调控目标；监测、预测全区价格总水平及其结构变动趋势，提出调控意见和建议。</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（三十一）研究提出价格（收费）改革的年度、中长期计划及调整方案；对国家、省、市价改方案积极组织实施。</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（三十二）对国家、省、市委托实行政府定价或政府指导价的商品价格实行管理；对市场调节的商品和服务价格实行间接调控。</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（三十三）管理国家机关收费、公益事业收费、公用事业收费、中介服务收费和重要的经营性收费。</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（三十四）负责市场物价变化情况监测，向省、市物价局和区委、区政府反映物价方面的重要情况，为政府实施宏观调控提供决策依据；向企业和社会发布价格信息。</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（三十五）负责重要工业品和农产品成本调查工作，搞好成本、收益核算，提出相应对策和建议。</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（三十六）负责全区价格认证工作；对经济认证、司法认证收费行为进行管理，指导价格评估、价格咨询中介机构的工作。</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（三十七）指导企业用好市场调节商品和服务的定价权；指导行业组织价格自律工作。</w:t>
      </w:r>
    </w:p>
    <w:p w:rsidR="00FA3533" w:rsidRDefault="00390FD9">
      <w:pPr>
        <w:spacing w:line="360" w:lineRule="auto"/>
        <w:ind w:firstLineChars="200" w:firstLine="480"/>
        <w:rPr>
          <w:rFonts w:ascii="仿宋" w:eastAsia="仿宋" w:cs="仿宋"/>
          <w:sz w:val="24"/>
          <w:szCs w:val="24"/>
        </w:rPr>
      </w:pPr>
      <w:r>
        <w:rPr>
          <w:rFonts w:ascii="仿宋" w:eastAsia="仿宋" w:cs="仿宋" w:hint="eastAsia"/>
          <w:sz w:val="24"/>
          <w:szCs w:val="24"/>
        </w:rPr>
        <w:t>（三十八）</w:t>
      </w:r>
      <w:r>
        <w:rPr>
          <w:rFonts w:ascii="仿宋" w:eastAsia="仿宋" w:cs="仿宋" w:hint="eastAsia"/>
          <w:color w:val="333333"/>
          <w:sz w:val="24"/>
          <w:szCs w:val="24"/>
          <w:shd w:val="clear" w:color="auto" w:fill="FFFFFF"/>
        </w:rPr>
        <w:t>综合分析高技术产业及产业技术的发展态势，组织拟订高技术产业发展、产业自主创新的战略、规划和重大政策</w:t>
      </w:r>
      <w:r>
        <w:rPr>
          <w:rFonts w:ascii="仿宋" w:eastAsia="仿宋" w:cs="仿宋"/>
          <w:color w:val="333333"/>
          <w:sz w:val="24"/>
          <w:szCs w:val="24"/>
          <w:shd w:val="clear" w:color="auto" w:fill="FFFFFF"/>
        </w:rPr>
        <w:t>;</w:t>
      </w:r>
      <w:r>
        <w:rPr>
          <w:rFonts w:ascii="仿宋" w:eastAsia="仿宋" w:cs="仿宋" w:hint="eastAsia"/>
          <w:color w:val="333333"/>
          <w:sz w:val="24"/>
          <w:szCs w:val="24"/>
          <w:shd w:val="clear" w:color="auto" w:fill="FFFFFF"/>
        </w:rPr>
        <w:t>按权限审批、核准、备案或审核转报区高技术产业、自主创新和信息化领域的项目</w:t>
      </w:r>
      <w:r>
        <w:rPr>
          <w:rFonts w:ascii="仿宋" w:eastAsia="仿宋" w:cs="仿宋"/>
          <w:color w:val="333333"/>
          <w:sz w:val="24"/>
          <w:szCs w:val="24"/>
          <w:shd w:val="clear" w:color="auto" w:fill="FFFFFF"/>
        </w:rPr>
        <w:t>;</w:t>
      </w:r>
      <w:r>
        <w:rPr>
          <w:rFonts w:ascii="仿宋" w:eastAsia="仿宋" w:cs="仿宋" w:hint="eastAsia"/>
          <w:color w:val="333333"/>
          <w:sz w:val="24"/>
          <w:szCs w:val="24"/>
          <w:shd w:val="clear" w:color="auto" w:fill="FFFFFF"/>
        </w:rPr>
        <w:t>推进信息化的发展。</w:t>
      </w:r>
    </w:p>
    <w:p w:rsidR="00FA3533" w:rsidRDefault="00390FD9">
      <w:pPr>
        <w:keepNext/>
        <w:keepLines/>
        <w:spacing w:line="580" w:lineRule="exact"/>
        <w:ind w:firstLineChars="200" w:firstLine="480"/>
        <w:jc w:val="left"/>
        <w:outlineLvl w:val="0"/>
        <w:rPr>
          <w:rFonts w:ascii="仿宋" w:eastAsia="仿宋" w:cs="仿宋"/>
          <w:color w:val="000000"/>
          <w:sz w:val="24"/>
          <w:szCs w:val="24"/>
        </w:rPr>
      </w:pPr>
      <w:r>
        <w:rPr>
          <w:rFonts w:ascii="仿宋" w:eastAsia="仿宋" w:cs="仿宋" w:hint="eastAsia"/>
          <w:color w:val="000000"/>
          <w:sz w:val="24"/>
          <w:szCs w:val="24"/>
        </w:rPr>
        <w:t>（三十九）承办区政府交办的其他事项。</w:t>
      </w:r>
    </w:p>
    <w:p w:rsidR="00FA3533" w:rsidRDefault="00390FD9">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FA3533" w:rsidRDefault="00390FD9">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p w:rsidR="00FA3533" w:rsidRDefault="00FA3533">
      <w:pPr>
        <w:spacing w:line="580" w:lineRule="exact"/>
        <w:ind w:firstLineChars="200" w:firstLine="640"/>
        <w:rPr>
          <w:rFonts w:ascii="仿宋_GB2312" w:eastAsia="仿宋_GB2312" w:cs="ArialUnicodeMS"/>
          <w:color w:val="000000"/>
          <w:kern w:val="0"/>
          <w:sz w:val="32"/>
          <w:szCs w:val="32"/>
        </w:rPr>
      </w:pPr>
    </w:p>
    <w:p w:rsidR="00FA3533" w:rsidRDefault="00390FD9">
      <w:pPr>
        <w:spacing w:line="584" w:lineRule="exact"/>
        <w:jc w:val="center"/>
        <w:outlineLvl w:val="0"/>
        <w:rPr>
          <w:rFonts w:ascii="Times New Roman" w:eastAsia="仿宋_GB2312" w:cs="Times New Roman"/>
          <w:b/>
          <w:sz w:val="32"/>
          <w:szCs w:val="24"/>
        </w:rPr>
      </w:pPr>
      <w:r>
        <w:rPr>
          <w:rFonts w:ascii="Times New Roman" w:eastAsia="仿宋_GB2312" w:cs="Times New Roman" w:hint="eastAsia"/>
          <w:b/>
          <w:sz w:val="32"/>
          <w:szCs w:val="24"/>
        </w:rPr>
        <w:t>部门机构设置情况</w:t>
      </w:r>
    </w:p>
    <w:tbl>
      <w:tblPr>
        <w:tblW w:w="84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965"/>
        <w:gridCol w:w="2071"/>
      </w:tblGrid>
      <w:tr w:rsidR="00FA3533">
        <w:trPr>
          <w:trHeight w:val="585"/>
          <w:tblHeader/>
          <w:jc w:val="center"/>
        </w:trPr>
        <w:tc>
          <w:tcPr>
            <w:tcW w:w="4443" w:type="dxa"/>
            <w:vMerge w:val="restart"/>
            <w:vAlign w:val="center"/>
          </w:tcPr>
          <w:p w:rsidR="00FA3533" w:rsidRDefault="00390FD9">
            <w:pPr>
              <w:spacing w:line="584" w:lineRule="exact"/>
              <w:jc w:val="center"/>
              <w:rPr>
                <w:rFonts w:ascii="Times New Roman" w:eastAsia="仿宋_GB2312" w:cs="Times New Roman"/>
                <w:b/>
                <w:szCs w:val="24"/>
              </w:rPr>
            </w:pPr>
            <w:r>
              <w:rPr>
                <w:rFonts w:ascii="Times New Roman" w:eastAsia="仿宋_GB2312" w:cs="Times New Roman" w:hint="eastAsia"/>
                <w:b/>
                <w:szCs w:val="24"/>
              </w:rPr>
              <w:t>单位名称</w:t>
            </w:r>
          </w:p>
        </w:tc>
        <w:tc>
          <w:tcPr>
            <w:tcW w:w="1965" w:type="dxa"/>
            <w:vMerge w:val="restart"/>
            <w:vAlign w:val="center"/>
          </w:tcPr>
          <w:p w:rsidR="00FA3533" w:rsidRDefault="00390FD9">
            <w:pPr>
              <w:spacing w:line="584" w:lineRule="exact"/>
              <w:jc w:val="center"/>
              <w:rPr>
                <w:rFonts w:ascii="Times New Roman" w:eastAsia="仿宋_GB2312" w:cs="Times New Roman"/>
                <w:b/>
                <w:szCs w:val="24"/>
              </w:rPr>
            </w:pPr>
            <w:r>
              <w:rPr>
                <w:rFonts w:ascii="Times New Roman" w:eastAsia="仿宋_GB2312" w:cs="Times New Roman" w:hint="eastAsia"/>
                <w:b/>
                <w:szCs w:val="24"/>
              </w:rPr>
              <w:t>单位基本性质</w:t>
            </w:r>
          </w:p>
        </w:tc>
        <w:tc>
          <w:tcPr>
            <w:tcW w:w="2071" w:type="dxa"/>
            <w:vMerge w:val="restart"/>
            <w:vAlign w:val="center"/>
          </w:tcPr>
          <w:p w:rsidR="00FA3533" w:rsidRDefault="00390FD9">
            <w:pPr>
              <w:spacing w:line="584" w:lineRule="exact"/>
              <w:jc w:val="center"/>
              <w:rPr>
                <w:rFonts w:ascii="Times New Roman" w:eastAsia="仿宋_GB2312" w:cs="Times New Roman"/>
                <w:b/>
                <w:szCs w:val="24"/>
              </w:rPr>
            </w:pPr>
            <w:r>
              <w:rPr>
                <w:rFonts w:ascii="Times New Roman" w:eastAsia="仿宋_GB2312" w:cs="Times New Roman" w:hint="eastAsia"/>
                <w:b/>
                <w:szCs w:val="24"/>
              </w:rPr>
              <w:t>经费形式</w:t>
            </w:r>
          </w:p>
        </w:tc>
      </w:tr>
      <w:tr w:rsidR="00FA3533">
        <w:trPr>
          <w:trHeight w:val="624"/>
          <w:tblHeader/>
          <w:jc w:val="center"/>
        </w:trPr>
        <w:tc>
          <w:tcPr>
            <w:tcW w:w="4443" w:type="dxa"/>
            <w:vMerge/>
            <w:vAlign w:val="center"/>
          </w:tcPr>
          <w:p w:rsidR="00FA3533" w:rsidRDefault="00FA3533"/>
        </w:tc>
        <w:tc>
          <w:tcPr>
            <w:tcW w:w="1965" w:type="dxa"/>
            <w:vMerge/>
            <w:vAlign w:val="center"/>
          </w:tcPr>
          <w:p w:rsidR="00FA3533" w:rsidRDefault="00FA3533"/>
        </w:tc>
        <w:tc>
          <w:tcPr>
            <w:tcW w:w="2071" w:type="dxa"/>
            <w:vMerge/>
            <w:vAlign w:val="center"/>
          </w:tcPr>
          <w:p w:rsidR="00FA3533" w:rsidRDefault="00FA3533"/>
        </w:tc>
      </w:tr>
      <w:tr w:rsidR="00FA3533">
        <w:trPr>
          <w:trHeight w:val="227"/>
          <w:jc w:val="center"/>
        </w:trPr>
        <w:tc>
          <w:tcPr>
            <w:tcW w:w="4443" w:type="dxa"/>
            <w:vAlign w:val="center"/>
          </w:tcPr>
          <w:p w:rsidR="00FA3533" w:rsidRDefault="00390FD9">
            <w:pPr>
              <w:spacing w:line="584" w:lineRule="exact"/>
              <w:jc w:val="center"/>
              <w:rPr>
                <w:rFonts w:ascii="Times New Roman" w:eastAsia="仿宋_GB2312" w:cs="Times New Roman"/>
                <w:b/>
              </w:rPr>
            </w:pPr>
            <w:r>
              <w:rPr>
                <w:rFonts w:ascii="Times New Roman" w:eastAsia="仿宋_GB2312" w:cs="Times New Roman" w:hint="eastAsia"/>
                <w:b/>
              </w:rPr>
              <w:t>廊坊市广阳区发展和改革局</w:t>
            </w:r>
          </w:p>
        </w:tc>
        <w:tc>
          <w:tcPr>
            <w:tcW w:w="1965" w:type="dxa"/>
            <w:vAlign w:val="center"/>
          </w:tcPr>
          <w:p w:rsidR="00FA3533" w:rsidRDefault="00390FD9">
            <w:pPr>
              <w:spacing w:line="584" w:lineRule="exact"/>
              <w:jc w:val="center"/>
              <w:rPr>
                <w:rFonts w:ascii="Times New Roman" w:eastAsia="仿宋_GB2312" w:cs="Times New Roman"/>
                <w:b/>
              </w:rPr>
            </w:pPr>
            <w:r>
              <w:rPr>
                <w:rFonts w:ascii="Times New Roman" w:eastAsia="仿宋_GB2312" w:cs="Times New Roman" w:hint="eastAsia"/>
                <w:b/>
              </w:rPr>
              <w:t>行政</w:t>
            </w:r>
          </w:p>
        </w:tc>
        <w:tc>
          <w:tcPr>
            <w:tcW w:w="2071" w:type="dxa"/>
            <w:vAlign w:val="center"/>
          </w:tcPr>
          <w:p w:rsidR="00FA3533" w:rsidRDefault="00390FD9">
            <w:pPr>
              <w:spacing w:line="584" w:lineRule="exact"/>
              <w:jc w:val="center"/>
              <w:rPr>
                <w:rFonts w:ascii="Times New Roman" w:eastAsia="仿宋_GB2312" w:cs="Times New Roman"/>
                <w:b/>
              </w:rPr>
            </w:pPr>
            <w:r>
              <w:rPr>
                <w:rFonts w:ascii="Times New Roman" w:eastAsia="仿宋_GB2312" w:cs="Times New Roman" w:hint="eastAsia"/>
                <w:b/>
              </w:rPr>
              <w:t>财政拨款</w:t>
            </w:r>
          </w:p>
        </w:tc>
      </w:tr>
    </w:tbl>
    <w:p w:rsidR="00FA3533" w:rsidRDefault="00FA3533">
      <w:pPr>
        <w:spacing w:line="580" w:lineRule="exact"/>
        <w:ind w:firstLineChars="200" w:firstLine="640"/>
        <w:rPr>
          <w:rFonts w:ascii="仿宋_GB2312" w:eastAsia="仿宋_GB2312" w:cs="ArialUnicodeMS"/>
          <w:color w:val="000000"/>
          <w:kern w:val="0"/>
          <w:sz w:val="32"/>
          <w:szCs w:val="32"/>
        </w:rPr>
      </w:pPr>
    </w:p>
    <w:p w:rsidR="00FA3533" w:rsidRDefault="00FA3533">
      <w:pPr>
        <w:spacing w:line="580" w:lineRule="exact"/>
        <w:ind w:firstLineChars="200" w:firstLine="640"/>
        <w:rPr>
          <w:rFonts w:ascii="仿宋_GB2312" w:eastAsia="仿宋_GB2312" w:cs="ArialUnicodeMS"/>
          <w:color w:val="000000"/>
          <w:kern w:val="0"/>
          <w:sz w:val="32"/>
          <w:szCs w:val="32"/>
        </w:rPr>
      </w:pPr>
    </w:p>
    <w:p w:rsidR="00FA3533" w:rsidRDefault="00FA3533">
      <w:pPr>
        <w:widowControl/>
        <w:spacing w:after="160" w:line="580" w:lineRule="exact"/>
        <w:ind w:firstLineChars="200" w:firstLine="640"/>
        <w:rPr>
          <w:rFonts w:ascii="Times New Roman" w:eastAsia="黑体" w:cs="Times New Roman"/>
          <w:color w:val="000000"/>
          <w:sz w:val="32"/>
          <w:szCs w:val="32"/>
        </w:rPr>
      </w:pPr>
    </w:p>
    <w:p w:rsidR="00FA3533" w:rsidRDefault="00FA3533">
      <w:pPr>
        <w:widowControl/>
        <w:spacing w:after="160" w:line="580" w:lineRule="exact"/>
        <w:ind w:firstLineChars="200" w:firstLine="640"/>
        <w:rPr>
          <w:rFonts w:ascii="Times New Roman" w:eastAsia="黑体" w:cs="Times New Roman"/>
          <w:color w:val="000000"/>
          <w:sz w:val="32"/>
          <w:szCs w:val="32"/>
        </w:rPr>
      </w:pPr>
    </w:p>
    <w:p w:rsidR="00FA3533" w:rsidRDefault="00FA3533">
      <w:pPr>
        <w:widowControl/>
        <w:spacing w:after="160" w:line="580" w:lineRule="exact"/>
        <w:ind w:firstLineChars="200" w:firstLine="640"/>
        <w:rPr>
          <w:rFonts w:ascii="Times New Roman" w:eastAsia="黑体" w:cs="Times New Roman"/>
          <w:color w:val="000000"/>
          <w:sz w:val="32"/>
          <w:szCs w:val="32"/>
        </w:rPr>
      </w:pPr>
    </w:p>
    <w:p w:rsidR="00FA3533" w:rsidRDefault="00FA3533">
      <w:pPr>
        <w:widowControl/>
        <w:spacing w:after="160" w:line="580" w:lineRule="exact"/>
        <w:ind w:firstLineChars="200" w:firstLine="640"/>
        <w:rPr>
          <w:rFonts w:ascii="Times New Roman" w:eastAsia="黑体" w:cs="Times New Roman"/>
          <w:color w:val="000000"/>
          <w:sz w:val="32"/>
          <w:szCs w:val="32"/>
        </w:rPr>
        <w:sectPr w:rsidR="00FA3533">
          <w:pgSz w:w="11906" w:h="16838"/>
          <w:pgMar w:top="2041" w:right="1531" w:bottom="2041" w:left="1531" w:header="851" w:footer="992" w:gutter="0"/>
          <w:pgNumType w:fmt="numberInDash" w:start="1"/>
          <w:cols w:space="720"/>
          <w:titlePg/>
          <w:docGrid w:type="lines" w:linePitch="312"/>
        </w:sectPr>
      </w:pPr>
    </w:p>
    <w:p w:rsidR="00FA3533" w:rsidRDefault="00FA3533">
      <w:pPr>
        <w:widowControl/>
        <w:spacing w:after="160" w:line="580" w:lineRule="exact"/>
        <w:ind w:firstLineChars="200" w:firstLine="640"/>
        <w:rPr>
          <w:rFonts w:ascii="Times New Roman" w:eastAsia="黑体" w:cs="Times New Roman"/>
          <w:color w:val="000000"/>
          <w:sz w:val="32"/>
          <w:szCs w:val="32"/>
        </w:rPr>
        <w:sectPr w:rsidR="00FA3533">
          <w:type w:val="continuous"/>
          <w:pgSz w:w="11906" w:h="16838"/>
          <w:pgMar w:top="2041" w:right="1531" w:bottom="2041" w:left="1531" w:header="851" w:footer="992" w:gutter="0"/>
          <w:pgNumType w:fmt="numberInDash"/>
          <w:cols w:space="720"/>
          <w:titlePg/>
          <w:docGrid w:type="lines" w:linePitch="312"/>
        </w:sectPr>
      </w:pPr>
    </w:p>
    <w:p w:rsidR="00FA3533" w:rsidRDefault="00340E0D">
      <w:pPr>
        <w:widowControl/>
        <w:spacing w:after="160" w:line="580" w:lineRule="exact"/>
        <w:ind w:firstLineChars="200" w:firstLine="420"/>
        <w:rPr>
          <w:rFonts w:ascii="Times New Roman" w:eastAsia="黑体" w:cs="Times New Roman"/>
          <w:color w:val="000000"/>
          <w:sz w:val="32"/>
          <w:szCs w:val="32"/>
        </w:rPr>
        <w:sectPr w:rsidR="00FA3533">
          <w:pgSz w:w="11906" w:h="16838"/>
          <w:pgMar w:top="2041" w:right="1531" w:bottom="2041" w:left="1531" w:header="851" w:footer="992" w:gutter="0"/>
          <w:pgNumType w:fmt="numberInDash"/>
          <w:cols w:space="720"/>
          <w:titlePg/>
          <w:docGrid w:type="lines" w:linePitch="312"/>
        </w:sectPr>
      </w:pPr>
      <w:r w:rsidRPr="00340E0D">
        <w:rPr>
          <w:noProof/>
        </w:rPr>
        <w:lastRenderedPageBreak/>
        <w:pict>
          <v:rect id="矩形 73" o:spid="_x0000_s1043" style="position:absolute;left:0;text-align:left;margin-left:-75.8pt;margin-top:103.8pt;width:613.65pt;height:263.1pt;z-index:251665920;mso-wrap-distance-left:3.17494mm;mso-wrap-distance-right:3.17494mm;v-text-anchor:middle" fillcolor="#ffd966" strokecolor="#ffd966" strokeweight=".5pt">
            <v:fill r:id="rId20" o:title="5%" type="pattern"/>
            <v:textbox id="856">
              <w:txbxContent>
                <w:p w:rsidR="00D939E2" w:rsidRDefault="00D939E2" w:rsidP="00D939E2">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D939E2" w:rsidRDefault="00D939E2" w:rsidP="00D939E2">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D939E2" w:rsidRDefault="00D939E2" w:rsidP="00D939E2"/>
              </w:txbxContent>
            </v:textbox>
          </v:rect>
        </w:pict>
      </w:r>
      <w:r w:rsidRPr="00340E0D">
        <w:pict>
          <v:rect id="矩形 30" o:spid="_x0000_s1031" style="position:absolute;left:0;text-align:left;margin-left:-85.7pt;margin-top:238.1pt;width:613.65pt;height:173.25pt;z-index:251657728;mso-wrap-distance-left:3.17494mm;mso-wrap-distance-right:3.17494mm" filled="f" stroked="f">
            <v:textbox id="855custom">
              <w:txbxContent>
                <w:p w:rsidR="00FA3533" w:rsidRDefault="00390FD9">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FA3533" w:rsidRDefault="00FA3533">
                  <w:pPr>
                    <w:widowControl/>
                    <w:jc w:val="center"/>
                    <w:rPr>
                      <w:rFonts w:ascii="黑体" w:eastAsia="黑体" w:cs="黑体"/>
                      <w:color w:val="000000"/>
                      <w:sz w:val="96"/>
                      <w:szCs w:val="96"/>
                    </w:rPr>
                  </w:pPr>
                </w:p>
              </w:txbxContent>
            </v:textbox>
          </v:rect>
        </w:pict>
      </w:r>
    </w:p>
    <w:p w:rsidR="00FA3533" w:rsidRDefault="00FA3533">
      <w:pPr>
        <w:widowControl/>
        <w:spacing w:line="580" w:lineRule="exact"/>
        <w:ind w:firstLineChars="200" w:firstLine="640"/>
        <w:rPr>
          <w:rFonts w:eastAsia="黑体"/>
          <w:color w:val="000000"/>
          <w:sz w:val="32"/>
          <w:szCs w:val="3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390FD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年度决算收入总计（含结转和结余）</w:t>
      </w:r>
      <w:r>
        <w:rPr>
          <w:rFonts w:ascii="仿宋_GB2312" w:eastAsia="仿宋_GB2312" w:cs="DengXian-Regular"/>
          <w:sz w:val="32"/>
          <w:szCs w:val="32"/>
        </w:rPr>
        <w:t>5313.48</w:t>
      </w:r>
      <w:r>
        <w:rPr>
          <w:rFonts w:ascii="仿宋_GB2312" w:eastAsia="仿宋_GB2312" w:cs="DengXian-Regular" w:hint="eastAsia"/>
          <w:sz w:val="32"/>
          <w:szCs w:val="32"/>
        </w:rPr>
        <w:t>万元。与</w:t>
      </w:r>
      <w:r>
        <w:rPr>
          <w:rFonts w:ascii="仿宋_GB2312" w:eastAsia="仿宋_GB2312" w:cs="DengXian-Regular"/>
          <w:sz w:val="32"/>
          <w:szCs w:val="32"/>
        </w:rPr>
        <w:t>2018</w:t>
      </w:r>
      <w:r>
        <w:rPr>
          <w:rFonts w:ascii="仿宋_GB2312" w:eastAsia="仿宋_GB2312" w:cs="DengXian-Regular" w:hint="eastAsia"/>
          <w:sz w:val="32"/>
          <w:szCs w:val="32"/>
        </w:rPr>
        <w:t>年相比，决算收入增加</w:t>
      </w:r>
      <w:r>
        <w:rPr>
          <w:rFonts w:ascii="仿宋_GB2312" w:eastAsia="仿宋_GB2312" w:cs="DengXian-Regular"/>
          <w:sz w:val="32"/>
          <w:szCs w:val="32"/>
        </w:rPr>
        <w:t>4660.11</w:t>
      </w:r>
      <w:r>
        <w:rPr>
          <w:rFonts w:ascii="仿宋_GB2312" w:eastAsia="仿宋_GB2312" w:cs="DengXian-Regular" w:hint="eastAsia"/>
          <w:sz w:val="32"/>
          <w:szCs w:val="32"/>
        </w:rPr>
        <w:t>万元，增长</w:t>
      </w:r>
      <w:r>
        <w:rPr>
          <w:rFonts w:ascii="仿宋_GB2312" w:eastAsia="仿宋_GB2312" w:cs="DengXian-Regular"/>
          <w:sz w:val="32"/>
          <w:szCs w:val="32"/>
        </w:rPr>
        <w:t>761.1%</w:t>
      </w:r>
      <w:r>
        <w:rPr>
          <w:rFonts w:ascii="仿宋_GB2312" w:eastAsia="仿宋_GB2312" w:cs="DengXian-Regular" w:hint="eastAsia"/>
          <w:sz w:val="32"/>
          <w:szCs w:val="32"/>
        </w:rPr>
        <w:t>，决算支出增加</w:t>
      </w:r>
      <w:r>
        <w:rPr>
          <w:rFonts w:ascii="仿宋_GB2312" w:eastAsia="仿宋_GB2312" w:cs="DengXian-Regular"/>
          <w:sz w:val="32"/>
          <w:szCs w:val="32"/>
        </w:rPr>
        <w:t>4393.82</w:t>
      </w:r>
      <w:r>
        <w:rPr>
          <w:rFonts w:ascii="仿宋_GB2312" w:eastAsia="仿宋_GB2312" w:cs="DengXian-Regular" w:hint="eastAsia"/>
          <w:sz w:val="32"/>
          <w:szCs w:val="32"/>
        </w:rPr>
        <w:t>万元，增长</w:t>
      </w:r>
      <w:r>
        <w:rPr>
          <w:rFonts w:ascii="仿宋_GB2312" w:eastAsia="仿宋_GB2312" w:cs="DengXian-Regular"/>
          <w:sz w:val="32"/>
          <w:szCs w:val="32"/>
        </w:rPr>
        <w:t>697.7%</w:t>
      </w:r>
      <w:r>
        <w:rPr>
          <w:rFonts w:ascii="仿宋_GB2312" w:eastAsia="仿宋_GB2312" w:cs="DengXian-Regular" w:hint="eastAsia"/>
          <w:sz w:val="32"/>
          <w:szCs w:val="32"/>
        </w:rPr>
        <w:t>，与</w:t>
      </w:r>
      <w:r>
        <w:rPr>
          <w:rFonts w:ascii="仿宋_GB2312" w:eastAsia="仿宋_GB2312" w:cs="DengXian-Regular"/>
          <w:sz w:val="32"/>
          <w:szCs w:val="32"/>
        </w:rPr>
        <w:t>2018</w:t>
      </w:r>
      <w:r>
        <w:rPr>
          <w:rFonts w:ascii="仿宋_GB2312" w:eastAsia="仿宋_GB2312" w:cs="DengXian-Regular" w:hint="eastAsia"/>
          <w:sz w:val="32"/>
          <w:szCs w:val="32"/>
        </w:rPr>
        <w:t>年度相比，收入、支出增加的主要原因是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年机构改革，原发改、原商务、原粮食、原物价四部门账务合并。决算收入总计中，年初结转和结余</w:t>
      </w:r>
      <w:r>
        <w:rPr>
          <w:rFonts w:ascii="仿宋_GB2312" w:eastAsia="仿宋_GB2312" w:cs="DengXian-Regular"/>
          <w:sz w:val="32"/>
          <w:szCs w:val="32"/>
        </w:rPr>
        <w:t>41.03</w:t>
      </w:r>
      <w:r>
        <w:rPr>
          <w:rFonts w:ascii="仿宋_GB2312" w:eastAsia="仿宋_GB2312" w:cs="DengXian-Regular" w:hint="eastAsia"/>
          <w:sz w:val="32"/>
          <w:szCs w:val="32"/>
        </w:rPr>
        <w:t>万元；决算支出总计中，含结余分配</w:t>
      </w:r>
      <w:r>
        <w:rPr>
          <w:rFonts w:ascii="仿宋_GB2312" w:eastAsia="仿宋_GB2312" w:cs="DengXian-Regular"/>
          <w:sz w:val="32"/>
          <w:szCs w:val="32"/>
        </w:rPr>
        <w:t>0</w:t>
      </w:r>
      <w:r>
        <w:rPr>
          <w:rFonts w:ascii="仿宋_GB2312" w:eastAsia="仿宋_GB2312" w:cs="DengXian-Regular" w:hint="eastAsia"/>
          <w:sz w:val="32"/>
          <w:szCs w:val="32"/>
        </w:rPr>
        <w:t>万元、年末结转和结余</w:t>
      </w:r>
      <w:r>
        <w:rPr>
          <w:rFonts w:ascii="仿宋_GB2312" w:eastAsia="仿宋_GB2312" w:cs="DengXian-Regular"/>
          <w:sz w:val="32"/>
          <w:szCs w:val="32"/>
        </w:rPr>
        <w:t>289.91</w:t>
      </w:r>
      <w:r>
        <w:rPr>
          <w:rFonts w:ascii="仿宋_GB2312" w:eastAsia="仿宋_GB2312" w:cs="DengXian-Regular" w:hint="eastAsia"/>
          <w:sz w:val="32"/>
          <w:szCs w:val="32"/>
        </w:rPr>
        <w:t>万元。</w:t>
      </w:r>
    </w:p>
    <w:p w:rsidR="00FA3533" w:rsidRDefault="00390FD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FA3533" w:rsidRDefault="00390FD9">
      <w:pPr>
        <w:widowControl/>
        <w:spacing w:after="160" w:line="584" w:lineRule="exact"/>
        <w:rPr>
          <w:rFonts w:ascii="黑体" w:eastAsia="黑体" w:cs="Times New Roman"/>
          <w:b/>
          <w:bCs/>
          <w:color w:val="000000"/>
          <w:sz w:val="32"/>
          <w:szCs w:val="32"/>
        </w:rPr>
      </w:pPr>
      <w:r>
        <w:rPr>
          <w:rFonts w:ascii="仿宋_GB2312" w:eastAsia="仿宋_GB2312" w:cs="DengXian-Regular" w:hint="eastAsia"/>
          <w:sz w:val="32"/>
          <w:szCs w:val="32"/>
        </w:rPr>
        <w:t xml:space="preserve">　本部门</w:t>
      </w:r>
      <w:r>
        <w:rPr>
          <w:rFonts w:ascii="仿宋_GB2312" w:eastAsia="仿宋_GB2312" w:cs="DengXian-Regular"/>
          <w:sz w:val="32"/>
          <w:szCs w:val="32"/>
        </w:rPr>
        <w:t>201</w:t>
      </w:r>
      <w:r>
        <w:rPr>
          <w:rFonts w:ascii="仿宋_GB2312" w:eastAsia="仿宋_GB2312" w:cs="DengXian-Regular" w:hint="eastAsia"/>
          <w:sz w:val="32"/>
          <w:szCs w:val="32"/>
        </w:rPr>
        <w:t>９年度收入合计</w:t>
      </w:r>
      <w:r>
        <w:rPr>
          <w:rFonts w:ascii="仿宋_GB2312" w:eastAsia="仿宋_GB2312" w:cs="DengXian-Regular"/>
          <w:sz w:val="32"/>
          <w:szCs w:val="32"/>
        </w:rPr>
        <w:t>5272.44</w:t>
      </w:r>
      <w:r>
        <w:rPr>
          <w:rFonts w:ascii="仿宋_GB2312" w:eastAsia="仿宋_GB2312" w:cs="DengXian-Regular" w:hint="eastAsia"/>
          <w:sz w:val="32"/>
          <w:szCs w:val="32"/>
        </w:rPr>
        <w:t>万元，其中：财政拨款收入</w:t>
      </w:r>
      <w:r>
        <w:rPr>
          <w:rFonts w:ascii="仿宋_GB2312" w:eastAsia="仿宋_GB2312" w:cs="DengXian-Regular"/>
          <w:sz w:val="32"/>
          <w:szCs w:val="32"/>
        </w:rPr>
        <w:t>5232.84</w:t>
      </w:r>
      <w:r>
        <w:rPr>
          <w:rFonts w:ascii="仿宋_GB2312" w:eastAsia="仿宋_GB2312" w:cs="DengXian-Regular" w:hint="eastAsia"/>
          <w:sz w:val="32"/>
          <w:szCs w:val="32"/>
        </w:rPr>
        <w:t>万元，占</w:t>
      </w:r>
      <w:r>
        <w:rPr>
          <w:rFonts w:ascii="仿宋_GB2312" w:eastAsia="仿宋_GB2312" w:cs="DengXian-Regular"/>
          <w:sz w:val="32"/>
          <w:szCs w:val="32"/>
        </w:rPr>
        <w:t>99.2%</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39.6</w:t>
      </w:r>
      <w:r>
        <w:rPr>
          <w:rFonts w:ascii="仿宋_GB2312" w:eastAsia="仿宋_GB2312" w:cs="DengXian-Regular" w:hint="eastAsia"/>
          <w:sz w:val="32"/>
          <w:szCs w:val="32"/>
        </w:rPr>
        <w:t>万元，占</w:t>
      </w:r>
      <w:r>
        <w:rPr>
          <w:rFonts w:ascii="仿宋_GB2312" w:eastAsia="仿宋_GB2312" w:cs="DengXian-Regular"/>
          <w:sz w:val="32"/>
          <w:szCs w:val="32"/>
        </w:rPr>
        <w:t>0.8%</w:t>
      </w:r>
      <w:r>
        <w:rPr>
          <w:rFonts w:ascii="仿宋_GB2312" w:eastAsia="仿宋_GB2312" w:cs="DengXian-Regular" w:hint="eastAsia"/>
          <w:sz w:val="32"/>
          <w:szCs w:val="32"/>
        </w:rPr>
        <w:t>。</w:t>
      </w:r>
    </w:p>
    <w:p w:rsidR="00FA3533" w:rsidRDefault="00390FD9">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FA3533" w:rsidRDefault="00390FD9">
      <w:pPr>
        <w:adjustRightInd w:val="0"/>
        <w:snapToGrid w:val="0"/>
        <w:spacing w:line="580" w:lineRule="exact"/>
        <w:ind w:firstLineChars="100" w:firstLine="320"/>
        <w:rPr>
          <w:rFonts w:ascii="仿宋_GB2312" w:eastAsia="仿宋_GB2312" w:cs="DengXian-Regular"/>
          <w:color w:val="000000"/>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年度支出合计</w:t>
      </w:r>
      <w:r>
        <w:rPr>
          <w:rFonts w:ascii="仿宋_GB2312" w:eastAsia="仿宋_GB2312" w:cs="DengXian-Regular"/>
          <w:sz w:val="32"/>
          <w:szCs w:val="32"/>
        </w:rPr>
        <w:t>5023.56</w:t>
      </w:r>
      <w:r>
        <w:rPr>
          <w:rFonts w:ascii="仿宋_GB2312" w:eastAsia="仿宋_GB2312" w:cs="DengXian-Regular" w:hint="eastAsia"/>
          <w:sz w:val="32"/>
          <w:szCs w:val="32"/>
        </w:rPr>
        <w:t>万元，其中：基本支出</w:t>
      </w:r>
      <w:r>
        <w:rPr>
          <w:rFonts w:ascii="仿宋_GB2312" w:eastAsia="仿宋_GB2312" w:cs="DengXian-Regular"/>
          <w:sz w:val="32"/>
          <w:szCs w:val="32"/>
        </w:rPr>
        <w:t>5023.56</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；项目支出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；上缴上级支出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FA3533" w:rsidRDefault="00390FD9">
      <w:pPr>
        <w:keepNext/>
        <w:keepLines/>
        <w:numPr>
          <w:ilvl w:val="0"/>
          <w:numId w:val="2"/>
        </w:numPr>
        <w:snapToGrid w:val="0"/>
        <w:spacing w:line="580" w:lineRule="exact"/>
        <w:ind w:firstLineChars="200" w:firstLine="640"/>
        <w:outlineLvl w:val="1"/>
        <w:rPr>
          <w:rFonts w:ascii="黑体" w:eastAsia="黑体" w:cs="Times New Roman"/>
          <w:color w:val="000000"/>
          <w:sz w:val="32"/>
          <w:szCs w:val="32"/>
        </w:rPr>
      </w:pP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FA3533" w:rsidRDefault="00390FD9" w:rsidP="00643DA5">
      <w:pPr>
        <w:spacing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2018 </w:t>
      </w:r>
      <w:r>
        <w:rPr>
          <w:rFonts w:ascii="楷体_GB2312" w:eastAsia="楷体_GB2312" w:cs="DengXian-Bold" w:hint="eastAsia"/>
          <w:b/>
          <w:bCs/>
          <w:sz w:val="32"/>
          <w:szCs w:val="32"/>
        </w:rPr>
        <w:t>年度决算对比情况</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5232.84</w:t>
      </w:r>
      <w:r>
        <w:rPr>
          <w:rFonts w:ascii="仿宋_GB2312" w:eastAsia="仿宋_GB2312" w:cs="DengXian-Regular" w:hint="eastAsia"/>
          <w:sz w:val="32"/>
          <w:szCs w:val="32"/>
        </w:rPr>
        <w:t>万元，与</w:t>
      </w:r>
      <w:r>
        <w:rPr>
          <w:rFonts w:ascii="仿宋_GB2312" w:eastAsia="仿宋_GB2312" w:cs="DengXian-Regular"/>
          <w:sz w:val="32"/>
          <w:szCs w:val="32"/>
        </w:rPr>
        <w:t>2018</w:t>
      </w:r>
      <w:r>
        <w:rPr>
          <w:rFonts w:ascii="仿宋_GB2312" w:eastAsia="仿宋_GB2312" w:cs="DengXian-Regular" w:hint="eastAsia"/>
          <w:sz w:val="32"/>
          <w:szCs w:val="32"/>
        </w:rPr>
        <w:t>年相比，收入总计增加</w:t>
      </w:r>
      <w:r>
        <w:rPr>
          <w:rFonts w:ascii="仿宋_GB2312" w:eastAsia="仿宋_GB2312" w:cs="DengXian-Regular"/>
          <w:sz w:val="32"/>
          <w:szCs w:val="32"/>
        </w:rPr>
        <w:t>4685.97</w:t>
      </w:r>
      <w:r>
        <w:rPr>
          <w:rFonts w:ascii="仿宋_GB2312" w:eastAsia="仿宋_GB2312" w:cs="DengXian-Regular" w:hint="eastAsia"/>
          <w:sz w:val="32"/>
          <w:szCs w:val="32"/>
        </w:rPr>
        <w:t>万元，增长</w:t>
      </w:r>
      <w:r>
        <w:rPr>
          <w:rFonts w:ascii="仿宋_GB2312" w:eastAsia="仿宋_GB2312" w:cs="DengXian-Regular"/>
          <w:sz w:val="32"/>
          <w:szCs w:val="32"/>
        </w:rPr>
        <w:t>856.9%</w:t>
      </w:r>
      <w:r>
        <w:rPr>
          <w:rFonts w:ascii="仿宋_GB2312" w:eastAsia="仿宋_GB2312" w:cs="DengXian-Regular" w:hint="eastAsia"/>
          <w:sz w:val="32"/>
          <w:szCs w:val="32"/>
        </w:rPr>
        <w:t>，主要</w:t>
      </w:r>
      <w:r>
        <w:rPr>
          <w:rFonts w:ascii="仿宋_GB2312" w:eastAsia="仿宋_GB2312" w:cs="DengXian-Regular" w:hint="eastAsia"/>
          <w:sz w:val="32"/>
          <w:szCs w:val="32"/>
        </w:rPr>
        <w:lastRenderedPageBreak/>
        <w:t>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年机构改革，原发改、原商务、原粮食、原物价四部门账务合并。</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本年财政拨款支出</w:t>
      </w:r>
      <w:r>
        <w:rPr>
          <w:rFonts w:ascii="仿宋_GB2312" w:eastAsia="仿宋_GB2312" w:cs="DengXian-Regular"/>
          <w:sz w:val="32"/>
          <w:szCs w:val="32"/>
        </w:rPr>
        <w:t>4990.96</w:t>
      </w:r>
      <w:r>
        <w:rPr>
          <w:rFonts w:ascii="仿宋_GB2312" w:eastAsia="仿宋_GB2312" w:cs="DengXian-Regular" w:hint="eastAsia"/>
          <w:sz w:val="32"/>
          <w:szCs w:val="32"/>
        </w:rPr>
        <w:t>万元，与</w:t>
      </w:r>
      <w:r>
        <w:rPr>
          <w:rFonts w:ascii="仿宋_GB2312" w:eastAsia="仿宋_GB2312" w:cs="DengXian-Regular"/>
          <w:sz w:val="32"/>
          <w:szCs w:val="32"/>
        </w:rPr>
        <w:t>2018</w:t>
      </w:r>
      <w:r>
        <w:rPr>
          <w:rFonts w:ascii="仿宋_GB2312" w:eastAsia="仿宋_GB2312" w:cs="DengXian-Regular" w:hint="eastAsia"/>
          <w:sz w:val="32"/>
          <w:szCs w:val="32"/>
        </w:rPr>
        <w:t>年相比，增加</w:t>
      </w:r>
      <w:r>
        <w:rPr>
          <w:rFonts w:ascii="仿宋_GB2312" w:eastAsia="仿宋_GB2312" w:cs="DengXian-Regular"/>
          <w:sz w:val="32"/>
          <w:szCs w:val="32"/>
        </w:rPr>
        <w:t>4440.85</w:t>
      </w:r>
      <w:r>
        <w:rPr>
          <w:rFonts w:ascii="仿宋_GB2312" w:eastAsia="仿宋_GB2312" w:cs="DengXian-Regular" w:hint="eastAsia"/>
          <w:sz w:val="32"/>
          <w:szCs w:val="32"/>
        </w:rPr>
        <w:t>万元，增长</w:t>
      </w:r>
      <w:r>
        <w:rPr>
          <w:rFonts w:ascii="仿宋_GB2312" w:eastAsia="仿宋_GB2312" w:cs="DengXian-Regular"/>
          <w:sz w:val="32"/>
          <w:szCs w:val="32"/>
        </w:rPr>
        <w:t>807.3%</w:t>
      </w:r>
      <w:r>
        <w:rPr>
          <w:rFonts w:ascii="仿宋_GB2312" w:eastAsia="仿宋_GB2312" w:cs="DengXian-Regular" w:hint="eastAsia"/>
          <w:sz w:val="32"/>
          <w:szCs w:val="32"/>
        </w:rPr>
        <w:t>，主要原因是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年机构改革，原发改、原商务、原粮食、原物价四部门账务合并。</w:t>
      </w:r>
    </w:p>
    <w:p w:rsidR="00FA3533" w:rsidRDefault="00390FD9" w:rsidP="00643DA5">
      <w:pPr>
        <w:numPr>
          <w:ilvl w:val="0"/>
          <w:numId w:val="3"/>
        </w:numPr>
        <w:spacing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财政拨款收支与年初预算数对比情况</w:t>
      </w:r>
    </w:p>
    <w:p w:rsidR="00FA3533" w:rsidRDefault="00390FD9">
      <w:pPr>
        <w:adjustRightInd w:val="0"/>
        <w:snapToGrid w:val="0"/>
        <w:spacing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5232.84</w:t>
      </w:r>
      <w:r>
        <w:rPr>
          <w:rFonts w:ascii="仿宋_GB2312" w:eastAsia="仿宋_GB2312" w:cs="DengXian-Regular" w:hint="eastAsia"/>
          <w:sz w:val="32"/>
          <w:szCs w:val="32"/>
        </w:rPr>
        <w:t>万元，完成年初预算的</w:t>
      </w:r>
      <w:r>
        <w:rPr>
          <w:rFonts w:ascii="仿宋_GB2312" w:eastAsia="仿宋_GB2312" w:cs="DengXian-Regular"/>
          <w:sz w:val="32"/>
          <w:szCs w:val="32"/>
        </w:rPr>
        <w:t>191.7%,</w:t>
      </w:r>
      <w:r>
        <w:rPr>
          <w:rFonts w:ascii="仿宋_GB2312" w:eastAsia="仿宋_GB2312" w:cs="DengXian-Regular" w:hint="eastAsia"/>
          <w:sz w:val="32"/>
          <w:szCs w:val="32"/>
        </w:rPr>
        <w:t>比年初预算增加</w:t>
      </w:r>
      <w:r>
        <w:rPr>
          <w:rFonts w:ascii="仿宋_GB2312" w:eastAsia="仿宋_GB2312" w:cs="DengXian-Regular"/>
          <w:sz w:val="32"/>
          <w:szCs w:val="32"/>
        </w:rPr>
        <w:t>2502.68</w:t>
      </w:r>
      <w:r>
        <w:rPr>
          <w:rFonts w:ascii="仿宋_GB2312" w:eastAsia="仿宋_GB2312" w:cs="DengXian-Regular" w:hint="eastAsia"/>
          <w:sz w:val="32"/>
          <w:szCs w:val="32"/>
        </w:rPr>
        <w:t>万元，决算数大于预算数，主要原因是</w:t>
      </w:r>
      <w:r>
        <w:rPr>
          <w:rFonts w:eastAsia="仿宋_GB2312"/>
          <w:kern w:val="0"/>
          <w:sz w:val="32"/>
          <w:szCs w:val="32"/>
        </w:rPr>
        <w:t>2019</w:t>
      </w:r>
      <w:r>
        <w:rPr>
          <w:rFonts w:eastAsia="仿宋_GB2312" w:hint="eastAsia"/>
          <w:kern w:val="0"/>
          <w:sz w:val="32"/>
          <w:szCs w:val="32"/>
        </w:rPr>
        <w:t>年追加新奥燃气奖补资金、招商经费、</w:t>
      </w:r>
      <w:r>
        <w:rPr>
          <w:rFonts w:eastAsia="仿宋_GB2312"/>
          <w:kern w:val="0"/>
          <w:sz w:val="32"/>
          <w:szCs w:val="32"/>
        </w:rPr>
        <w:t>5.18</w:t>
      </w:r>
      <w:r>
        <w:rPr>
          <w:rFonts w:eastAsia="仿宋_GB2312" w:hint="eastAsia"/>
          <w:kern w:val="0"/>
          <w:sz w:val="32"/>
          <w:szCs w:val="32"/>
        </w:rPr>
        <w:t>经费等预算</w:t>
      </w:r>
      <w:r>
        <w:rPr>
          <w:rFonts w:ascii="仿宋_GB2312" w:eastAsia="仿宋_GB2312" w:cs="DengXian-Regular" w:hint="eastAsia"/>
          <w:sz w:val="32"/>
          <w:szCs w:val="32"/>
        </w:rPr>
        <w:t>；本年支出</w:t>
      </w:r>
      <w:r>
        <w:rPr>
          <w:rFonts w:ascii="仿宋_GB2312" w:eastAsia="仿宋_GB2312" w:cs="DengXian-Regular"/>
          <w:sz w:val="32"/>
          <w:szCs w:val="32"/>
        </w:rPr>
        <w:t>4990.96</w:t>
      </w:r>
      <w:r>
        <w:rPr>
          <w:rFonts w:ascii="仿宋_GB2312" w:eastAsia="仿宋_GB2312" w:cs="DengXian-Regular" w:hint="eastAsia"/>
          <w:sz w:val="32"/>
          <w:szCs w:val="32"/>
        </w:rPr>
        <w:t>万元，完成年初预算的</w:t>
      </w:r>
      <w:r>
        <w:rPr>
          <w:rFonts w:ascii="仿宋_GB2312" w:eastAsia="仿宋_GB2312" w:cs="DengXian-Regular"/>
          <w:sz w:val="32"/>
          <w:szCs w:val="32"/>
        </w:rPr>
        <w:t>182.8%,</w:t>
      </w:r>
      <w:r>
        <w:rPr>
          <w:rFonts w:ascii="仿宋_GB2312" w:eastAsia="仿宋_GB2312" w:cs="DengXian-Regular" w:hint="eastAsia"/>
          <w:sz w:val="32"/>
          <w:szCs w:val="32"/>
        </w:rPr>
        <w:t>比年初预算增加</w:t>
      </w:r>
      <w:r>
        <w:rPr>
          <w:rFonts w:ascii="仿宋_GB2312" w:eastAsia="仿宋_GB2312" w:cs="DengXian-Regular"/>
          <w:sz w:val="32"/>
          <w:szCs w:val="32"/>
        </w:rPr>
        <w:t>2260.8</w:t>
      </w:r>
      <w:r>
        <w:rPr>
          <w:rFonts w:ascii="仿宋_GB2312" w:eastAsia="仿宋_GB2312" w:cs="DengXian-Regular" w:hint="eastAsia"/>
          <w:sz w:val="32"/>
          <w:szCs w:val="32"/>
        </w:rPr>
        <w:t>万元，决算数大于预算数，主要原因是</w:t>
      </w:r>
      <w:r>
        <w:rPr>
          <w:rFonts w:eastAsia="仿宋_GB2312"/>
          <w:kern w:val="0"/>
          <w:sz w:val="32"/>
          <w:szCs w:val="32"/>
        </w:rPr>
        <w:t>2019</w:t>
      </w:r>
      <w:r>
        <w:rPr>
          <w:rFonts w:eastAsia="仿宋_GB2312" w:hint="eastAsia"/>
          <w:kern w:val="0"/>
          <w:sz w:val="32"/>
          <w:szCs w:val="32"/>
        </w:rPr>
        <w:t>年追加新奥燃气奖补资金、招商经费、</w:t>
      </w:r>
      <w:r>
        <w:rPr>
          <w:rFonts w:eastAsia="仿宋_GB2312"/>
          <w:kern w:val="0"/>
          <w:sz w:val="32"/>
          <w:szCs w:val="32"/>
        </w:rPr>
        <w:t>5.18</w:t>
      </w:r>
      <w:r>
        <w:rPr>
          <w:rFonts w:eastAsia="仿宋_GB2312" w:hint="eastAsia"/>
          <w:kern w:val="0"/>
          <w:sz w:val="32"/>
          <w:szCs w:val="32"/>
        </w:rPr>
        <w:t>经费等预算</w:t>
      </w:r>
      <w:r>
        <w:rPr>
          <w:rFonts w:ascii="仿宋_GB2312" w:eastAsia="仿宋_GB2312" w:cs="DengXian-Regular" w:hint="eastAsia"/>
          <w:sz w:val="32"/>
          <w:szCs w:val="32"/>
        </w:rPr>
        <w:t>。</w:t>
      </w:r>
    </w:p>
    <w:p w:rsidR="00FA3533" w:rsidRDefault="00390FD9">
      <w:pPr>
        <w:numPr>
          <w:ilvl w:val="0"/>
          <w:numId w:val="4"/>
        </w:numPr>
        <w:adjustRightInd w:val="0"/>
        <w:snapToGrid w:val="0"/>
        <w:spacing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FA3533" w:rsidRDefault="00390FD9">
      <w:pPr>
        <w:adjustRightInd w:val="0"/>
        <w:snapToGrid w:val="0"/>
        <w:spacing w:line="580" w:lineRule="exact"/>
        <w:ind w:firstLineChars="200" w:firstLine="640"/>
        <w:rPr>
          <w:rFonts w:ascii="楷体_GB2312" w:eastAsia="楷体_GB2312" w:cs="DengXian-Bold"/>
          <w:b/>
          <w:bCs/>
          <w:sz w:val="32"/>
          <w:szCs w:val="32"/>
        </w:rPr>
      </w:pPr>
      <w:r>
        <w:rPr>
          <w:rFonts w:ascii="仿宋_GB2312" w:eastAsia="仿宋_GB2312" w:cs="DengXian-Regular"/>
          <w:sz w:val="32"/>
          <w:szCs w:val="32"/>
        </w:rPr>
        <w:t>2019</w:t>
      </w:r>
      <w:r>
        <w:rPr>
          <w:rFonts w:ascii="仿宋_GB2312" w:eastAsia="仿宋_GB2312" w:cs="DengXian-Regular" w:hint="eastAsia"/>
          <w:sz w:val="32"/>
          <w:szCs w:val="32"/>
        </w:rPr>
        <w:t>年度财政拨款支出</w:t>
      </w:r>
      <w:r>
        <w:rPr>
          <w:rFonts w:ascii="仿宋_GB2312" w:eastAsia="仿宋_GB2312" w:cs="DengXian-Regular"/>
          <w:sz w:val="32"/>
          <w:szCs w:val="32"/>
        </w:rPr>
        <w:t>4990.96</w:t>
      </w:r>
      <w:r>
        <w:rPr>
          <w:rFonts w:ascii="仿宋_GB2312" w:eastAsia="仿宋_GB2312" w:cs="DengXian-Regular" w:hint="eastAsia"/>
          <w:sz w:val="32"/>
          <w:szCs w:val="32"/>
        </w:rPr>
        <w:t>万元，</w:t>
      </w:r>
      <w:r>
        <w:rPr>
          <w:rFonts w:eastAsia="仿宋_GB2312" w:hint="eastAsia"/>
          <w:color w:val="000000"/>
          <w:kern w:val="0"/>
          <w:sz w:val="32"/>
          <w:szCs w:val="32"/>
        </w:rPr>
        <w:t>按功能分类主要用于以下方面：一般公共服务（类）支出</w:t>
      </w:r>
      <w:r>
        <w:rPr>
          <w:rFonts w:eastAsia="仿宋_GB2312"/>
          <w:color w:val="000000"/>
          <w:kern w:val="0"/>
          <w:sz w:val="32"/>
          <w:szCs w:val="32"/>
        </w:rPr>
        <w:t>1041</w:t>
      </w:r>
      <w:r>
        <w:rPr>
          <w:rFonts w:eastAsia="仿宋_GB2312" w:hint="eastAsia"/>
          <w:color w:val="000000"/>
          <w:kern w:val="0"/>
          <w:sz w:val="32"/>
          <w:szCs w:val="32"/>
        </w:rPr>
        <w:t>万元，占</w:t>
      </w:r>
      <w:r>
        <w:rPr>
          <w:rFonts w:eastAsia="仿宋_GB2312"/>
          <w:color w:val="000000"/>
          <w:kern w:val="0"/>
          <w:sz w:val="32"/>
          <w:szCs w:val="32"/>
        </w:rPr>
        <w:t>20.9</w:t>
      </w:r>
      <w:r>
        <w:rPr>
          <w:rFonts w:ascii="仿宋_GB2312" w:eastAsia="仿宋_GB2312" w:cs="DengXian-Regular"/>
          <w:sz w:val="32"/>
          <w:szCs w:val="32"/>
        </w:rPr>
        <w:t>%</w:t>
      </w:r>
      <w:r>
        <w:rPr>
          <w:rFonts w:eastAsia="仿宋_GB2312" w:hint="eastAsia"/>
          <w:color w:val="000000"/>
          <w:kern w:val="0"/>
          <w:sz w:val="32"/>
          <w:szCs w:val="32"/>
        </w:rPr>
        <w:t>；社会保障和就业（类）支出</w:t>
      </w:r>
      <w:r>
        <w:rPr>
          <w:rFonts w:eastAsia="仿宋_GB2312"/>
          <w:color w:val="000000"/>
          <w:kern w:val="0"/>
          <w:sz w:val="32"/>
          <w:szCs w:val="32"/>
        </w:rPr>
        <w:t>743.2</w:t>
      </w:r>
      <w:r>
        <w:rPr>
          <w:rFonts w:eastAsia="仿宋_GB2312" w:hint="eastAsia"/>
          <w:color w:val="000000"/>
          <w:kern w:val="0"/>
          <w:sz w:val="32"/>
          <w:szCs w:val="32"/>
        </w:rPr>
        <w:t>万元，占</w:t>
      </w:r>
      <w:r>
        <w:rPr>
          <w:rFonts w:eastAsia="仿宋_GB2312"/>
          <w:color w:val="000000"/>
          <w:kern w:val="0"/>
          <w:sz w:val="32"/>
          <w:szCs w:val="32"/>
        </w:rPr>
        <w:t>14.9</w:t>
      </w:r>
      <w:r>
        <w:rPr>
          <w:rFonts w:ascii="仿宋_GB2312" w:eastAsia="仿宋_GB2312" w:cs="DengXian-Regular"/>
          <w:sz w:val="32"/>
          <w:szCs w:val="32"/>
        </w:rPr>
        <w:t>%</w:t>
      </w:r>
      <w:r>
        <w:rPr>
          <w:rFonts w:eastAsia="仿宋_GB2312" w:hint="eastAsia"/>
          <w:color w:val="000000"/>
          <w:kern w:val="0"/>
          <w:sz w:val="32"/>
          <w:szCs w:val="32"/>
        </w:rPr>
        <w:t>；医疗卫生健康类支出</w:t>
      </w:r>
      <w:r>
        <w:rPr>
          <w:rFonts w:eastAsia="仿宋_GB2312"/>
          <w:color w:val="000000"/>
          <w:kern w:val="0"/>
          <w:sz w:val="32"/>
          <w:szCs w:val="32"/>
        </w:rPr>
        <w:t>48.73</w:t>
      </w:r>
      <w:r>
        <w:rPr>
          <w:rFonts w:eastAsia="仿宋_GB2312" w:hint="eastAsia"/>
          <w:color w:val="000000"/>
          <w:kern w:val="0"/>
          <w:sz w:val="32"/>
          <w:szCs w:val="32"/>
        </w:rPr>
        <w:t>万元，占</w:t>
      </w:r>
      <w:r>
        <w:rPr>
          <w:rFonts w:eastAsia="仿宋_GB2312"/>
          <w:color w:val="000000"/>
          <w:kern w:val="0"/>
          <w:sz w:val="32"/>
          <w:szCs w:val="32"/>
        </w:rPr>
        <w:t>1.0%</w:t>
      </w:r>
      <w:r>
        <w:rPr>
          <w:rFonts w:eastAsia="仿宋_GB2312" w:hint="eastAsia"/>
          <w:color w:val="000000"/>
          <w:kern w:val="0"/>
          <w:sz w:val="32"/>
          <w:szCs w:val="32"/>
        </w:rPr>
        <w:t>；节能环保支出</w:t>
      </w:r>
      <w:r>
        <w:rPr>
          <w:rFonts w:eastAsia="仿宋_GB2312"/>
          <w:color w:val="000000"/>
          <w:kern w:val="0"/>
          <w:sz w:val="32"/>
          <w:szCs w:val="32"/>
        </w:rPr>
        <w:t>2200</w:t>
      </w:r>
      <w:r>
        <w:rPr>
          <w:rFonts w:eastAsia="仿宋_GB2312" w:hint="eastAsia"/>
          <w:color w:val="000000"/>
          <w:kern w:val="0"/>
          <w:sz w:val="32"/>
          <w:szCs w:val="32"/>
        </w:rPr>
        <w:t>万；占</w:t>
      </w:r>
      <w:r>
        <w:rPr>
          <w:rFonts w:eastAsia="仿宋_GB2312"/>
          <w:color w:val="000000"/>
          <w:kern w:val="0"/>
          <w:sz w:val="32"/>
          <w:szCs w:val="32"/>
        </w:rPr>
        <w:t>44.1%</w:t>
      </w:r>
      <w:r>
        <w:rPr>
          <w:rFonts w:eastAsia="仿宋_GB2312" w:hint="eastAsia"/>
          <w:color w:val="000000"/>
          <w:kern w:val="0"/>
          <w:sz w:val="32"/>
          <w:szCs w:val="32"/>
        </w:rPr>
        <w:t>；住房保障（类）</w:t>
      </w:r>
      <w:r>
        <w:rPr>
          <w:rFonts w:eastAsia="仿宋_GB2312"/>
          <w:color w:val="000000"/>
          <w:kern w:val="0"/>
          <w:sz w:val="32"/>
          <w:szCs w:val="32"/>
        </w:rPr>
        <w:t>79.63</w:t>
      </w:r>
      <w:r>
        <w:rPr>
          <w:rFonts w:eastAsia="仿宋_GB2312" w:hint="eastAsia"/>
          <w:color w:val="000000"/>
          <w:kern w:val="0"/>
          <w:sz w:val="32"/>
          <w:szCs w:val="32"/>
        </w:rPr>
        <w:t>万元，占</w:t>
      </w:r>
      <w:r>
        <w:rPr>
          <w:rFonts w:eastAsia="仿宋_GB2312"/>
          <w:color w:val="000000"/>
          <w:kern w:val="0"/>
          <w:sz w:val="32"/>
          <w:szCs w:val="32"/>
        </w:rPr>
        <w:t>1.6%</w:t>
      </w:r>
      <w:r>
        <w:rPr>
          <w:rFonts w:eastAsia="仿宋_GB2312" w:hint="eastAsia"/>
          <w:color w:val="000000"/>
          <w:kern w:val="0"/>
          <w:sz w:val="32"/>
          <w:szCs w:val="32"/>
        </w:rPr>
        <w:t>；商业服务支出</w:t>
      </w:r>
      <w:r>
        <w:rPr>
          <w:rFonts w:eastAsia="仿宋_GB2312"/>
          <w:color w:val="000000"/>
          <w:kern w:val="0"/>
          <w:sz w:val="32"/>
          <w:szCs w:val="32"/>
        </w:rPr>
        <w:t>684.63</w:t>
      </w:r>
      <w:r>
        <w:rPr>
          <w:rFonts w:eastAsia="仿宋_GB2312" w:hint="eastAsia"/>
          <w:color w:val="000000"/>
          <w:kern w:val="0"/>
          <w:sz w:val="32"/>
          <w:szCs w:val="32"/>
        </w:rPr>
        <w:t>万，占</w:t>
      </w:r>
      <w:r>
        <w:rPr>
          <w:rFonts w:eastAsia="仿宋_GB2312"/>
          <w:color w:val="000000"/>
          <w:kern w:val="0"/>
          <w:sz w:val="32"/>
          <w:szCs w:val="32"/>
        </w:rPr>
        <w:t>13.7%</w:t>
      </w:r>
      <w:r>
        <w:rPr>
          <w:rFonts w:eastAsia="仿宋_GB2312" w:hint="eastAsia"/>
          <w:color w:val="000000"/>
          <w:kern w:val="0"/>
          <w:sz w:val="32"/>
          <w:szCs w:val="32"/>
        </w:rPr>
        <w:t>，粮油物资储备支出</w:t>
      </w:r>
      <w:r>
        <w:rPr>
          <w:rFonts w:eastAsia="仿宋_GB2312"/>
          <w:color w:val="000000"/>
          <w:kern w:val="0"/>
          <w:sz w:val="32"/>
          <w:szCs w:val="32"/>
        </w:rPr>
        <w:t>193.77</w:t>
      </w:r>
      <w:r>
        <w:rPr>
          <w:rFonts w:eastAsia="仿宋_GB2312" w:hint="eastAsia"/>
          <w:color w:val="000000"/>
          <w:kern w:val="0"/>
          <w:sz w:val="32"/>
          <w:szCs w:val="32"/>
        </w:rPr>
        <w:t>万，占</w:t>
      </w:r>
      <w:r>
        <w:rPr>
          <w:rFonts w:eastAsia="仿宋_GB2312"/>
          <w:color w:val="000000"/>
          <w:kern w:val="0"/>
          <w:sz w:val="32"/>
          <w:szCs w:val="32"/>
        </w:rPr>
        <w:t>3.9%</w:t>
      </w:r>
      <w:r>
        <w:rPr>
          <w:rFonts w:eastAsia="仿宋_GB2312" w:hint="eastAsia"/>
          <w:color w:val="000000"/>
          <w:kern w:val="0"/>
          <w:sz w:val="32"/>
          <w:szCs w:val="32"/>
        </w:rPr>
        <w:t>。</w:t>
      </w:r>
    </w:p>
    <w:p w:rsidR="00FA3533" w:rsidRDefault="00390FD9">
      <w:pPr>
        <w:adjustRightInd w:val="0"/>
        <w:snapToGrid w:val="0"/>
        <w:spacing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FA3533" w:rsidRDefault="00390FD9">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sz w:val="32"/>
          <w:szCs w:val="32"/>
        </w:rPr>
        <w:lastRenderedPageBreak/>
        <w:t xml:space="preserve">2019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4990.96</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2667.99</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122.98</w:t>
      </w:r>
      <w:r>
        <w:rPr>
          <w:rFonts w:ascii="仿宋_GB2312" w:eastAsia="仿宋_GB2312" w:cs="DengXian-Regular" w:hint="eastAsia"/>
          <w:sz w:val="32"/>
          <w:szCs w:val="32"/>
        </w:rPr>
        <w:t>万元，主要包括办公费、印刷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FA3533" w:rsidRDefault="00390FD9">
      <w:pPr>
        <w:keepNext/>
        <w:keepLines/>
        <w:numPr>
          <w:ilvl w:val="0"/>
          <w:numId w:val="5"/>
        </w:numPr>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年度一般公共预算财政拨款“三公”经费支出共计</w:t>
      </w:r>
      <w:r>
        <w:rPr>
          <w:rFonts w:ascii="仿宋_GB2312" w:eastAsia="仿宋_GB2312" w:cs="DengXian-Regular"/>
          <w:sz w:val="32"/>
          <w:szCs w:val="32"/>
        </w:rPr>
        <w:t>7.35</w:t>
      </w:r>
      <w:r>
        <w:rPr>
          <w:rFonts w:ascii="仿宋_GB2312" w:eastAsia="仿宋_GB2312" w:cs="DengXian-Regular" w:hint="eastAsia"/>
          <w:sz w:val="32"/>
          <w:szCs w:val="32"/>
        </w:rPr>
        <w:t>万元，比年初预算减少</w:t>
      </w:r>
      <w:r>
        <w:rPr>
          <w:rFonts w:ascii="仿宋_GB2312" w:eastAsia="仿宋_GB2312" w:cs="DengXian-Regular"/>
          <w:sz w:val="32"/>
          <w:szCs w:val="32"/>
        </w:rPr>
        <w:t>1.39</w:t>
      </w:r>
      <w:r>
        <w:rPr>
          <w:rFonts w:ascii="仿宋_GB2312" w:eastAsia="仿宋_GB2312" w:cs="DengXian-Regular" w:hint="eastAsia"/>
          <w:sz w:val="32"/>
          <w:szCs w:val="32"/>
        </w:rPr>
        <w:t>万元，降低</w:t>
      </w:r>
      <w:r>
        <w:rPr>
          <w:rFonts w:ascii="仿宋_GB2312" w:eastAsia="仿宋_GB2312" w:cs="DengXian-Regular"/>
          <w:sz w:val="32"/>
          <w:szCs w:val="32"/>
        </w:rPr>
        <w:t>15.9%</w:t>
      </w:r>
      <w:r>
        <w:rPr>
          <w:rFonts w:ascii="仿宋_GB2312" w:eastAsia="仿宋_GB2312" w:cs="DengXian-Regular" w:hint="eastAsia"/>
          <w:sz w:val="32"/>
          <w:szCs w:val="32"/>
        </w:rPr>
        <w:t>，主要原因是我单位节省各项开支，尤其是严格控制“三公”经费的支出；比</w:t>
      </w:r>
      <w:r>
        <w:rPr>
          <w:rFonts w:ascii="仿宋_GB2312" w:eastAsia="仿宋_GB2312" w:cs="DengXian-Regular"/>
          <w:sz w:val="32"/>
          <w:szCs w:val="32"/>
        </w:rPr>
        <w:t>2018</w:t>
      </w:r>
      <w:r>
        <w:rPr>
          <w:rFonts w:ascii="仿宋_GB2312" w:eastAsia="仿宋_GB2312" w:cs="DengXian-Regular" w:hint="eastAsia"/>
          <w:sz w:val="32"/>
          <w:szCs w:val="32"/>
        </w:rPr>
        <w:t>年度决算增加</w:t>
      </w:r>
      <w:r>
        <w:rPr>
          <w:rFonts w:ascii="仿宋_GB2312" w:eastAsia="仿宋_GB2312" w:cs="DengXian-Regular"/>
          <w:sz w:val="32"/>
          <w:szCs w:val="32"/>
        </w:rPr>
        <w:t>6.17</w:t>
      </w:r>
      <w:r>
        <w:rPr>
          <w:rFonts w:ascii="仿宋_GB2312" w:eastAsia="仿宋_GB2312" w:cs="DengXian-Regular" w:hint="eastAsia"/>
          <w:sz w:val="32"/>
          <w:szCs w:val="32"/>
        </w:rPr>
        <w:t>万元，增长</w:t>
      </w:r>
      <w:r>
        <w:rPr>
          <w:rFonts w:ascii="仿宋_GB2312" w:eastAsia="仿宋_GB2312" w:cs="DengXian-Regular"/>
          <w:sz w:val="32"/>
          <w:szCs w:val="32"/>
        </w:rPr>
        <w:t>522.9%</w:t>
      </w:r>
      <w:r>
        <w:rPr>
          <w:rFonts w:ascii="仿宋_GB2312" w:eastAsia="仿宋_GB2312" w:cs="DengXian-Regular" w:hint="eastAsia"/>
          <w:sz w:val="32"/>
          <w:szCs w:val="32"/>
        </w:rPr>
        <w:t>，主要原因是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年机构改革，原发改、原商务、原粮食、原物价四部门账务合并。</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具体情况如下：</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（一）因公出国（境）费支出</w:t>
      </w:r>
      <w:r>
        <w:rPr>
          <w:rFonts w:ascii="仿宋_GB2312" w:eastAsia="仿宋_GB2312" w:cs="DengXian-Regular"/>
          <w:sz w:val="32"/>
          <w:szCs w:val="32"/>
        </w:rPr>
        <w:t>0.3</w:t>
      </w:r>
      <w:r>
        <w:rPr>
          <w:rFonts w:ascii="仿宋_GB2312" w:eastAsia="仿宋_GB2312" w:cs="DengXian-Regular" w:hint="eastAsia"/>
          <w:sz w:val="32"/>
          <w:szCs w:val="32"/>
        </w:rPr>
        <w:t>万元。</w:t>
      </w:r>
      <w:r>
        <w:rPr>
          <w:rFonts w:ascii="仿宋_GB2312" w:eastAsia="仿宋_GB2312" w:cs="DengXian-Regular"/>
          <w:sz w:val="32"/>
          <w:szCs w:val="32"/>
        </w:rPr>
        <w:t xml:space="preserve"> </w:t>
      </w:r>
    </w:p>
    <w:p w:rsidR="00FA3533" w:rsidRDefault="00C015AC">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本部门2019年度因公出国（境）团组1个、共1人，参加其他单位组织的因公出国（境）团1个、共1人，无本单位组织的出国（境）团组,本部门</w:t>
      </w:r>
      <w:r>
        <w:rPr>
          <w:rFonts w:ascii="仿宋_GB2312" w:eastAsia="仿宋_GB2312" w:cs="DengXian-Regular"/>
          <w:sz w:val="32"/>
          <w:szCs w:val="32"/>
        </w:rPr>
        <w:t>2019</w:t>
      </w:r>
      <w:r>
        <w:rPr>
          <w:rFonts w:ascii="仿宋_GB2312" w:eastAsia="仿宋_GB2312" w:cs="DengXian-Regular" w:hint="eastAsia"/>
          <w:sz w:val="32"/>
          <w:szCs w:val="32"/>
        </w:rPr>
        <w:t>年出国出境支出</w:t>
      </w:r>
      <w:r>
        <w:rPr>
          <w:rFonts w:ascii="仿宋_GB2312" w:eastAsia="仿宋_GB2312" w:cs="DengXian-Regular"/>
          <w:sz w:val="32"/>
          <w:szCs w:val="32"/>
        </w:rPr>
        <w:t>0.3</w:t>
      </w:r>
      <w:r>
        <w:rPr>
          <w:rFonts w:ascii="仿宋_GB2312" w:eastAsia="仿宋_GB2312" w:cs="DengXian-Regular" w:hint="eastAsia"/>
          <w:sz w:val="32"/>
          <w:szCs w:val="32"/>
        </w:rPr>
        <w:t>万元，</w:t>
      </w:r>
      <w:r w:rsidR="00390FD9">
        <w:rPr>
          <w:rFonts w:ascii="仿宋_GB2312" w:eastAsia="仿宋_GB2312" w:cs="DengXian-Regular" w:hint="eastAsia"/>
          <w:color w:val="000000"/>
          <w:sz w:val="32"/>
          <w:szCs w:val="32"/>
        </w:rPr>
        <w:t>较预算增加</w:t>
      </w:r>
      <w:r w:rsidR="00390FD9">
        <w:rPr>
          <w:rFonts w:ascii="仿宋_GB2312" w:eastAsia="仿宋_GB2312" w:cs="DengXian-Regular"/>
          <w:color w:val="000000"/>
          <w:sz w:val="32"/>
          <w:szCs w:val="32"/>
        </w:rPr>
        <w:t>0</w:t>
      </w:r>
      <w:r w:rsidR="00390FD9">
        <w:rPr>
          <w:rFonts w:ascii="仿宋_GB2312" w:eastAsia="仿宋_GB2312" w:cs="DengXian-Regular" w:hint="eastAsia"/>
          <w:color w:val="000000"/>
          <w:sz w:val="32"/>
          <w:szCs w:val="32"/>
        </w:rPr>
        <w:t>.3万元，增长100%,主要是</w:t>
      </w:r>
      <w:r w:rsidR="00390FD9">
        <w:rPr>
          <w:rFonts w:ascii="仿宋_GB2312" w:eastAsia="仿宋_GB2312" w:cs="DengXian-Regular"/>
          <w:color w:val="000000"/>
          <w:sz w:val="32"/>
          <w:szCs w:val="32"/>
        </w:rPr>
        <w:t>按照</w:t>
      </w:r>
      <w:r w:rsidR="00390FD9">
        <w:rPr>
          <w:rFonts w:ascii="仿宋_GB2312" w:eastAsia="仿宋_GB2312" w:cs="DengXian-Regular" w:hint="eastAsia"/>
          <w:color w:val="000000"/>
          <w:sz w:val="32"/>
          <w:szCs w:val="32"/>
        </w:rPr>
        <w:t>实际工作需要</w:t>
      </w:r>
      <w:r w:rsidR="00390FD9">
        <w:rPr>
          <w:rFonts w:ascii="仿宋_GB2312" w:eastAsia="仿宋_GB2312" w:cs="DengXian-Regular"/>
          <w:color w:val="000000"/>
          <w:sz w:val="32"/>
          <w:szCs w:val="32"/>
        </w:rPr>
        <w:t>执行因公出国境经费</w:t>
      </w:r>
      <w:r w:rsidR="00390FD9">
        <w:rPr>
          <w:rFonts w:ascii="仿宋_GB2312" w:eastAsia="仿宋_GB2312" w:cs="DengXian-Regular" w:hint="eastAsia"/>
          <w:color w:val="000000"/>
          <w:sz w:val="32"/>
          <w:szCs w:val="32"/>
        </w:rPr>
        <w:t>；较上年增加</w:t>
      </w:r>
      <w:r w:rsidR="00390FD9">
        <w:rPr>
          <w:rFonts w:ascii="仿宋_GB2312" w:eastAsia="仿宋_GB2312" w:cs="DengXian-Regular"/>
          <w:color w:val="000000"/>
          <w:sz w:val="32"/>
          <w:szCs w:val="32"/>
        </w:rPr>
        <w:t>0.3</w:t>
      </w:r>
      <w:r w:rsidR="00390FD9">
        <w:rPr>
          <w:rFonts w:ascii="仿宋_GB2312" w:eastAsia="仿宋_GB2312" w:cs="DengXian-Regular" w:hint="eastAsia"/>
          <w:color w:val="000000"/>
          <w:sz w:val="32"/>
          <w:szCs w:val="32"/>
        </w:rPr>
        <w:t>万元，</w:t>
      </w:r>
      <w:r w:rsidR="00390FD9">
        <w:rPr>
          <w:rFonts w:ascii="仿宋_GB2312" w:eastAsia="仿宋_GB2312" w:cs="DengXian-Regular"/>
          <w:color w:val="000000"/>
          <w:sz w:val="32"/>
          <w:szCs w:val="32"/>
        </w:rPr>
        <w:t>去年同期支出为0</w:t>
      </w:r>
      <w:r w:rsidR="00390FD9">
        <w:rPr>
          <w:rFonts w:ascii="仿宋_GB2312" w:eastAsia="仿宋_GB2312" w:cs="DengXian-Regular" w:hint="eastAsia"/>
          <w:color w:val="000000"/>
          <w:sz w:val="32"/>
          <w:szCs w:val="32"/>
        </w:rPr>
        <w:t>,主要是</w:t>
      </w:r>
      <w:r w:rsidR="00390FD9">
        <w:rPr>
          <w:rFonts w:ascii="仿宋_GB2312" w:eastAsia="仿宋_GB2312" w:cs="DengXian-Regular"/>
          <w:color w:val="000000"/>
          <w:sz w:val="32"/>
          <w:szCs w:val="32"/>
        </w:rPr>
        <w:t>2018年无因公出国境支出，2019年增加0.3万元。</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（二）公务用车购置及运行维护费支出</w:t>
      </w:r>
      <w:r>
        <w:rPr>
          <w:rFonts w:ascii="仿宋_GB2312" w:eastAsia="仿宋_GB2312" w:cs="DengXian-Regular"/>
          <w:sz w:val="32"/>
          <w:szCs w:val="32"/>
        </w:rPr>
        <w:t>6.93</w:t>
      </w:r>
      <w:r>
        <w:rPr>
          <w:rFonts w:ascii="仿宋_GB2312" w:eastAsia="仿宋_GB2312" w:cs="DengXian-Regular" w:hint="eastAsia"/>
          <w:sz w:val="32"/>
          <w:szCs w:val="32"/>
        </w:rPr>
        <w:t>万元。</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年度公务用车购置及运行维护费比</w:t>
      </w:r>
      <w:r>
        <w:rPr>
          <w:rFonts w:ascii="仿宋_GB2312" w:eastAsia="仿宋_GB2312" w:cs="DengXian-Regular"/>
          <w:sz w:val="32"/>
          <w:szCs w:val="32"/>
        </w:rPr>
        <w:t>2018</w:t>
      </w:r>
      <w:r>
        <w:rPr>
          <w:rFonts w:ascii="仿宋_GB2312" w:eastAsia="仿宋_GB2312" w:cs="DengXian-Regular" w:hint="eastAsia"/>
          <w:sz w:val="32"/>
          <w:szCs w:val="32"/>
        </w:rPr>
        <w:t>年度决算增加</w:t>
      </w:r>
      <w:r>
        <w:rPr>
          <w:rFonts w:ascii="仿宋_GB2312" w:eastAsia="仿宋_GB2312" w:cs="DengXian-Regular"/>
          <w:sz w:val="32"/>
          <w:szCs w:val="32"/>
        </w:rPr>
        <w:t>5.75</w:t>
      </w:r>
      <w:r>
        <w:rPr>
          <w:rFonts w:ascii="仿宋_GB2312" w:eastAsia="仿宋_GB2312" w:cs="DengXian-Regular" w:hint="eastAsia"/>
          <w:sz w:val="32"/>
          <w:szCs w:val="32"/>
        </w:rPr>
        <w:t>万元，增长</w:t>
      </w:r>
      <w:r>
        <w:rPr>
          <w:rFonts w:ascii="仿宋_GB2312" w:eastAsia="仿宋_GB2312" w:cs="DengXian-Regular"/>
          <w:sz w:val="32"/>
          <w:szCs w:val="32"/>
        </w:rPr>
        <w:t>487.29%</w:t>
      </w:r>
      <w:r>
        <w:rPr>
          <w:rFonts w:ascii="仿宋_GB2312" w:eastAsia="仿宋_GB2312" w:cs="DengXian-Regular" w:hint="eastAsia"/>
          <w:sz w:val="32"/>
          <w:szCs w:val="32"/>
        </w:rPr>
        <w:t>，主要原因是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年机构改革，原发改、原商务、原粮食、原物价四部门账务合并。其中：</w:t>
      </w:r>
    </w:p>
    <w:p w:rsidR="00FA3533" w:rsidRDefault="00390FD9" w:rsidP="00643DA5">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未发生公务用车购置支出</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未发生公务用车购置支出</w:t>
      </w:r>
      <w:r>
        <w:rPr>
          <w:rFonts w:ascii="仿宋_GB2312" w:eastAsia="仿宋_GB2312" w:cs="DengXian-Regular" w:hint="eastAsia"/>
          <w:color w:val="000000"/>
          <w:sz w:val="32"/>
          <w:szCs w:val="32"/>
        </w:rPr>
        <w:t>。</w:t>
      </w:r>
    </w:p>
    <w:p w:rsidR="00FA3533" w:rsidRDefault="00390FD9" w:rsidP="00643DA5">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w:t>
      </w:r>
      <w:r>
        <w:rPr>
          <w:rFonts w:ascii="仿宋_GB2312" w:eastAsia="仿宋_GB2312" w:cs="DengXian-Regular"/>
          <w:sz w:val="32"/>
          <w:szCs w:val="32"/>
        </w:rPr>
        <w:t>4</w:t>
      </w:r>
      <w:r>
        <w:rPr>
          <w:rFonts w:ascii="仿宋_GB2312" w:eastAsia="仿宋_GB2312" w:cs="DengXian-Regular" w:hint="eastAsia"/>
          <w:color w:val="000000"/>
          <w:sz w:val="32"/>
          <w:szCs w:val="32"/>
        </w:rPr>
        <w:t>辆。公车运行维护费支出</w:t>
      </w:r>
      <w:r>
        <w:rPr>
          <w:rFonts w:ascii="仿宋_GB2312" w:eastAsia="仿宋_GB2312" w:cs="DengXian-Regular"/>
          <w:color w:val="000000"/>
          <w:sz w:val="32"/>
          <w:szCs w:val="32"/>
        </w:rPr>
        <w:t>与</w:t>
      </w:r>
      <w:r>
        <w:rPr>
          <w:rFonts w:ascii="仿宋_GB2312" w:eastAsia="仿宋_GB2312" w:cs="DengXian-Regular" w:hint="eastAsia"/>
          <w:color w:val="000000"/>
          <w:sz w:val="32"/>
          <w:szCs w:val="32"/>
        </w:rPr>
        <w:t>预算</w:t>
      </w:r>
      <w:r>
        <w:rPr>
          <w:rFonts w:ascii="仿宋_GB2312" w:eastAsia="仿宋_GB2312" w:cs="DengXian-Regular"/>
          <w:color w:val="000000"/>
          <w:sz w:val="32"/>
          <w:szCs w:val="32"/>
        </w:rPr>
        <w:t>持平</w:t>
      </w:r>
      <w:r>
        <w:rPr>
          <w:rFonts w:ascii="仿宋_GB2312" w:eastAsia="仿宋_GB2312" w:cs="DengXian-Regular" w:hint="eastAsia"/>
          <w:color w:val="000000"/>
          <w:sz w:val="32"/>
          <w:szCs w:val="32"/>
        </w:rPr>
        <w:t>，增长</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按年初预算执行公务用车运行维护费</w:t>
      </w:r>
      <w:r>
        <w:rPr>
          <w:rFonts w:ascii="仿宋_GB2312" w:eastAsia="仿宋_GB2312" w:cs="DengXian-Regular" w:hint="eastAsia"/>
          <w:color w:val="000000"/>
          <w:sz w:val="32"/>
          <w:szCs w:val="32"/>
        </w:rPr>
        <w:t>；较上年增加</w:t>
      </w:r>
      <w:r>
        <w:rPr>
          <w:rFonts w:ascii="仿宋_GB2312" w:eastAsia="仿宋_GB2312" w:cs="DengXian-Regular"/>
          <w:sz w:val="32"/>
          <w:szCs w:val="32"/>
        </w:rPr>
        <w:t>5.75</w:t>
      </w:r>
      <w:r>
        <w:rPr>
          <w:rFonts w:ascii="仿宋_GB2312" w:eastAsia="仿宋_GB2312" w:cs="DengXian-Regular" w:hint="eastAsia"/>
          <w:sz w:val="32"/>
          <w:szCs w:val="32"/>
        </w:rPr>
        <w:t>万元，增长</w:t>
      </w:r>
      <w:r>
        <w:rPr>
          <w:rFonts w:ascii="仿宋_GB2312" w:eastAsia="仿宋_GB2312" w:cs="DengXian-Regular"/>
          <w:sz w:val="32"/>
          <w:szCs w:val="32"/>
        </w:rPr>
        <w:t>487.29%</w:t>
      </w:r>
      <w:r>
        <w:rPr>
          <w:rFonts w:ascii="仿宋_GB2312" w:eastAsia="仿宋_GB2312" w:cs="DengXian-Regular" w:hint="eastAsia"/>
          <w:sz w:val="32"/>
          <w:szCs w:val="32"/>
        </w:rPr>
        <w:t>，主要原因是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年机构改革，原发改、原商务、原粮食、原物价四部门账务合并</w:t>
      </w:r>
      <w:r>
        <w:rPr>
          <w:rFonts w:ascii="仿宋_GB2312" w:eastAsia="仿宋_GB2312" w:cs="DengXian-Regular" w:hint="eastAsia"/>
          <w:color w:val="000000"/>
          <w:sz w:val="32"/>
          <w:szCs w:val="32"/>
        </w:rPr>
        <w:t>。</w:t>
      </w:r>
    </w:p>
    <w:p w:rsidR="00FA3533" w:rsidRDefault="00FA3533">
      <w:pPr>
        <w:adjustRightInd w:val="0"/>
        <w:snapToGrid w:val="0"/>
        <w:spacing w:line="580" w:lineRule="exact"/>
        <w:ind w:firstLineChars="200" w:firstLine="640"/>
        <w:rPr>
          <w:rFonts w:ascii="仿宋_GB2312" w:eastAsia="仿宋_GB2312" w:cs="DengXian-Regular"/>
          <w:color w:val="000000"/>
          <w:sz w:val="32"/>
          <w:szCs w:val="32"/>
        </w:rPr>
      </w:pP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（三）公务接待费支出</w:t>
      </w:r>
      <w:r>
        <w:rPr>
          <w:rFonts w:ascii="仿宋_GB2312" w:eastAsia="仿宋_GB2312" w:cs="DengXian-Regular"/>
          <w:sz w:val="32"/>
          <w:szCs w:val="32"/>
        </w:rPr>
        <w:t>0.13</w:t>
      </w:r>
      <w:r>
        <w:rPr>
          <w:rFonts w:ascii="仿宋_GB2312" w:eastAsia="仿宋_GB2312" w:cs="DengXian-Regular" w:hint="eastAsia"/>
          <w:sz w:val="32"/>
          <w:szCs w:val="32"/>
        </w:rPr>
        <w:t>万元。</w:t>
      </w:r>
    </w:p>
    <w:p w:rsidR="00FA3533" w:rsidRDefault="00390FD9">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年公务接待</w:t>
      </w:r>
      <w:r>
        <w:rPr>
          <w:rFonts w:ascii="仿宋_GB2312" w:eastAsia="仿宋_GB2312" w:cs="DengXian-Regular" w:hint="eastAsia"/>
          <w:color w:val="000000"/>
          <w:sz w:val="32"/>
          <w:szCs w:val="32"/>
        </w:rPr>
        <w:t>共2批次、22人次。公务接待费支出较预算增加0.13万元，增长100%,主要是</w:t>
      </w:r>
      <w:r>
        <w:rPr>
          <w:rFonts w:ascii="仿宋_GB2312" w:eastAsia="仿宋_GB2312" w:cs="DengXian-Regular"/>
          <w:color w:val="000000"/>
          <w:sz w:val="32"/>
          <w:szCs w:val="32"/>
        </w:rPr>
        <w:t>按照</w:t>
      </w:r>
      <w:r>
        <w:rPr>
          <w:rFonts w:ascii="仿宋_GB2312" w:eastAsia="仿宋_GB2312" w:cs="DengXian-Regular" w:hint="eastAsia"/>
          <w:color w:val="000000"/>
          <w:sz w:val="32"/>
          <w:szCs w:val="32"/>
        </w:rPr>
        <w:t>实际工作需要发生</w:t>
      </w:r>
      <w:r>
        <w:rPr>
          <w:rFonts w:ascii="仿宋_GB2312" w:eastAsia="仿宋_GB2312" w:cs="DengXian-Regular"/>
          <w:color w:val="000000"/>
          <w:sz w:val="32"/>
          <w:szCs w:val="32"/>
        </w:rPr>
        <w:t>公务接待费</w:t>
      </w:r>
      <w:r>
        <w:rPr>
          <w:rFonts w:ascii="仿宋_GB2312" w:eastAsia="仿宋_GB2312" w:cs="DengXian-Regular" w:hint="eastAsia"/>
          <w:color w:val="000000"/>
          <w:sz w:val="32"/>
          <w:szCs w:val="32"/>
        </w:rPr>
        <w:t>；较上年度</w:t>
      </w:r>
      <w:r>
        <w:rPr>
          <w:rFonts w:ascii="仿宋_GB2312" w:eastAsia="仿宋_GB2312" w:cs="DengXian-Regular"/>
          <w:color w:val="000000"/>
          <w:sz w:val="32"/>
          <w:szCs w:val="32"/>
        </w:rPr>
        <w:t>增加0.13</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去年同期公务接待支出为0</w:t>
      </w:r>
      <w:r>
        <w:rPr>
          <w:rFonts w:ascii="仿宋_GB2312" w:eastAsia="仿宋_GB2312" w:cs="DengXian-Regular" w:hint="eastAsia"/>
          <w:color w:val="000000"/>
          <w:sz w:val="32"/>
          <w:szCs w:val="32"/>
        </w:rPr>
        <w:t>,</w:t>
      </w:r>
      <w:r>
        <w:rPr>
          <w:rFonts w:ascii="仿宋_GB2312" w:eastAsia="仿宋_GB2312" w:cs="DengXian-Regular" w:hint="eastAsia"/>
          <w:sz w:val="32"/>
          <w:szCs w:val="32"/>
        </w:rPr>
        <w:t>主要原因是原粮食部门有粮食库存监督检查接待任务</w:t>
      </w:r>
      <w:r>
        <w:rPr>
          <w:rFonts w:ascii="仿宋_GB2312" w:eastAsia="仿宋_GB2312" w:cs="DengXian-Regular" w:hint="eastAsia"/>
          <w:color w:val="000000"/>
          <w:sz w:val="32"/>
          <w:szCs w:val="32"/>
        </w:rPr>
        <w:t>。</w:t>
      </w:r>
    </w:p>
    <w:p w:rsidR="00FA3533" w:rsidRDefault="00390FD9" w:rsidP="00643DA5">
      <w:pPr>
        <w:pStyle w:val="3"/>
        <w:numPr>
          <w:ilvl w:val="0"/>
          <w:numId w:val="5"/>
        </w:numPr>
        <w:spacing w:before="0" w:after="0" w:line="580" w:lineRule="exact"/>
        <w:ind w:firstLineChars="200" w:firstLine="643"/>
        <w:rPr>
          <w:rFonts w:ascii="黑体" w:eastAsia="黑体" w:cs="Times New Roman"/>
          <w:color w:val="000000"/>
        </w:rPr>
      </w:pPr>
      <w:r>
        <w:rPr>
          <w:rFonts w:ascii="黑体" w:eastAsia="黑体" w:cs="Times New Roman" w:hint="eastAsia"/>
          <w:color w:val="000000"/>
        </w:rPr>
        <w:t>其他重要事项的说明</w:t>
      </w:r>
    </w:p>
    <w:p w:rsidR="00FA3533" w:rsidRDefault="00390FD9">
      <w:pPr>
        <w:pStyle w:val="3"/>
        <w:spacing w:before="0" w:after="0" w:line="580" w:lineRule="exact"/>
        <w:ind w:leftChars="200" w:left="420"/>
        <w:rPr>
          <w:rFonts w:ascii="楷体_GB2312" w:eastAsia="楷体_GB2312" w:cs="DengXian-Bold"/>
          <w:b w:val="0"/>
          <w:bCs w:val="0"/>
        </w:rPr>
      </w:pPr>
      <w:r>
        <w:rPr>
          <w:rFonts w:ascii="楷体_GB2312" w:eastAsia="楷体_GB2312" w:cs="DengXian-Bold" w:hint="eastAsia"/>
          <w:b w:val="0"/>
          <w:bCs w:val="0"/>
        </w:rPr>
        <w:t>（一）机关运行经费情况</w:t>
      </w:r>
    </w:p>
    <w:p w:rsidR="00FA3533" w:rsidRDefault="00390FD9">
      <w:pPr>
        <w:adjustRightInd w:val="0"/>
        <w:snapToGrid w:val="0"/>
        <w:spacing w:line="580" w:lineRule="exact"/>
        <w:ind w:firstLineChars="200" w:firstLine="640"/>
        <w:rPr>
          <w:rFonts w:ascii="仿宋_GB2312" w:eastAsia="仿宋_GB2312" w:cs="DengXian-Regular"/>
          <w:sz w:val="32"/>
          <w:szCs w:val="32"/>
          <w:highlight w:val="yellow"/>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年度机关运行经费支出</w:t>
      </w:r>
      <w:r>
        <w:rPr>
          <w:rFonts w:ascii="仿宋_GB2312" w:eastAsia="仿宋_GB2312" w:cs="DengXian-Regular"/>
          <w:sz w:val="32"/>
          <w:szCs w:val="32"/>
        </w:rPr>
        <w:t>122.98</w:t>
      </w:r>
      <w:r>
        <w:rPr>
          <w:rFonts w:ascii="仿宋_GB2312" w:eastAsia="仿宋_GB2312" w:cs="DengXian-Regular" w:hint="eastAsia"/>
          <w:sz w:val="32"/>
          <w:szCs w:val="32"/>
        </w:rPr>
        <w:t>万元，比年初预算数减少</w:t>
      </w:r>
      <w:r>
        <w:rPr>
          <w:rFonts w:ascii="仿宋_GB2312" w:eastAsia="仿宋_GB2312" w:cs="DengXian-Regular"/>
          <w:sz w:val="32"/>
          <w:szCs w:val="32"/>
        </w:rPr>
        <w:t>100.64</w:t>
      </w:r>
      <w:r>
        <w:rPr>
          <w:rFonts w:ascii="仿宋_GB2312" w:eastAsia="仿宋_GB2312" w:cs="DengXian-Regular" w:hint="eastAsia"/>
          <w:sz w:val="32"/>
          <w:szCs w:val="32"/>
        </w:rPr>
        <w:t>万元，减少</w:t>
      </w:r>
      <w:r>
        <w:rPr>
          <w:rFonts w:ascii="仿宋_GB2312" w:eastAsia="仿宋_GB2312" w:cs="DengXian-Regular"/>
          <w:sz w:val="32"/>
          <w:szCs w:val="32"/>
        </w:rPr>
        <w:t>45%；</w:t>
      </w:r>
      <w:r>
        <w:rPr>
          <w:rFonts w:ascii="仿宋_GB2312" w:eastAsia="仿宋_GB2312" w:cs="DengXian-Regular" w:hint="eastAsia"/>
          <w:color w:val="000000"/>
          <w:sz w:val="32"/>
          <w:szCs w:val="32"/>
        </w:rPr>
        <w:t>比2018年度增加77.06万元，增长62.66%</w:t>
      </w:r>
      <w:r>
        <w:rPr>
          <w:rFonts w:ascii="仿宋_GB2312" w:eastAsia="仿宋_GB2312" w:cs="DengXian-Regular" w:hint="eastAsia"/>
          <w:sz w:val="32"/>
          <w:szCs w:val="32"/>
        </w:rPr>
        <w:t>。主要原因是2019年机构改革，原发改、原商务、原粮食、原物价四部门账务合并。</w:t>
      </w:r>
    </w:p>
    <w:p w:rsidR="00FA3533" w:rsidRDefault="00390FD9">
      <w:pPr>
        <w:pStyle w:val="3"/>
        <w:spacing w:before="0" w:after="0" w:line="580" w:lineRule="exact"/>
        <w:ind w:firstLineChars="200" w:firstLine="640"/>
        <w:rPr>
          <w:rFonts w:ascii="楷体_GB2312" w:eastAsia="楷体_GB2312" w:cs="DengXian-Bold"/>
          <w:b w:val="0"/>
          <w:bCs w:val="0"/>
        </w:rPr>
      </w:pPr>
      <w:r>
        <w:rPr>
          <w:rFonts w:ascii="楷体_GB2312" w:eastAsia="楷体_GB2312" w:cs="DengXian-Bold" w:hint="eastAsia"/>
          <w:b w:val="0"/>
          <w:bCs w:val="0"/>
        </w:rPr>
        <w:t>（二）政府采购情况</w:t>
      </w:r>
    </w:p>
    <w:p w:rsidR="00FA3533" w:rsidRDefault="00390FD9">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本部门2019年度政府采购支出总额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color w:val="000000"/>
          <w:kern w:val="0"/>
          <w:sz w:val="32"/>
          <w:szCs w:val="32"/>
        </w:rPr>
        <w:t>政府采购货物支出0万元、政府采购工程支出0万元、政府采购服务支出0万元。授予中小企业合同金0万元，占政府采购支出总额的0.0</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其中授予小微企业合同金额0万元，占政府采购支出总额的0.0%</w:t>
      </w:r>
      <w:r>
        <w:rPr>
          <w:rFonts w:ascii="仿宋_GB2312" w:eastAsia="仿宋_GB2312" w:cs="DengXian-Regular" w:hint="eastAsia"/>
          <w:sz w:val="32"/>
          <w:szCs w:val="32"/>
        </w:rPr>
        <w:t>。</w:t>
      </w:r>
    </w:p>
    <w:p w:rsidR="00FA3533" w:rsidRDefault="00390FD9">
      <w:pPr>
        <w:pStyle w:val="3"/>
        <w:spacing w:before="0" w:after="0" w:line="580" w:lineRule="exact"/>
        <w:ind w:firstLineChars="200" w:firstLine="640"/>
        <w:rPr>
          <w:rFonts w:ascii="楷体_GB2312" w:eastAsia="楷体_GB2312" w:cs="DengXian-Bold"/>
          <w:b w:val="0"/>
          <w:bCs w:val="0"/>
        </w:rPr>
      </w:pPr>
      <w:r>
        <w:rPr>
          <w:rFonts w:ascii="楷体_GB2312" w:eastAsia="楷体_GB2312" w:cs="DengXian-Bold" w:hint="eastAsia"/>
          <w:b w:val="0"/>
          <w:bCs w:val="0"/>
        </w:rPr>
        <w:t>（三）国有资产占用情况</w:t>
      </w:r>
    </w:p>
    <w:p w:rsidR="00A85460" w:rsidRDefault="00390FD9">
      <w:pPr>
        <w:adjustRightInd w:val="0"/>
        <w:snapToGrid w:val="0"/>
        <w:spacing w:line="580" w:lineRule="exact"/>
        <w:ind w:firstLineChars="200" w:firstLine="640"/>
        <w:rPr>
          <w:rFonts w:ascii="仿宋_GB2312" w:eastAsia="仿宋_GB2312" w:cs="DengXian-Regular" w:hint="eastAsia"/>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2019</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4</w:t>
      </w:r>
      <w:r>
        <w:rPr>
          <w:rFonts w:ascii="仿宋_GB2312" w:eastAsia="仿宋_GB2312" w:cs="DengXian-Regular" w:hint="eastAsia"/>
          <w:sz w:val="32"/>
          <w:szCs w:val="32"/>
        </w:rPr>
        <w:t>辆，与上年相比，增加</w:t>
      </w:r>
      <w:r>
        <w:rPr>
          <w:rFonts w:ascii="仿宋_GB2312" w:eastAsia="仿宋_GB2312" w:cs="DengXian-Regular"/>
          <w:sz w:val="32"/>
          <w:szCs w:val="32"/>
        </w:rPr>
        <w:t>3</w:t>
      </w:r>
      <w:r>
        <w:rPr>
          <w:rFonts w:ascii="仿宋_GB2312" w:eastAsia="仿宋_GB2312" w:cs="DengXian-Regular" w:hint="eastAsia"/>
          <w:sz w:val="32"/>
          <w:szCs w:val="32"/>
        </w:rPr>
        <w:t>辆，主要原因是</w:t>
      </w:r>
      <w:r>
        <w:rPr>
          <w:rFonts w:ascii="仿宋_GB2312" w:eastAsia="仿宋_GB2312" w:cs="DengXian-Regular"/>
          <w:sz w:val="32"/>
          <w:szCs w:val="32"/>
        </w:rPr>
        <w:t>2019</w:t>
      </w:r>
      <w:r>
        <w:rPr>
          <w:rFonts w:ascii="仿宋_GB2312" w:eastAsia="仿宋_GB2312" w:cs="DengXian-Regular" w:hint="eastAsia"/>
          <w:sz w:val="32"/>
          <w:szCs w:val="32"/>
        </w:rPr>
        <w:t>年机构改革，原发改、原商务、</w:t>
      </w:r>
      <w:r>
        <w:rPr>
          <w:rFonts w:ascii="仿宋_GB2312" w:eastAsia="仿宋_GB2312" w:cs="DengXian-Regular" w:hint="eastAsia"/>
          <w:sz w:val="32"/>
          <w:szCs w:val="32"/>
        </w:rPr>
        <w:lastRenderedPageBreak/>
        <w:t>原粮食、原物价四部门资产合并。其中，副部（省）级及以上领导用车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4</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w:t>
      </w:r>
      <w:r w:rsidR="00A85460">
        <w:rPr>
          <w:rFonts w:ascii="仿宋_GB2312" w:eastAsia="仿宋_GB2312" w:cs="DengXian-Regular" w:hint="eastAsia"/>
          <w:sz w:val="32"/>
          <w:szCs w:val="32"/>
        </w:rPr>
        <w:t>。</w:t>
      </w:r>
    </w:p>
    <w:p w:rsidR="00A85460" w:rsidRDefault="00A85460" w:rsidP="00A85460">
      <w:pPr>
        <w:adjustRightInd w:val="0"/>
        <w:snapToGrid w:val="0"/>
        <w:spacing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万元以上通用设备0台（套），比上年增加0套，与上年相比无增减变化，单位价值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万元以上专用设备0台（套）比上年增加0套，与上年相比无增减变化。</w:t>
      </w:r>
    </w:p>
    <w:p w:rsidR="00FA3533" w:rsidRDefault="00FA3533">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Default="00A85460">
      <w:pPr>
        <w:rPr>
          <w:rFonts w:ascii="黑体" w:eastAsia="黑体" w:cs="黑体" w:hint="eastAsia"/>
          <w:color w:val="000000"/>
          <w:sz w:val="56"/>
          <w:szCs w:val="72"/>
        </w:rPr>
      </w:pPr>
    </w:p>
    <w:p w:rsidR="00A85460" w:rsidRPr="00A85460" w:rsidRDefault="00A85460">
      <w:pPr>
        <w:rPr>
          <w:rFonts w:ascii="黑体" w:eastAsia="黑体" w:cs="黑体"/>
          <w:color w:val="000000"/>
          <w:sz w:val="56"/>
          <w:szCs w:val="72"/>
        </w:rPr>
      </w:pPr>
    </w:p>
    <w:p w:rsidR="00FA3533" w:rsidRDefault="00FA3533">
      <w:pPr>
        <w:jc w:val="center"/>
        <w:rPr>
          <w:rFonts w:ascii="黑体" w:eastAsia="黑体" w:cs="黑体"/>
          <w:color w:val="000000"/>
          <w:sz w:val="56"/>
          <w:szCs w:val="72"/>
        </w:rPr>
      </w:pPr>
    </w:p>
    <w:p w:rsidR="00FA3533" w:rsidRDefault="00340E0D">
      <w:pPr>
        <w:jc w:val="center"/>
        <w:rPr>
          <w:rFonts w:ascii="黑体" w:eastAsia="黑体" w:cs="黑体"/>
          <w:color w:val="000000"/>
          <w:sz w:val="56"/>
          <w:szCs w:val="72"/>
        </w:rPr>
      </w:pPr>
      <w:r>
        <w:rPr>
          <w:rFonts w:ascii="黑体" w:eastAsia="黑体" w:cs="黑体"/>
          <w:noProof/>
          <w:color w:val="000000"/>
          <w:sz w:val="56"/>
          <w:szCs w:val="72"/>
        </w:rPr>
        <w:pict>
          <v:rect id="矩形 106" o:spid="_x0000_s1044" style="position:absolute;left:0;text-align:left;margin-left:-78.8pt;margin-top:80.1pt;width:627pt;height:263.1pt;z-index:251666944;mso-wrap-distance-left:3.17494mm;mso-wrap-distance-right:3.17494mm;v-text-anchor:middle" fillcolor="#ffd966" strokecolor="#ffd966" strokeweight=".5pt">
            <v:fill r:id="rId20" o:title="5%" type="pattern"/>
            <v:textbox id="857">
              <w:txbxContent>
                <w:p w:rsidR="00D939E2" w:rsidRDefault="00D939E2" w:rsidP="00D939E2">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w:r>
    </w:p>
    <w:p w:rsidR="00FA3533" w:rsidRDefault="00FA3533">
      <w:pPr>
        <w:jc w:val="center"/>
        <w:rPr>
          <w:color w:val="000000"/>
          <w:sz w:val="72"/>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tabs>
          <w:tab w:val="left" w:pos="886"/>
        </w:tabs>
        <w:jc w:val="left"/>
        <w:rPr>
          <w:color w:val="000000"/>
        </w:rPr>
        <w:sectPr w:rsidR="00FA3533" w:rsidSect="00A85460">
          <w:headerReference w:type="first" r:id="rId21"/>
          <w:type w:val="continuous"/>
          <w:pgSz w:w="11906" w:h="16838"/>
          <w:pgMar w:top="2041" w:right="1531" w:bottom="2041" w:left="1531" w:header="851" w:footer="992" w:gutter="0"/>
          <w:pgNumType w:fmt="numberInDash"/>
          <w:cols w:space="720"/>
          <w:titlePg/>
          <w:docGrid w:type="lines" w:linePitch="312"/>
        </w:sectPr>
      </w:pP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A3533" w:rsidRDefault="00390FD9" w:rsidP="00643DA5">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A3533" w:rsidRDefault="00390FD9" w:rsidP="00643DA5">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FA3533" w:rsidRDefault="00390FD9" w:rsidP="00643DA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FA3533" w:rsidRDefault="00390FD9" w:rsidP="00643DA5">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tabs>
          <w:tab w:val="left" w:pos="235"/>
        </w:tabs>
        <w:jc w:val="left"/>
        <w:rPr>
          <w:color w:val="000000"/>
        </w:rPr>
      </w:pPr>
    </w:p>
    <w:p w:rsidR="00FA3533" w:rsidRDefault="00FA3533">
      <w:pPr>
        <w:tabs>
          <w:tab w:val="left" w:pos="235"/>
        </w:tabs>
        <w:jc w:val="left"/>
        <w:rPr>
          <w:color w:val="000000"/>
        </w:rPr>
        <w:sectPr w:rsidR="00FA3533">
          <w:pgSz w:w="11906" w:h="16838"/>
          <w:pgMar w:top="2098" w:right="1474" w:bottom="1985" w:left="1588" w:header="851" w:footer="992" w:gutter="0"/>
          <w:pgNumType w:fmt="numberInDash"/>
          <w:cols w:space="720"/>
          <w:docGrid w:type="lines" w:linePitch="312"/>
        </w:sectPr>
      </w:pPr>
    </w:p>
    <w:p w:rsidR="00FA3533" w:rsidRDefault="00340E0D">
      <w:pPr>
        <w:rPr>
          <w:color w:val="000000"/>
        </w:rPr>
      </w:pPr>
      <w:r>
        <w:rPr>
          <w:noProof/>
          <w:color w:val="000000"/>
        </w:rPr>
        <w:lastRenderedPageBreak/>
        <w:pict>
          <v:rect id="矩形 110" o:spid="_x0000_s1045" style="position:absolute;left:0;text-align:left;margin-left:-82.05pt;margin-top:143.05pt;width:613.65pt;height:263.1pt;z-index:251667968;mso-wrap-distance-left:3.17494mm;mso-wrap-distance-right:3.17494mm;v-text-anchor:middle" fillcolor="#ffd966" strokecolor="#ffd966" strokeweight=".5pt">
            <v:fill r:id="rId20" o:title="5%" type="pattern"/>
            <v:textbox id="858custom">
              <w:txbxContent>
                <w:p w:rsidR="00D939E2" w:rsidRDefault="00D939E2" w:rsidP="00D939E2">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D939E2" w:rsidRDefault="00D939E2" w:rsidP="00D939E2">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w:r>
    </w:p>
    <w:p w:rsidR="00FA3533" w:rsidRDefault="00FA3533">
      <w:pPr>
        <w:tabs>
          <w:tab w:val="left" w:pos="235"/>
        </w:tabs>
        <w:jc w:val="left"/>
        <w:rPr>
          <w:color w:val="000000"/>
        </w:rPr>
        <w:sectPr w:rsidR="00FA3533">
          <w:headerReference w:type="default" r:id="rId22"/>
          <w:pgSz w:w="11906" w:h="16838"/>
          <w:pgMar w:top="2098" w:right="1474" w:bottom="1985" w:left="1588" w:header="851" w:footer="992" w:gutter="0"/>
          <w:pgNumType w:fmt="numberInDash"/>
          <w:cols w:space="720"/>
          <w:docGrid w:type="lines" w:linePitch="312"/>
        </w:sectPr>
      </w:pP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661"/>
        <w:gridCol w:w="825"/>
        <w:gridCol w:w="3410"/>
        <w:gridCol w:w="541"/>
        <w:gridCol w:w="844"/>
      </w:tblGrid>
      <w:tr w:rsidR="00FA3533">
        <w:trPr>
          <w:trHeight w:val="489"/>
        </w:trPr>
        <w:tc>
          <w:tcPr>
            <w:tcW w:w="9517" w:type="dxa"/>
            <w:gridSpan w:val="6"/>
            <w:tcBorders>
              <w:top w:val="nil"/>
              <w:left w:val="nil"/>
              <w:bottom w:val="nil"/>
              <w:right w:val="nil"/>
            </w:tcBorders>
            <w:noWrap/>
            <w:tcMar>
              <w:top w:w="15" w:type="dxa"/>
              <w:left w:w="15" w:type="dxa"/>
              <w:right w:w="15" w:type="dxa"/>
            </w:tcMar>
            <w:vAlign w:val="bottom"/>
          </w:tcPr>
          <w:p w:rsidR="00FA3533" w:rsidRDefault="00390FD9">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FA3533">
        <w:trPr>
          <w:trHeight w:val="205"/>
        </w:trPr>
        <w:tc>
          <w:tcPr>
            <w:tcW w:w="3236"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661"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825"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4795" w:type="dxa"/>
            <w:gridSpan w:val="3"/>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FA3533">
        <w:trPr>
          <w:trHeight w:val="421"/>
        </w:trPr>
        <w:tc>
          <w:tcPr>
            <w:tcW w:w="3236" w:type="dxa"/>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61"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825"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4795" w:type="dxa"/>
            <w:gridSpan w:val="3"/>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trPr>
          <w:trHeight w:val="284"/>
        </w:trPr>
        <w:tc>
          <w:tcPr>
            <w:tcW w:w="472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795"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FA3533">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5232.84</w:t>
            </w: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1057.6</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39.6</w:t>
            </w: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743.2</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48.73</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2200</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16</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684.63</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79.63</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193.77</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5272.44</w:t>
            </w: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5023.56</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widowControl/>
              <w:jc w:val="center"/>
              <w:textAlignment w:val="center"/>
              <w:rPr>
                <w:rFonts w:ascii="宋体" w:eastAsia="宋体" w:cs="宋体"/>
                <w:color w:val="000000"/>
                <w:sz w:val="22"/>
              </w:rPr>
            </w:pP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41.03</w:t>
            </w: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sz w:val="22"/>
              </w:rPr>
              <w:t>298.91</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FA3533">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6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5313.48</w:t>
            </w:r>
            <w:r>
              <w:rPr>
                <w:rFonts w:ascii="宋体" w:eastAsia="宋体" w:cs="宋体" w:hint="eastAsia"/>
                <w:color w:val="000000"/>
                <w:kern w:val="0"/>
                <w:sz w:val="22"/>
              </w:rPr>
              <w:t xml:space="preserve">　</w:t>
            </w:r>
          </w:p>
        </w:tc>
        <w:tc>
          <w:tcPr>
            <w:tcW w:w="3410"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5313.48</w:t>
            </w:r>
            <w:r>
              <w:rPr>
                <w:rFonts w:ascii="宋体" w:eastAsia="宋体" w:cs="宋体" w:hint="eastAsia"/>
                <w:color w:val="000000"/>
                <w:kern w:val="0"/>
                <w:sz w:val="22"/>
              </w:rPr>
              <w:t xml:space="preserve">　</w:t>
            </w:r>
          </w:p>
        </w:tc>
      </w:tr>
      <w:tr w:rsidR="00FA3533">
        <w:trPr>
          <w:trHeight w:val="213"/>
        </w:trPr>
        <w:tc>
          <w:tcPr>
            <w:tcW w:w="9517" w:type="dxa"/>
            <w:gridSpan w:val="6"/>
            <w:tcBorders>
              <w:top w:val="nil"/>
              <w:left w:val="nil"/>
              <w:bottom w:val="nil"/>
              <w:right w:val="nil"/>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FA3533" w:rsidRDefault="00FA3533">
            <w:pPr>
              <w:widowControl/>
              <w:jc w:val="left"/>
              <w:textAlignment w:val="center"/>
              <w:rPr>
                <w:rFonts w:ascii="宋体" w:eastAsia="宋体" w:cs="宋体"/>
                <w:color w:val="000000"/>
                <w:kern w:val="0"/>
                <w:sz w:val="22"/>
              </w:rPr>
            </w:pPr>
          </w:p>
          <w:p w:rsidR="00FA3533" w:rsidRDefault="00FA3533">
            <w:pPr>
              <w:widowControl/>
              <w:jc w:val="left"/>
              <w:textAlignment w:val="center"/>
              <w:rPr>
                <w:rFonts w:ascii="宋体" w:eastAsia="宋体" w:cs="宋体"/>
                <w:color w:val="000000"/>
                <w:kern w:val="0"/>
                <w:sz w:val="22"/>
              </w:rPr>
            </w:pPr>
          </w:p>
        </w:tc>
      </w:tr>
    </w:tbl>
    <w:tbl>
      <w:tblPr>
        <w:tblW w:w="9680" w:type="dxa"/>
        <w:jc w:val="center"/>
        <w:tblCellMar>
          <w:left w:w="0" w:type="dxa"/>
          <w:right w:w="0" w:type="dxa"/>
        </w:tblCellMar>
        <w:tblLook w:val="04A0"/>
      </w:tblPr>
      <w:tblGrid>
        <w:gridCol w:w="718"/>
        <w:gridCol w:w="41"/>
        <w:gridCol w:w="41"/>
        <w:gridCol w:w="4207"/>
        <w:gridCol w:w="1066"/>
        <w:gridCol w:w="1066"/>
        <w:gridCol w:w="487"/>
        <w:gridCol w:w="487"/>
        <w:gridCol w:w="487"/>
        <w:gridCol w:w="487"/>
        <w:gridCol w:w="612"/>
      </w:tblGrid>
      <w:tr w:rsidR="00FA3533">
        <w:trPr>
          <w:trHeight w:val="670"/>
          <w:jc w:val="center"/>
        </w:trPr>
        <w:tc>
          <w:tcPr>
            <w:tcW w:w="9680" w:type="dxa"/>
            <w:gridSpan w:val="11"/>
            <w:tcBorders>
              <w:top w:val="nil"/>
              <w:left w:val="nil"/>
              <w:bottom w:val="nil"/>
              <w:right w:val="nil"/>
            </w:tcBorders>
            <w:noWrap/>
            <w:tcMar>
              <w:top w:w="15" w:type="dxa"/>
              <w:left w:w="15" w:type="dxa"/>
              <w:right w:w="15" w:type="dxa"/>
            </w:tcMar>
            <w:vAlign w:val="bottom"/>
          </w:tcPr>
          <w:p w:rsidR="00FA3533" w:rsidRDefault="00FA3533">
            <w:pPr>
              <w:widowControl/>
              <w:jc w:val="center"/>
              <w:textAlignment w:val="bottom"/>
              <w:rPr>
                <w:rFonts w:ascii="黑体" w:eastAsia="黑体" w:cs="黑体"/>
                <w:color w:val="000000"/>
                <w:kern w:val="0"/>
                <w:sz w:val="32"/>
                <w:szCs w:val="32"/>
              </w:rPr>
            </w:pPr>
          </w:p>
          <w:p w:rsidR="00FA3533" w:rsidRDefault="00390FD9">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FA3533">
        <w:trPr>
          <w:trHeight w:val="357"/>
          <w:jc w:val="center"/>
        </w:trPr>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FA3533">
        <w:trPr>
          <w:trHeight w:val="357"/>
          <w:jc w:val="center"/>
        </w:trPr>
        <w:tc>
          <w:tcPr>
            <w:tcW w:w="0" w:type="auto"/>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0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00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6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6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6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6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FA3533">
        <w:trPr>
          <w:trHeight w:val="380"/>
          <w:jc w:val="center"/>
        </w:trPr>
        <w:tc>
          <w:tcPr>
            <w:tcW w:w="8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0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00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trPr>
          <w:trHeight w:val="624"/>
          <w:jc w:val="center"/>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FA353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tc>
        <w:tc>
          <w:tcPr>
            <w:tcW w:w="100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00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trPr>
          <w:trHeight w:val="624"/>
          <w:jc w:val="center"/>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FA353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tc>
        <w:tc>
          <w:tcPr>
            <w:tcW w:w="100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00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6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00"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00"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22"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22"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22"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22"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22"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FA3533">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b/>
                <w:color w:val="000000"/>
                <w:sz w:val="22"/>
              </w:rPr>
            </w:pPr>
            <w:r>
              <w:rPr>
                <w:rFonts w:ascii="宋体" w:eastAsia="宋体" w:cs="宋体"/>
                <w:b/>
                <w:color w:val="000000"/>
                <w:sz w:val="22"/>
              </w:rPr>
              <w:t>5272.44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b/>
                <w:color w:val="000000"/>
                <w:sz w:val="22"/>
              </w:rPr>
            </w:pPr>
            <w:r>
              <w:rPr>
                <w:rFonts w:ascii="宋体" w:eastAsia="宋体" w:cs="宋体"/>
                <w:b/>
                <w:color w:val="000000"/>
                <w:sz w:val="22"/>
              </w:rPr>
              <w:t>5232.84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b/>
                <w:color w:val="000000"/>
                <w:sz w:val="22"/>
              </w:rPr>
            </w:pPr>
            <w:r>
              <w:rPr>
                <w:rFonts w:ascii="宋体" w:eastAsia="宋体" w:cs="宋体"/>
                <w:b/>
                <w:color w:val="000000"/>
                <w:sz w:val="22"/>
              </w:rPr>
              <w:t>39.6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1,305.17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1,281.57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23.6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165.78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165.78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165.78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165.78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发展与改革事务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1,139.39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1,115.79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23.6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1,115.52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1,097.52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18</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日常经济运行调节</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2.40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2.40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其他发展与改革事务支出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21.47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15.87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5.6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754.33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754.33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归口管理的行政单位离退休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561.76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561.76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事业单位离退休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60.28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60.28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机关事业单位基本养老保险缴费支出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121.17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121.17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退役安置</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2080901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退役士兵安置</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40.81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40.81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节能环保支出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21103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污染防治</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2110301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大气</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其他节能环保支出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2119901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其他节能环保支出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lastRenderedPageBreak/>
              <w:t>212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16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21299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其他城乡社区支出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16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2129901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2129901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16</w:t>
            </w: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商业服务业等支出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677.83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677.83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商业流通事务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677.83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677.83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677.83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677.83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住房保障支出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住房改革支出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住房公积金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粮油物资储备支出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190.76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190.76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粮油事务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190.76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190.76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2220101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190.76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190.76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85"/>
          <w:jc w:val="center"/>
        </w:trPr>
        <w:tc>
          <w:tcPr>
            <w:tcW w:w="0" w:type="auto"/>
            <w:gridSpan w:val="11"/>
            <w:tcBorders>
              <w:top w:val="nil"/>
              <w:left w:val="nil"/>
              <w:bottom w:val="nil"/>
              <w:right w:val="nil"/>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FA3533" w:rsidRDefault="00FA3533">
      <w:pPr>
        <w:jc w:val="left"/>
        <w:rPr>
          <w:color w:val="000000"/>
        </w:rPr>
      </w:pPr>
    </w:p>
    <w:p w:rsidR="003A37AD" w:rsidRDefault="003A37AD">
      <w:pPr>
        <w:jc w:val="left"/>
        <w:rPr>
          <w:color w:val="000000"/>
        </w:rPr>
      </w:pPr>
    </w:p>
    <w:p w:rsidR="003A37AD" w:rsidRDefault="003A37AD">
      <w:pPr>
        <w:jc w:val="left"/>
        <w:rPr>
          <w:color w:val="000000"/>
        </w:rPr>
      </w:pPr>
    </w:p>
    <w:p w:rsidR="003A37AD" w:rsidRDefault="003A37AD">
      <w:pPr>
        <w:jc w:val="left"/>
        <w:rPr>
          <w:color w:val="000000"/>
        </w:rPr>
      </w:pPr>
    </w:p>
    <w:p w:rsidR="003A37AD" w:rsidRDefault="003A37AD">
      <w:pPr>
        <w:jc w:val="left"/>
        <w:rPr>
          <w:color w:val="000000"/>
        </w:rPr>
      </w:pPr>
    </w:p>
    <w:tbl>
      <w:tblPr>
        <w:tblW w:w="10000" w:type="dxa"/>
        <w:tblLayout w:type="fixed"/>
        <w:tblCellMar>
          <w:left w:w="0" w:type="dxa"/>
          <w:right w:w="0" w:type="dxa"/>
        </w:tblCellMar>
        <w:tblLook w:val="04A0"/>
      </w:tblPr>
      <w:tblGrid>
        <w:gridCol w:w="504"/>
        <w:gridCol w:w="392"/>
        <w:gridCol w:w="94"/>
        <w:gridCol w:w="277"/>
        <w:gridCol w:w="16"/>
        <w:gridCol w:w="1192"/>
        <w:gridCol w:w="253"/>
        <w:gridCol w:w="90"/>
        <w:gridCol w:w="135"/>
        <w:gridCol w:w="394"/>
        <w:gridCol w:w="264"/>
        <w:gridCol w:w="124"/>
        <w:gridCol w:w="418"/>
        <w:gridCol w:w="113"/>
        <w:gridCol w:w="252"/>
        <w:gridCol w:w="161"/>
        <w:gridCol w:w="196"/>
        <w:gridCol w:w="102"/>
        <w:gridCol w:w="888"/>
        <w:gridCol w:w="150"/>
        <w:gridCol w:w="68"/>
        <w:gridCol w:w="197"/>
        <w:gridCol w:w="353"/>
        <w:gridCol w:w="222"/>
        <w:gridCol w:w="100"/>
        <w:gridCol w:w="422"/>
        <w:gridCol w:w="85"/>
        <w:gridCol w:w="186"/>
        <w:gridCol w:w="92"/>
        <w:gridCol w:w="136"/>
        <w:gridCol w:w="376"/>
        <w:gridCol w:w="358"/>
        <w:gridCol w:w="121"/>
        <w:gridCol w:w="489"/>
        <w:gridCol w:w="48"/>
        <w:gridCol w:w="252"/>
        <w:gridCol w:w="480"/>
      </w:tblGrid>
      <w:tr w:rsidR="00FA3533" w:rsidTr="003A37AD">
        <w:trPr>
          <w:gridAfter w:val="5"/>
          <w:wAfter w:w="1390" w:type="dxa"/>
          <w:trHeight w:val="390"/>
        </w:trPr>
        <w:tc>
          <w:tcPr>
            <w:tcW w:w="8610" w:type="dxa"/>
            <w:gridSpan w:val="32"/>
            <w:tcBorders>
              <w:top w:val="nil"/>
              <w:left w:val="nil"/>
              <w:bottom w:val="nil"/>
              <w:right w:val="nil"/>
            </w:tcBorders>
            <w:noWrap/>
            <w:tcMar>
              <w:top w:w="15" w:type="dxa"/>
              <w:left w:w="15" w:type="dxa"/>
              <w:right w:w="15" w:type="dxa"/>
            </w:tcMar>
            <w:vAlign w:val="bottom"/>
          </w:tcPr>
          <w:p w:rsidR="003A37AD" w:rsidRDefault="00390FD9">
            <w:pPr>
              <w:jc w:val="center"/>
              <w:rPr>
                <w:color w:val="000000"/>
              </w:rPr>
            </w:pPr>
            <w:r>
              <w:rPr>
                <w:color w:val="000000"/>
              </w:rPr>
              <w:br w:type="page"/>
            </w: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FA3533" w:rsidRDefault="00390FD9">
            <w:pPr>
              <w:jc w:val="center"/>
              <w:rPr>
                <w:rFonts w:ascii="Arial" w:hAnsi="Arial"/>
                <w:b/>
                <w:color w:val="000000"/>
                <w:sz w:val="20"/>
                <w:szCs w:val="20"/>
              </w:rPr>
            </w:pPr>
            <w:r>
              <w:rPr>
                <w:rFonts w:ascii="宋体" w:eastAsia="宋体" w:cs="宋体" w:hint="eastAsia"/>
                <w:b/>
                <w:color w:val="000000"/>
                <w:kern w:val="0"/>
                <w:sz w:val="30"/>
                <w:szCs w:val="30"/>
              </w:rPr>
              <w:lastRenderedPageBreak/>
              <w:t>支出决算表</w:t>
            </w:r>
          </w:p>
        </w:tc>
      </w:tr>
      <w:tr w:rsidR="00FA3533" w:rsidTr="003A37AD">
        <w:trPr>
          <w:gridAfter w:val="5"/>
          <w:wAfter w:w="1390" w:type="dxa"/>
          <w:trHeight w:val="255"/>
        </w:trPr>
        <w:tc>
          <w:tcPr>
            <w:tcW w:w="8610" w:type="dxa"/>
            <w:gridSpan w:val="32"/>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lastRenderedPageBreak/>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FA3533" w:rsidTr="003A37AD">
        <w:trPr>
          <w:gridAfter w:val="5"/>
          <w:wAfter w:w="1390" w:type="dxa"/>
          <w:trHeight w:val="255"/>
        </w:trPr>
        <w:tc>
          <w:tcPr>
            <w:tcW w:w="8610" w:type="dxa"/>
            <w:gridSpan w:val="32"/>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部门：廊坊市广阳区发展和改革局</w:t>
            </w:r>
          </w:p>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rsidTr="003A37AD">
        <w:trPr>
          <w:gridAfter w:val="5"/>
          <w:wAfter w:w="1390" w:type="dxa"/>
          <w:trHeight w:val="308"/>
        </w:trPr>
        <w:tc>
          <w:tcPr>
            <w:tcW w:w="2475" w:type="dxa"/>
            <w:gridSpan w:val="6"/>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60" w:type="dxa"/>
            <w:gridSpan w:val="6"/>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40" w:type="dxa"/>
            <w:gridSpan w:val="5"/>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40" w:type="dxa"/>
            <w:gridSpan w:val="3"/>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840" w:type="dxa"/>
            <w:gridSpan w:val="4"/>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885" w:type="dxa"/>
            <w:gridSpan w:val="5"/>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870" w:type="dxa"/>
            <w:gridSpan w:val="3"/>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FA3533" w:rsidTr="003A37AD">
        <w:trPr>
          <w:gridAfter w:val="5"/>
          <w:wAfter w:w="1390" w:type="dxa"/>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485" w:type="dxa"/>
            <w:gridSpan w:val="3"/>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60" w:type="dxa"/>
            <w:gridSpan w:val="6"/>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140"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14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40"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85"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7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r>
      <w:tr w:rsidR="00FA3533" w:rsidTr="003A37AD">
        <w:trPr>
          <w:gridAfter w:val="5"/>
          <w:wAfter w:w="1390" w:type="dxa"/>
          <w:trHeight w:val="624"/>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485" w:type="dxa"/>
            <w:gridSpan w:val="3"/>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FA3533"/>
        </w:tc>
        <w:tc>
          <w:tcPr>
            <w:tcW w:w="1260" w:type="dxa"/>
            <w:gridSpan w:val="6"/>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140"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14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40"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85"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7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r>
      <w:tr w:rsidR="00FA3533" w:rsidTr="003A37AD">
        <w:trPr>
          <w:gridAfter w:val="5"/>
          <w:wAfter w:w="1390" w:type="dxa"/>
          <w:trHeight w:val="624"/>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485" w:type="dxa"/>
            <w:gridSpan w:val="3"/>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FA3533"/>
        </w:tc>
        <w:tc>
          <w:tcPr>
            <w:tcW w:w="1260" w:type="dxa"/>
            <w:gridSpan w:val="6"/>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140"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14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40"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85"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87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r>
      <w:tr w:rsidR="00FA3533" w:rsidTr="003A37AD">
        <w:trPr>
          <w:gridAfter w:val="5"/>
          <w:wAfter w:w="1390" w:type="dxa"/>
          <w:trHeight w:val="308"/>
        </w:trPr>
        <w:tc>
          <w:tcPr>
            <w:tcW w:w="2475" w:type="dxa"/>
            <w:gridSpan w:val="6"/>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60" w:type="dxa"/>
            <w:gridSpan w:val="6"/>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40"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40"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40"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85"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70"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FA3533" w:rsidTr="003A37AD">
        <w:trPr>
          <w:gridAfter w:val="5"/>
          <w:wAfter w:w="1390" w:type="dxa"/>
          <w:trHeight w:val="308"/>
        </w:trPr>
        <w:tc>
          <w:tcPr>
            <w:tcW w:w="2475" w:type="dxa"/>
            <w:gridSpan w:val="6"/>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b/>
                <w:color w:val="000000"/>
                <w:sz w:val="22"/>
              </w:rPr>
            </w:pPr>
            <w:r>
              <w:rPr>
                <w:rFonts w:ascii="宋体" w:eastAsia="宋体" w:cs="宋体"/>
                <w:b/>
                <w:color w:val="000000"/>
                <w:kern w:val="0"/>
                <w:sz w:val="22"/>
              </w:rPr>
              <w:t>5023.56</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b/>
                <w:color w:val="000000"/>
                <w:sz w:val="22"/>
              </w:rPr>
            </w:pPr>
            <w:r>
              <w:rPr>
                <w:rFonts w:ascii="宋体" w:eastAsia="宋体" w:cs="宋体"/>
                <w:b/>
                <w:color w:val="000000"/>
                <w:kern w:val="0"/>
                <w:sz w:val="22"/>
              </w:rPr>
              <w:t>2823.56</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b/>
                <w:color w:val="000000"/>
                <w:sz w:val="22"/>
              </w:rPr>
            </w:pPr>
            <w:r>
              <w:rPr>
                <w:rFonts w:ascii="宋体" w:eastAsia="宋体" w:cs="宋体"/>
                <w:b/>
                <w:color w:val="000000"/>
                <w:kern w:val="0"/>
                <w:sz w:val="22"/>
              </w:rPr>
              <w:t>2200.00</w:t>
            </w: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1,057.60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1,057.60</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发展与改革事务</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889.83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889.83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869.96</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869.96</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2010405</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日常经济运行调节</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2.40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2.40</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2010499</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其他发展与改革事务支出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17.47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17.47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社会保障和就业支出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行政事业单位离退休</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归口管理的行政单位离退休</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561.76</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561.76</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2080502</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事业单位离退休</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60.28</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60.28</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2080505</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机关事业单位基本养老保险缴费支出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121.17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121.17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行政事业单位医疗</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行政单位医疗</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40.81</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40.81</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lastRenderedPageBreak/>
              <w:t>2101102</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事业单位医疗</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7.92</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7.92</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节能环保支出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21103</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污染防治</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2110301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大气</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21199</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其他节能环保支出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2119901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其他节能环保支出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212</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21299</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其他城乡社区支出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2129901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2129901</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16.00</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商业服务业等支出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21602</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商业流通事务</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2160201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住房保障支出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22102</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住房改革支出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2210201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住房公积金</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粮油物资储备支出</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粮油事务</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99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2220101</w:t>
            </w:r>
          </w:p>
        </w:tc>
        <w:tc>
          <w:tcPr>
            <w:tcW w:w="148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26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14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1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4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8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7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gridAfter w:val="5"/>
          <w:wAfter w:w="1390" w:type="dxa"/>
          <w:trHeight w:val="308"/>
        </w:trPr>
        <w:tc>
          <w:tcPr>
            <w:tcW w:w="8610" w:type="dxa"/>
            <w:gridSpan w:val="32"/>
            <w:tcBorders>
              <w:top w:val="nil"/>
              <w:left w:val="nil"/>
              <w:bottom w:val="nil"/>
              <w:right w:val="nil"/>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r w:rsidR="00FA3533" w:rsidTr="003A37AD">
        <w:tblPrEx>
          <w:jc w:val="center"/>
        </w:tblPrEx>
        <w:trPr>
          <w:gridAfter w:val="1"/>
          <w:wAfter w:w="480" w:type="dxa"/>
          <w:trHeight w:val="406"/>
          <w:jc w:val="center"/>
        </w:trPr>
        <w:tc>
          <w:tcPr>
            <w:tcW w:w="9520" w:type="dxa"/>
            <w:gridSpan w:val="36"/>
            <w:tcBorders>
              <w:top w:val="nil"/>
              <w:left w:val="nil"/>
              <w:bottom w:val="nil"/>
              <w:right w:val="nil"/>
            </w:tcBorders>
            <w:noWrap/>
            <w:tcMar>
              <w:top w:w="15" w:type="dxa"/>
              <w:left w:w="15" w:type="dxa"/>
              <w:right w:w="15" w:type="dxa"/>
            </w:tcMar>
            <w:vAlign w:val="bottom"/>
          </w:tcPr>
          <w:p w:rsidR="003A37AD" w:rsidRDefault="00390FD9">
            <w:pPr>
              <w:jc w:val="center"/>
              <w:rPr>
                <w:color w:val="000000"/>
              </w:rPr>
            </w:pPr>
            <w:r>
              <w:rPr>
                <w:color w:val="000000"/>
              </w:rPr>
              <w:br w:type="page"/>
            </w: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FA3533" w:rsidRDefault="00390FD9">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FA3533" w:rsidTr="003A37AD">
        <w:tblPrEx>
          <w:jc w:val="center"/>
        </w:tblPrEx>
        <w:trPr>
          <w:gridAfter w:val="1"/>
          <w:wAfter w:w="480" w:type="dxa"/>
          <w:trHeight w:val="90"/>
          <w:jc w:val="center"/>
        </w:trPr>
        <w:tc>
          <w:tcPr>
            <w:tcW w:w="2818" w:type="dxa"/>
            <w:gridSpan w:val="8"/>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529" w:type="dxa"/>
            <w:gridSpan w:val="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806"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2802" w:type="dxa"/>
            <w:gridSpan w:val="1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507" w:type="dxa"/>
            <w:gridSpan w:val="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2058" w:type="dxa"/>
            <w:gridSpan w:val="9"/>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FA3533" w:rsidTr="003A37AD">
        <w:tblPrEx>
          <w:jc w:val="center"/>
        </w:tblPrEx>
        <w:trPr>
          <w:gridAfter w:val="1"/>
          <w:wAfter w:w="480" w:type="dxa"/>
          <w:trHeight w:val="90"/>
          <w:jc w:val="center"/>
        </w:trPr>
        <w:tc>
          <w:tcPr>
            <w:tcW w:w="2818" w:type="dxa"/>
            <w:gridSpan w:val="8"/>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29" w:type="dxa"/>
            <w:gridSpan w:val="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806"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2802" w:type="dxa"/>
            <w:gridSpan w:val="1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507" w:type="dxa"/>
            <w:gridSpan w:val="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2058" w:type="dxa"/>
            <w:gridSpan w:val="9"/>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rsidTr="003A37AD">
        <w:tblPrEx>
          <w:jc w:val="center"/>
        </w:tblPrEx>
        <w:trPr>
          <w:gridAfter w:val="1"/>
          <w:wAfter w:w="480" w:type="dxa"/>
          <w:trHeight w:val="90"/>
          <w:jc w:val="center"/>
        </w:trPr>
        <w:tc>
          <w:tcPr>
            <w:tcW w:w="4153" w:type="dxa"/>
            <w:gridSpan w:val="1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367" w:type="dxa"/>
            <w:gridSpan w:val="2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FA3533" w:rsidTr="003A37AD">
        <w:tblPrEx>
          <w:jc w:val="center"/>
        </w:tblPrEx>
        <w:trPr>
          <w:gridAfter w:val="1"/>
          <w:wAfter w:w="480" w:type="dxa"/>
          <w:trHeight w:val="312"/>
          <w:jc w:val="center"/>
        </w:trPr>
        <w:tc>
          <w:tcPr>
            <w:tcW w:w="2818" w:type="dxa"/>
            <w:gridSpan w:val="8"/>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06"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802" w:type="dxa"/>
            <w:gridSpan w:val="12"/>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14"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FA3533" w:rsidTr="003A37AD">
        <w:tblPrEx>
          <w:jc w:val="center"/>
        </w:tblPrEx>
        <w:trPr>
          <w:gridAfter w:val="1"/>
          <w:wAfter w:w="480" w:type="dxa"/>
          <w:trHeight w:val="624"/>
          <w:jc w:val="center"/>
        </w:trPr>
        <w:tc>
          <w:tcPr>
            <w:tcW w:w="2818" w:type="dxa"/>
            <w:gridSpan w:val="8"/>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FA3533"/>
        </w:tc>
        <w:tc>
          <w:tcPr>
            <w:tcW w:w="52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806"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2802" w:type="dxa"/>
            <w:gridSpan w:val="12"/>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50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414"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tc>
        <w:tc>
          <w:tcPr>
            <w:tcW w:w="855"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789"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center"/>
              <w:rPr>
                <w:rFonts w:ascii="宋体" w:eastAsia="宋体" w:cs="宋体"/>
                <w:color w:val="000000"/>
                <w:sz w:val="22"/>
              </w:rPr>
            </w:pP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center"/>
              <w:rPr>
                <w:rFonts w:ascii="宋体" w:eastAsia="宋体" w:cs="宋体"/>
                <w:color w:val="000000"/>
                <w:sz w:val="22"/>
              </w:rPr>
            </w:pP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5232.84</w:t>
            </w: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1041.00</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1041.00</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743.20</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743.20</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5232.84</w:t>
            </w: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4990.96</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4990.96</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41.03</w:t>
            </w: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282.91</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282.91</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41.03</w:t>
            </w: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2818" w:type="dxa"/>
            <w:gridSpan w:val="8"/>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0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5273.88</w:t>
            </w:r>
          </w:p>
        </w:tc>
        <w:tc>
          <w:tcPr>
            <w:tcW w:w="2802" w:type="dxa"/>
            <w:gridSpan w:val="1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41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5273.88</w:t>
            </w:r>
          </w:p>
        </w:tc>
        <w:tc>
          <w:tcPr>
            <w:tcW w:w="8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5273.88</w:t>
            </w:r>
          </w:p>
        </w:tc>
        <w:tc>
          <w:tcPr>
            <w:tcW w:w="78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blPrEx>
          <w:jc w:val="center"/>
        </w:tblPrEx>
        <w:trPr>
          <w:gridAfter w:val="1"/>
          <w:wAfter w:w="480" w:type="dxa"/>
          <w:trHeight w:val="90"/>
          <w:jc w:val="center"/>
        </w:trPr>
        <w:tc>
          <w:tcPr>
            <w:tcW w:w="9520" w:type="dxa"/>
            <w:gridSpan w:val="36"/>
            <w:tcBorders>
              <w:top w:val="nil"/>
              <w:left w:val="nil"/>
              <w:bottom w:val="nil"/>
              <w:right w:val="nil"/>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rsidR="00FA3533" w:rsidTr="003A37AD">
        <w:tblPrEx>
          <w:jc w:val="center"/>
        </w:tblPrEx>
        <w:trPr>
          <w:gridAfter w:val="1"/>
          <w:wAfter w:w="480" w:type="dxa"/>
          <w:trHeight w:val="90"/>
          <w:jc w:val="center"/>
        </w:trPr>
        <w:tc>
          <w:tcPr>
            <w:tcW w:w="9520" w:type="dxa"/>
            <w:gridSpan w:val="36"/>
            <w:tcBorders>
              <w:top w:val="nil"/>
              <w:left w:val="nil"/>
              <w:bottom w:val="nil"/>
              <w:right w:val="nil"/>
            </w:tcBorders>
            <w:noWrap/>
            <w:tcMar>
              <w:top w:w="15" w:type="dxa"/>
              <w:left w:w="15" w:type="dxa"/>
              <w:right w:w="15" w:type="dxa"/>
            </w:tcMar>
            <w:vAlign w:val="center"/>
          </w:tcPr>
          <w:p w:rsidR="00FA3533" w:rsidRDefault="00FA3533">
            <w:pPr>
              <w:widowControl/>
              <w:jc w:val="left"/>
              <w:textAlignment w:val="center"/>
              <w:rPr>
                <w:rFonts w:ascii="宋体" w:eastAsia="宋体" w:cs="宋体"/>
                <w:color w:val="000000"/>
                <w:kern w:val="0"/>
                <w:sz w:val="22"/>
              </w:rPr>
            </w:pPr>
          </w:p>
        </w:tc>
      </w:tr>
      <w:tr w:rsidR="00FA3533" w:rsidTr="003A37AD">
        <w:trPr>
          <w:trHeight w:val="390"/>
        </w:trPr>
        <w:tc>
          <w:tcPr>
            <w:tcW w:w="10000" w:type="dxa"/>
            <w:gridSpan w:val="37"/>
            <w:tcBorders>
              <w:top w:val="nil"/>
              <w:left w:val="nil"/>
              <w:bottom w:val="nil"/>
              <w:right w:val="nil"/>
            </w:tcBorders>
            <w:noWrap/>
            <w:tcMar>
              <w:top w:w="15" w:type="dxa"/>
              <w:left w:w="15" w:type="dxa"/>
              <w:right w:w="15" w:type="dxa"/>
            </w:tcMar>
            <w:vAlign w:val="bottom"/>
          </w:tcPr>
          <w:p w:rsidR="003A37AD" w:rsidRDefault="00390FD9">
            <w:pPr>
              <w:jc w:val="center"/>
              <w:rPr>
                <w:color w:val="000000"/>
              </w:rPr>
            </w:pPr>
            <w:r>
              <w:rPr>
                <w:color w:val="000000"/>
              </w:rPr>
              <w:br w:type="page"/>
            </w: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3A37AD" w:rsidRDefault="003A37AD">
            <w:pPr>
              <w:jc w:val="center"/>
              <w:rPr>
                <w:color w:val="000000"/>
              </w:rPr>
            </w:pPr>
          </w:p>
          <w:p w:rsidR="00FA3533" w:rsidRDefault="00390FD9">
            <w:pPr>
              <w:jc w:val="center"/>
              <w:rPr>
                <w:rFonts w:ascii="Arial" w:hAnsi="Arial"/>
                <w:color w:val="000000"/>
                <w:sz w:val="20"/>
                <w:szCs w:val="20"/>
              </w:rPr>
            </w:pPr>
            <w:r>
              <w:rPr>
                <w:rFonts w:ascii="宋体" w:eastAsia="宋体" w:cs="宋体" w:hint="eastAsia"/>
                <w:color w:val="000000"/>
                <w:kern w:val="0"/>
                <w:sz w:val="30"/>
                <w:szCs w:val="30"/>
              </w:rPr>
              <w:lastRenderedPageBreak/>
              <w:t>一般公共预算财政拨款支出决算表</w:t>
            </w:r>
          </w:p>
        </w:tc>
      </w:tr>
      <w:tr w:rsidR="00FA3533" w:rsidTr="003A37AD">
        <w:trPr>
          <w:trHeight w:val="255"/>
        </w:trPr>
        <w:tc>
          <w:tcPr>
            <w:tcW w:w="504"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392" w:type="dxa"/>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387"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3396" w:type="dxa"/>
            <w:gridSpan w:val="11"/>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601" w:type="dxa"/>
            <w:gridSpan w:val="6"/>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972" w:type="dxa"/>
            <w:gridSpan w:val="9"/>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748" w:type="dxa"/>
            <w:gridSpan w:val="6"/>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FA3533" w:rsidTr="003A37AD">
        <w:trPr>
          <w:trHeight w:val="255"/>
        </w:trPr>
        <w:tc>
          <w:tcPr>
            <w:tcW w:w="10000" w:type="dxa"/>
            <w:gridSpan w:val="37"/>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部门：廊坊市广阳区发展和改革局</w:t>
            </w:r>
          </w:p>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rsidTr="003A37AD">
        <w:trPr>
          <w:trHeight w:val="308"/>
        </w:trPr>
        <w:tc>
          <w:tcPr>
            <w:tcW w:w="4977" w:type="dxa"/>
            <w:gridSpan w:val="18"/>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23" w:type="dxa"/>
            <w:gridSpan w:val="19"/>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FA3533" w:rsidTr="003A37AD">
        <w:trPr>
          <w:trHeight w:val="312"/>
        </w:trPr>
        <w:tc>
          <w:tcPr>
            <w:tcW w:w="1283" w:type="dxa"/>
            <w:gridSpan w:val="5"/>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694" w:type="dxa"/>
            <w:gridSpan w:val="13"/>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303" w:type="dxa"/>
            <w:gridSpan w:val="4"/>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972" w:type="dxa"/>
            <w:gridSpan w:val="9"/>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748" w:type="dxa"/>
            <w:gridSpan w:val="6"/>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FA3533" w:rsidTr="003A37AD">
        <w:trPr>
          <w:trHeight w:val="624"/>
        </w:trPr>
        <w:tc>
          <w:tcPr>
            <w:tcW w:w="1283" w:type="dxa"/>
            <w:gridSpan w:val="5"/>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3694" w:type="dxa"/>
            <w:gridSpan w:val="13"/>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FA3533"/>
        </w:tc>
        <w:tc>
          <w:tcPr>
            <w:tcW w:w="1303" w:type="dxa"/>
            <w:gridSpan w:val="4"/>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972" w:type="dxa"/>
            <w:gridSpan w:val="9"/>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748" w:type="dxa"/>
            <w:gridSpan w:val="6"/>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r>
      <w:tr w:rsidR="00FA3533" w:rsidTr="003A37AD">
        <w:trPr>
          <w:trHeight w:val="624"/>
        </w:trPr>
        <w:tc>
          <w:tcPr>
            <w:tcW w:w="1283" w:type="dxa"/>
            <w:gridSpan w:val="5"/>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3694" w:type="dxa"/>
            <w:gridSpan w:val="13"/>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FA3533"/>
        </w:tc>
        <w:tc>
          <w:tcPr>
            <w:tcW w:w="1303" w:type="dxa"/>
            <w:gridSpan w:val="4"/>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972" w:type="dxa"/>
            <w:gridSpan w:val="9"/>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c>
          <w:tcPr>
            <w:tcW w:w="1748" w:type="dxa"/>
            <w:gridSpan w:val="6"/>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A3533" w:rsidRDefault="00FA3533"/>
        </w:tc>
      </w:tr>
      <w:tr w:rsidR="00FA3533" w:rsidTr="003A37AD">
        <w:trPr>
          <w:trHeight w:val="308"/>
        </w:trPr>
        <w:tc>
          <w:tcPr>
            <w:tcW w:w="4977" w:type="dxa"/>
            <w:gridSpan w:val="18"/>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303"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972"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748" w:type="dxa"/>
            <w:gridSpan w:val="6"/>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FA3533" w:rsidTr="003A37AD">
        <w:trPr>
          <w:trHeight w:val="308"/>
        </w:trPr>
        <w:tc>
          <w:tcPr>
            <w:tcW w:w="4977" w:type="dxa"/>
            <w:gridSpan w:val="18"/>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b/>
                <w:color w:val="000000"/>
                <w:sz w:val="22"/>
              </w:rPr>
            </w:pPr>
            <w:r>
              <w:rPr>
                <w:rFonts w:ascii="宋体" w:eastAsia="宋体" w:cs="宋体"/>
                <w:b/>
                <w:color w:val="000000"/>
                <w:kern w:val="0"/>
                <w:sz w:val="22"/>
              </w:rPr>
              <w:t>4990.96</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b/>
                <w:color w:val="000000"/>
                <w:sz w:val="22"/>
              </w:rPr>
            </w:pPr>
            <w:r>
              <w:rPr>
                <w:rFonts w:ascii="宋体" w:eastAsia="宋体" w:cs="宋体"/>
                <w:b/>
                <w:color w:val="000000"/>
                <w:kern w:val="0"/>
                <w:sz w:val="22"/>
              </w:rPr>
              <w:t>2790.96</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b/>
                <w:color w:val="000000"/>
                <w:sz w:val="22"/>
              </w:rPr>
            </w:pPr>
            <w:r>
              <w:rPr>
                <w:rFonts w:ascii="宋体" w:eastAsia="宋体" w:cs="宋体"/>
                <w:b/>
                <w:color w:val="000000"/>
                <w:kern w:val="0"/>
                <w:sz w:val="22"/>
              </w:rPr>
              <w:t>2,200.00</w:t>
            </w: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1041.00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1041.00</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167.77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发展与改革事务</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873.23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873.23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854.96</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854.96</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2010405</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日常经济运行调节</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2.40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2.40</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2010499</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其他发展与改革事务支出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15.87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15.87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社会保障和就业支出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行政事业单位离退休</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743.21</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归口管理的行政单位离退休</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561.76</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561.76</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2080502</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事业单位离退休</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60.28</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60.28</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2080505</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机关事业单位基本养老保险缴费支出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121.17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121.17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行政事业单位医疗</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48.73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行政单位医疗</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40.81</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40.81</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2101102</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事业单位医疗</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7.92</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7.92</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节能环保支出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2200.00</w:t>
            </w: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21103</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污染防治</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2110301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大气</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2000.00</w:t>
            </w: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21199</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其他节能环保支出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2119901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其他节能环保支出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200.00</w:t>
            </w: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商业服务业等支出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21602</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商业流通事务</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2160201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684.63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住房保障支出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22102</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住房改革支出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2210201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住房公积金</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79.63</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粮油物资储备支出</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22201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hint="eastAsia"/>
                <w:color w:val="000000"/>
                <w:kern w:val="0"/>
                <w:sz w:val="22"/>
              </w:rPr>
              <w:t>粮油事务</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08"/>
        </w:trPr>
        <w:tc>
          <w:tcPr>
            <w:tcW w:w="128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lastRenderedPageBreak/>
              <w:t>2220101</w:t>
            </w:r>
          </w:p>
        </w:tc>
        <w:tc>
          <w:tcPr>
            <w:tcW w:w="3694"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30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972"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193.77</w:t>
            </w:r>
          </w:p>
        </w:tc>
        <w:tc>
          <w:tcPr>
            <w:tcW w:w="174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662"/>
        </w:trPr>
        <w:tc>
          <w:tcPr>
            <w:tcW w:w="10000" w:type="dxa"/>
            <w:gridSpan w:val="37"/>
            <w:tcBorders>
              <w:top w:val="nil"/>
              <w:left w:val="nil"/>
              <w:bottom w:val="nil"/>
              <w:right w:val="nil"/>
            </w:tcBorders>
            <w:tcMar>
              <w:top w:w="15" w:type="dxa"/>
              <w:left w:w="15" w:type="dxa"/>
              <w:right w:w="15" w:type="dxa"/>
            </w:tcMar>
            <w:vAlign w:val="center"/>
          </w:tcPr>
          <w:p w:rsidR="00FA3533" w:rsidRDefault="00390FD9">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一般公共预算财政拨款基本支出决算表</w:t>
            </w:r>
          </w:p>
        </w:tc>
      </w:tr>
      <w:tr w:rsidR="00FA3533" w:rsidTr="003A37AD">
        <w:trPr>
          <w:trHeight w:val="339"/>
        </w:trPr>
        <w:tc>
          <w:tcPr>
            <w:tcW w:w="896" w:type="dxa"/>
            <w:gridSpan w:val="2"/>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832" w:type="dxa"/>
            <w:gridSpan w:val="5"/>
            <w:tcBorders>
              <w:top w:val="nil"/>
              <w:left w:val="nil"/>
              <w:bottom w:val="nil"/>
              <w:right w:val="nil"/>
            </w:tcBorders>
            <w:tcMar>
              <w:top w:w="15" w:type="dxa"/>
              <w:left w:w="15" w:type="dxa"/>
              <w:right w:w="15" w:type="dxa"/>
            </w:tcMar>
            <w:vAlign w:val="bottom"/>
          </w:tcPr>
          <w:p w:rsidR="00FA3533" w:rsidRDefault="00FA3533">
            <w:pPr>
              <w:rPr>
                <w:rFonts w:ascii="Arial" w:hAnsi="Arial"/>
                <w:color w:val="000000"/>
                <w:sz w:val="20"/>
                <w:szCs w:val="20"/>
              </w:rPr>
            </w:pPr>
          </w:p>
        </w:tc>
        <w:tc>
          <w:tcPr>
            <w:tcW w:w="883" w:type="dxa"/>
            <w:gridSpan w:val="4"/>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655"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99" w:type="dxa"/>
            <w:gridSpan w:val="5"/>
            <w:tcBorders>
              <w:top w:val="nil"/>
              <w:left w:val="nil"/>
              <w:bottom w:val="nil"/>
              <w:right w:val="nil"/>
            </w:tcBorders>
            <w:tcMar>
              <w:top w:w="15" w:type="dxa"/>
              <w:left w:w="15" w:type="dxa"/>
              <w:right w:w="15" w:type="dxa"/>
            </w:tcMar>
            <w:vAlign w:val="bottom"/>
          </w:tcPr>
          <w:p w:rsidR="00FA3533" w:rsidRDefault="00FA3533">
            <w:pPr>
              <w:rPr>
                <w:rFonts w:ascii="Arial" w:hAnsi="Arial"/>
                <w:color w:val="000000"/>
                <w:sz w:val="20"/>
                <w:szCs w:val="20"/>
              </w:rPr>
            </w:pPr>
          </w:p>
        </w:tc>
        <w:tc>
          <w:tcPr>
            <w:tcW w:w="768" w:type="dxa"/>
            <w:gridSpan w:val="4"/>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744"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2623" w:type="dxa"/>
            <w:gridSpan w:val="11"/>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FA3533" w:rsidTr="003A37AD">
        <w:trPr>
          <w:trHeight w:val="339"/>
        </w:trPr>
        <w:tc>
          <w:tcPr>
            <w:tcW w:w="896" w:type="dxa"/>
            <w:gridSpan w:val="2"/>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832" w:type="dxa"/>
            <w:gridSpan w:val="5"/>
            <w:tcBorders>
              <w:top w:val="nil"/>
              <w:left w:val="nil"/>
              <w:bottom w:val="nil"/>
              <w:right w:val="nil"/>
            </w:tcBorders>
            <w:tcMar>
              <w:top w:w="15" w:type="dxa"/>
              <w:left w:w="15" w:type="dxa"/>
              <w:right w:w="15" w:type="dxa"/>
            </w:tcMar>
            <w:vAlign w:val="bottom"/>
          </w:tcPr>
          <w:p w:rsidR="00FA3533" w:rsidRDefault="00FA3533">
            <w:pPr>
              <w:rPr>
                <w:rFonts w:ascii="Arial" w:hAnsi="Arial"/>
                <w:color w:val="000000"/>
                <w:sz w:val="20"/>
                <w:szCs w:val="20"/>
              </w:rPr>
            </w:pPr>
          </w:p>
        </w:tc>
        <w:tc>
          <w:tcPr>
            <w:tcW w:w="883" w:type="dxa"/>
            <w:gridSpan w:val="4"/>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655"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99" w:type="dxa"/>
            <w:gridSpan w:val="5"/>
            <w:tcBorders>
              <w:top w:val="nil"/>
              <w:left w:val="nil"/>
              <w:bottom w:val="nil"/>
              <w:right w:val="nil"/>
            </w:tcBorders>
            <w:tcMar>
              <w:top w:w="15" w:type="dxa"/>
              <w:left w:w="15" w:type="dxa"/>
              <w:right w:w="15" w:type="dxa"/>
            </w:tcMar>
            <w:vAlign w:val="bottom"/>
          </w:tcPr>
          <w:p w:rsidR="00FA3533" w:rsidRDefault="00FA3533">
            <w:pPr>
              <w:rPr>
                <w:rFonts w:ascii="Arial" w:hAnsi="Arial"/>
                <w:color w:val="000000"/>
                <w:sz w:val="20"/>
                <w:szCs w:val="20"/>
              </w:rPr>
            </w:pPr>
          </w:p>
        </w:tc>
        <w:tc>
          <w:tcPr>
            <w:tcW w:w="768" w:type="dxa"/>
            <w:gridSpan w:val="4"/>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744" w:type="dxa"/>
            <w:gridSpan w:val="3"/>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2623" w:type="dxa"/>
            <w:gridSpan w:val="11"/>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FA3533" w:rsidTr="003A37AD">
        <w:trPr>
          <w:trHeight w:val="362"/>
        </w:trPr>
        <w:tc>
          <w:tcPr>
            <w:tcW w:w="3611" w:type="dxa"/>
            <w:gridSpan w:val="11"/>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2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FA3533" w:rsidTr="003A37AD">
        <w:trPr>
          <w:trHeight w:val="362"/>
        </w:trPr>
        <w:tc>
          <w:tcPr>
            <w:tcW w:w="896"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32"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83"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9"/>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FA3533" w:rsidTr="003A37AD">
        <w:trPr>
          <w:trHeight w:val="624"/>
        </w:trPr>
        <w:tc>
          <w:tcPr>
            <w:tcW w:w="896"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FA3533"/>
        </w:tc>
        <w:tc>
          <w:tcPr>
            <w:tcW w:w="1832"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883"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655"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599"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768"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744"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891" w:type="dxa"/>
            <w:gridSpan w:val="9"/>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732"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1727.35</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121.48</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389.81</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9.08</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627.29</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14.50</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238.81</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1.50</w:t>
            </w: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0.00</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55.45</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0.55</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1.50</w:t>
            </w: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165.46</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2.12</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1.43</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2.75</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63.72</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1.54</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90.08</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3.98</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7.42</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91.33</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0.30</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2.68</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940.64</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0.60</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41.10</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771.96</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0.13</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117.12</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9.43</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0.53</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26.35</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2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0.60</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0.49</w:t>
            </w: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6.93</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44.70</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482"/>
        </w:trPr>
        <w:tc>
          <w:tcPr>
            <w:tcW w:w="89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1832"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65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right"/>
              <w:textAlignment w:val="center"/>
              <w:rPr>
                <w:rFonts w:ascii="宋体" w:eastAsia="宋体" w:cs="宋体"/>
                <w:color w:val="000000"/>
                <w:sz w:val="22"/>
              </w:rPr>
            </w:pPr>
            <w:r>
              <w:rPr>
                <w:rFonts w:ascii="宋体" w:eastAsia="宋体" w:cs="宋体"/>
                <w:color w:val="000000"/>
                <w:kern w:val="0"/>
                <w:sz w:val="22"/>
              </w:rPr>
              <w:t>1.22</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1891" w:type="dxa"/>
            <w:gridSpan w:val="9"/>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spacing w:line="220" w:lineRule="exact"/>
              <w:jc w:val="left"/>
              <w:rPr>
                <w:rFonts w:ascii="宋体" w:eastAsia="宋体" w:cs="宋体"/>
                <w:color w:val="000000"/>
                <w:sz w:val="20"/>
                <w:szCs w:val="20"/>
              </w:rPr>
            </w:pP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rsidTr="003A37AD">
        <w:trPr>
          <w:trHeight w:val="317"/>
        </w:trPr>
        <w:tc>
          <w:tcPr>
            <w:tcW w:w="2728"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8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spacing w:line="220" w:lineRule="exact"/>
              <w:jc w:val="right"/>
              <w:rPr>
                <w:rFonts w:ascii="宋体" w:eastAsia="宋体" w:cs="宋体"/>
                <w:color w:val="000000"/>
                <w:sz w:val="20"/>
                <w:szCs w:val="20"/>
              </w:rPr>
            </w:pPr>
            <w:r>
              <w:rPr>
                <w:rFonts w:ascii="宋体" w:eastAsia="宋体" w:cs="宋体"/>
                <w:color w:val="000000"/>
                <w:sz w:val="20"/>
                <w:szCs w:val="20"/>
              </w:rPr>
              <w:t>2667.99</w:t>
            </w:r>
          </w:p>
        </w:tc>
        <w:tc>
          <w:tcPr>
            <w:tcW w:w="5657" w:type="dxa"/>
            <w:gridSpan w:val="24"/>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spacing w:line="180" w:lineRule="exact"/>
              <w:jc w:val="right"/>
              <w:rPr>
                <w:rFonts w:ascii="宋体" w:eastAsia="宋体" w:cs="宋体"/>
                <w:color w:val="000000"/>
                <w:sz w:val="20"/>
                <w:szCs w:val="20"/>
              </w:rPr>
            </w:pPr>
            <w:r>
              <w:rPr>
                <w:rFonts w:ascii="宋体" w:eastAsia="宋体" w:cs="宋体"/>
                <w:color w:val="000000"/>
                <w:sz w:val="20"/>
                <w:szCs w:val="20"/>
              </w:rPr>
              <w:t>122.98</w:t>
            </w:r>
          </w:p>
        </w:tc>
      </w:tr>
      <w:tr w:rsidR="00FA3533" w:rsidTr="003A37AD">
        <w:trPr>
          <w:gridAfter w:val="3"/>
          <w:wAfter w:w="780" w:type="dxa"/>
          <w:trHeight w:val="638"/>
        </w:trPr>
        <w:tc>
          <w:tcPr>
            <w:tcW w:w="9220" w:type="dxa"/>
            <w:gridSpan w:val="34"/>
            <w:tcBorders>
              <w:top w:val="nil"/>
              <w:left w:val="nil"/>
              <w:bottom w:val="nil"/>
              <w:right w:val="nil"/>
            </w:tcBorders>
            <w:noWrap/>
            <w:tcMar>
              <w:top w:w="15" w:type="dxa"/>
              <w:left w:w="15" w:type="dxa"/>
              <w:right w:w="15" w:type="dxa"/>
            </w:tcMar>
            <w:vAlign w:val="center"/>
          </w:tcPr>
          <w:p w:rsidR="00FA3533" w:rsidRDefault="00390FD9">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rsidR="00FA3533" w:rsidTr="003A37AD">
        <w:trPr>
          <w:gridAfter w:val="3"/>
          <w:wAfter w:w="780" w:type="dxa"/>
          <w:trHeight w:val="360"/>
        </w:trPr>
        <w:tc>
          <w:tcPr>
            <w:tcW w:w="1267" w:type="dxa"/>
            <w:gridSpan w:val="4"/>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686" w:type="dxa"/>
            <w:gridSpan w:val="5"/>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65" w:type="dxa"/>
            <w:gridSpan w:val="6"/>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65" w:type="dxa"/>
            <w:gridSpan w:val="6"/>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65" w:type="dxa"/>
            <w:gridSpan w:val="7"/>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72" w:type="dxa"/>
            <w:gridSpan w:val="6"/>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FA3533" w:rsidTr="003A37AD">
        <w:trPr>
          <w:gridAfter w:val="3"/>
          <w:wAfter w:w="780" w:type="dxa"/>
          <w:trHeight w:val="360"/>
        </w:trPr>
        <w:tc>
          <w:tcPr>
            <w:tcW w:w="1267" w:type="dxa"/>
            <w:gridSpan w:val="4"/>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5"/>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65" w:type="dxa"/>
            <w:gridSpan w:val="6"/>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65" w:type="dxa"/>
            <w:gridSpan w:val="6"/>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65" w:type="dxa"/>
            <w:gridSpan w:val="7"/>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1572" w:type="dxa"/>
            <w:gridSpan w:val="6"/>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rsidTr="003A37AD">
        <w:trPr>
          <w:gridAfter w:val="3"/>
          <w:wAfter w:w="780" w:type="dxa"/>
          <w:trHeight w:val="417"/>
        </w:trPr>
        <w:tc>
          <w:tcPr>
            <w:tcW w:w="9220" w:type="dxa"/>
            <w:gridSpan w:val="3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FA3533" w:rsidTr="003A37AD">
        <w:trPr>
          <w:gridAfter w:val="3"/>
          <w:wAfter w:w="780" w:type="dxa"/>
          <w:trHeight w:val="417"/>
        </w:trPr>
        <w:tc>
          <w:tcPr>
            <w:tcW w:w="1267" w:type="dxa"/>
            <w:gridSpan w:val="4"/>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5"/>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9"/>
            <w:tcBorders>
              <w:top w:val="single" w:sz="4" w:space="0" w:color="auto"/>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6"/>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FA3533" w:rsidTr="003A37AD">
        <w:trPr>
          <w:gridAfter w:val="3"/>
          <w:wAfter w:w="780" w:type="dxa"/>
          <w:trHeight w:val="417"/>
        </w:trPr>
        <w:tc>
          <w:tcPr>
            <w:tcW w:w="1267" w:type="dxa"/>
            <w:gridSpan w:val="4"/>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FA3533" w:rsidRDefault="00FA3533"/>
        </w:tc>
        <w:tc>
          <w:tcPr>
            <w:tcW w:w="1686"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7"/>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6"/>
            <w:vMerge/>
            <w:tcBorders>
              <w:top w:val="nil"/>
              <w:left w:val="nil"/>
              <w:bottom w:val="single" w:sz="4" w:space="0" w:color="000000"/>
              <w:right w:val="single" w:sz="4" w:space="0" w:color="auto"/>
            </w:tcBorders>
            <w:tcMar>
              <w:top w:w="15" w:type="dxa"/>
              <w:left w:w="15" w:type="dxa"/>
              <w:right w:w="15" w:type="dxa"/>
            </w:tcMar>
            <w:vAlign w:val="center"/>
          </w:tcPr>
          <w:p w:rsidR="00FA3533" w:rsidRDefault="00FA3533"/>
        </w:tc>
      </w:tr>
      <w:tr w:rsidR="00FA3533" w:rsidTr="003A37AD">
        <w:trPr>
          <w:gridAfter w:val="3"/>
          <w:wAfter w:w="780" w:type="dxa"/>
          <w:trHeight w:val="417"/>
        </w:trPr>
        <w:tc>
          <w:tcPr>
            <w:tcW w:w="1267" w:type="dxa"/>
            <w:gridSpan w:val="4"/>
            <w:tcBorders>
              <w:top w:val="nil"/>
              <w:left w:val="single" w:sz="4" w:space="0" w:color="auto"/>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7"/>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gridSpan w:val="6"/>
            <w:tcBorders>
              <w:top w:val="nil"/>
              <w:left w:val="nil"/>
              <w:bottom w:val="single" w:sz="4" w:space="0" w:color="000000"/>
              <w:right w:val="single" w:sz="4" w:space="0" w:color="auto"/>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FA3533" w:rsidTr="003A37AD">
        <w:trPr>
          <w:gridAfter w:val="3"/>
          <w:wAfter w:w="780" w:type="dxa"/>
          <w:trHeight w:val="417"/>
        </w:trPr>
        <w:tc>
          <w:tcPr>
            <w:tcW w:w="1267" w:type="dxa"/>
            <w:gridSpan w:val="4"/>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7.35</w:t>
            </w:r>
          </w:p>
        </w:tc>
        <w:tc>
          <w:tcPr>
            <w:tcW w:w="168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0.3</w:t>
            </w:r>
          </w:p>
        </w:tc>
        <w:tc>
          <w:tcPr>
            <w:tcW w:w="1565"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6.93</w:t>
            </w:r>
          </w:p>
        </w:tc>
        <w:tc>
          <w:tcPr>
            <w:tcW w:w="1565"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565"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6.93</w:t>
            </w:r>
          </w:p>
        </w:tc>
        <w:tc>
          <w:tcPr>
            <w:tcW w:w="1572" w:type="dxa"/>
            <w:gridSpan w:val="6"/>
            <w:tcBorders>
              <w:top w:val="nil"/>
              <w:left w:val="nil"/>
              <w:bottom w:val="single" w:sz="4" w:space="0" w:color="000000"/>
              <w:right w:val="single" w:sz="4" w:space="0" w:color="auto"/>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0.13</w:t>
            </w:r>
          </w:p>
        </w:tc>
      </w:tr>
      <w:tr w:rsidR="00FA3533" w:rsidTr="003A37AD">
        <w:trPr>
          <w:gridAfter w:val="3"/>
          <w:wAfter w:w="780" w:type="dxa"/>
          <w:trHeight w:val="417"/>
        </w:trPr>
        <w:tc>
          <w:tcPr>
            <w:tcW w:w="9220" w:type="dxa"/>
            <w:gridSpan w:val="34"/>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FA3533" w:rsidTr="003A37AD">
        <w:trPr>
          <w:gridAfter w:val="3"/>
          <w:wAfter w:w="780" w:type="dxa"/>
          <w:trHeight w:val="417"/>
        </w:trPr>
        <w:tc>
          <w:tcPr>
            <w:tcW w:w="1267" w:type="dxa"/>
            <w:gridSpan w:val="4"/>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5"/>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9"/>
            <w:tcBorders>
              <w:top w:val="single" w:sz="4" w:space="0" w:color="auto"/>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6"/>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FA3533" w:rsidTr="003A37AD">
        <w:trPr>
          <w:gridAfter w:val="3"/>
          <w:wAfter w:w="780" w:type="dxa"/>
          <w:trHeight w:val="417"/>
        </w:trPr>
        <w:tc>
          <w:tcPr>
            <w:tcW w:w="1267" w:type="dxa"/>
            <w:gridSpan w:val="4"/>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FA3533" w:rsidRDefault="00FA3533"/>
        </w:tc>
        <w:tc>
          <w:tcPr>
            <w:tcW w:w="1686"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7"/>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6"/>
            <w:vMerge/>
            <w:tcBorders>
              <w:top w:val="nil"/>
              <w:left w:val="nil"/>
              <w:bottom w:val="single" w:sz="4" w:space="0" w:color="000000"/>
              <w:right w:val="single" w:sz="4" w:space="0" w:color="auto"/>
            </w:tcBorders>
            <w:tcMar>
              <w:top w:w="15" w:type="dxa"/>
              <w:left w:w="15" w:type="dxa"/>
              <w:right w:w="15" w:type="dxa"/>
            </w:tcMar>
            <w:vAlign w:val="center"/>
          </w:tcPr>
          <w:p w:rsidR="00FA3533" w:rsidRDefault="00FA3533"/>
        </w:tc>
      </w:tr>
      <w:tr w:rsidR="00FA3533" w:rsidTr="003A37AD">
        <w:trPr>
          <w:gridAfter w:val="3"/>
          <w:wAfter w:w="780" w:type="dxa"/>
          <w:trHeight w:val="417"/>
        </w:trPr>
        <w:tc>
          <w:tcPr>
            <w:tcW w:w="1267" w:type="dxa"/>
            <w:gridSpan w:val="4"/>
            <w:tcBorders>
              <w:top w:val="nil"/>
              <w:left w:val="single" w:sz="4" w:space="0" w:color="auto"/>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5"/>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7"/>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gridSpan w:val="6"/>
            <w:tcBorders>
              <w:top w:val="nil"/>
              <w:left w:val="nil"/>
              <w:bottom w:val="single" w:sz="4" w:space="0" w:color="000000"/>
              <w:right w:val="single" w:sz="4" w:space="0" w:color="auto"/>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FA3533" w:rsidTr="003A37AD">
        <w:trPr>
          <w:gridAfter w:val="3"/>
          <w:wAfter w:w="780" w:type="dxa"/>
          <w:trHeight w:val="447"/>
        </w:trPr>
        <w:tc>
          <w:tcPr>
            <w:tcW w:w="1267" w:type="dxa"/>
            <w:gridSpan w:val="4"/>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7.35</w:t>
            </w:r>
          </w:p>
        </w:tc>
        <w:tc>
          <w:tcPr>
            <w:tcW w:w="1686" w:type="dxa"/>
            <w:gridSpan w:val="5"/>
            <w:tcBorders>
              <w:top w:val="nil"/>
              <w:left w:val="nil"/>
              <w:bottom w:val="single" w:sz="4" w:space="0" w:color="auto"/>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0.3</w:t>
            </w:r>
          </w:p>
        </w:tc>
        <w:tc>
          <w:tcPr>
            <w:tcW w:w="1565" w:type="dxa"/>
            <w:gridSpan w:val="6"/>
            <w:tcBorders>
              <w:top w:val="nil"/>
              <w:left w:val="nil"/>
              <w:bottom w:val="single" w:sz="4" w:space="0" w:color="auto"/>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6.93</w:t>
            </w:r>
          </w:p>
        </w:tc>
        <w:tc>
          <w:tcPr>
            <w:tcW w:w="1565" w:type="dxa"/>
            <w:gridSpan w:val="6"/>
            <w:tcBorders>
              <w:top w:val="nil"/>
              <w:left w:val="nil"/>
              <w:bottom w:val="single" w:sz="4" w:space="0" w:color="auto"/>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1565" w:type="dxa"/>
            <w:gridSpan w:val="7"/>
            <w:tcBorders>
              <w:top w:val="nil"/>
              <w:left w:val="nil"/>
              <w:bottom w:val="single" w:sz="4" w:space="0" w:color="auto"/>
              <w:right w:val="single" w:sz="4" w:space="0" w:color="000000"/>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6.93</w:t>
            </w:r>
          </w:p>
        </w:tc>
        <w:tc>
          <w:tcPr>
            <w:tcW w:w="1572" w:type="dxa"/>
            <w:gridSpan w:val="6"/>
            <w:tcBorders>
              <w:top w:val="nil"/>
              <w:left w:val="nil"/>
              <w:bottom w:val="single" w:sz="4" w:space="0" w:color="auto"/>
              <w:right w:val="single" w:sz="4" w:space="0" w:color="auto"/>
            </w:tcBorders>
            <w:noWrap/>
            <w:tcMar>
              <w:top w:w="15" w:type="dxa"/>
              <w:left w:w="15" w:type="dxa"/>
              <w:right w:w="15" w:type="dxa"/>
            </w:tcMar>
            <w:vAlign w:val="center"/>
          </w:tcPr>
          <w:p w:rsidR="00FA3533" w:rsidRDefault="00390FD9">
            <w:pPr>
              <w:jc w:val="right"/>
              <w:rPr>
                <w:rFonts w:ascii="宋体" w:eastAsia="宋体" w:cs="宋体"/>
                <w:color w:val="000000"/>
                <w:sz w:val="22"/>
              </w:rPr>
            </w:pPr>
            <w:r>
              <w:rPr>
                <w:rFonts w:ascii="宋体" w:eastAsia="宋体" w:cs="宋体"/>
                <w:color w:val="000000"/>
                <w:sz w:val="22"/>
              </w:rPr>
              <w:t>0.13</w:t>
            </w:r>
          </w:p>
        </w:tc>
      </w:tr>
    </w:tbl>
    <w:p w:rsidR="00FA3533" w:rsidRDefault="00390FD9">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4A0"/>
      </w:tblPr>
      <w:tblGrid>
        <w:gridCol w:w="1020"/>
        <w:gridCol w:w="58"/>
        <w:gridCol w:w="58"/>
        <w:gridCol w:w="1474"/>
        <w:gridCol w:w="1150"/>
        <w:gridCol w:w="1150"/>
        <w:gridCol w:w="1150"/>
        <w:gridCol w:w="1150"/>
        <w:gridCol w:w="1150"/>
        <w:gridCol w:w="1150"/>
      </w:tblGrid>
      <w:tr w:rsidR="00FA3533">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FA3533" w:rsidRDefault="00390FD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FA3533">
        <w:trPr>
          <w:trHeight w:val="255"/>
          <w:jc w:val="center"/>
        </w:trPr>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FA3533">
        <w:trPr>
          <w:trHeight w:val="255"/>
          <w:jc w:val="center"/>
        </w:trPr>
        <w:tc>
          <w:tcPr>
            <w:tcW w:w="0" w:type="auto"/>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FA3533">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FA353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FA3533"/>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FA3533" w:rsidRDefault="00FA3533"/>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FA3533" w:rsidRDefault="00FA3533"/>
        </w:tc>
      </w:tr>
      <w:tr w:rsidR="00FA3533">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FA3533">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bl>
    <w:p w:rsidR="00FA3533" w:rsidRDefault="00390FD9">
      <w:pPr>
        <w:rPr>
          <w:color w:val="000000"/>
        </w:rPr>
      </w:pPr>
      <w:r>
        <w:rPr>
          <w:rFonts w:ascii="宋体" w:eastAsia="宋体" w:cs="宋体" w:hint="eastAsia"/>
          <w:color w:val="000000"/>
        </w:rPr>
        <w:t>注：本部门本年度无相关收入（或支出、收支及结转结余等）情况，按要求空表列示。</w:t>
      </w:r>
      <w:r>
        <w:rPr>
          <w:color w:val="000000"/>
        </w:rPr>
        <w:br w:type="page"/>
      </w:r>
    </w:p>
    <w:tbl>
      <w:tblPr>
        <w:tblW w:w="9915" w:type="dxa"/>
        <w:jc w:val="center"/>
        <w:tblCellMar>
          <w:left w:w="0" w:type="dxa"/>
          <w:right w:w="0" w:type="dxa"/>
        </w:tblCellMar>
        <w:tblLook w:val="04A0"/>
      </w:tblPr>
      <w:tblGrid>
        <w:gridCol w:w="1288"/>
        <w:gridCol w:w="74"/>
        <w:gridCol w:w="74"/>
        <w:gridCol w:w="3798"/>
        <w:gridCol w:w="961"/>
        <w:gridCol w:w="1861"/>
        <w:gridCol w:w="1861"/>
      </w:tblGrid>
      <w:tr w:rsidR="00FA3533">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FA3533" w:rsidRDefault="00390FD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FA3533">
        <w:trPr>
          <w:trHeight w:val="255"/>
          <w:jc w:val="center"/>
        </w:trPr>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FA3533">
        <w:trPr>
          <w:trHeight w:val="255"/>
          <w:jc w:val="center"/>
        </w:trPr>
        <w:tc>
          <w:tcPr>
            <w:tcW w:w="0" w:type="auto"/>
            <w:tcBorders>
              <w:top w:val="nil"/>
              <w:left w:val="nil"/>
              <w:bottom w:val="nil"/>
              <w:right w:val="nil"/>
            </w:tcBorders>
            <w:noWrap/>
            <w:tcMar>
              <w:top w:w="15" w:type="dxa"/>
              <w:left w:w="15" w:type="dxa"/>
              <w:right w:w="15" w:type="dxa"/>
            </w:tcMar>
            <w:vAlign w:val="bottom"/>
          </w:tcPr>
          <w:p w:rsidR="00FA3533" w:rsidRDefault="00390FD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FA3533" w:rsidRDefault="00FA3533">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FA3533" w:rsidRDefault="00390F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FA3533">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FA3533">
        <w:trPr>
          <w:trHeight w:val="615"/>
          <w:jc w:val="center"/>
        </w:trPr>
        <w:tc>
          <w:tcPr>
            <w:tcW w:w="171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FA3533">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FA3533">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390FD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b/>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r w:rsidR="00FA3533">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FA3533" w:rsidRDefault="00FA3533">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FA3533" w:rsidRDefault="00FA3533">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FA3533" w:rsidRDefault="00FA3533">
            <w:pPr>
              <w:jc w:val="right"/>
              <w:rPr>
                <w:rFonts w:ascii="宋体" w:eastAsia="宋体" w:cs="宋体"/>
                <w:color w:val="000000"/>
                <w:sz w:val="22"/>
              </w:rPr>
            </w:pPr>
          </w:p>
        </w:tc>
      </w:tr>
    </w:tbl>
    <w:p w:rsidR="00FA3533" w:rsidRDefault="00390FD9">
      <w:pPr>
        <w:rPr>
          <w:color w:val="000000"/>
        </w:rPr>
        <w:sectPr w:rsidR="00FA3533">
          <w:pgSz w:w="11906" w:h="16838"/>
          <w:pgMar w:top="1701" w:right="1417" w:bottom="1281" w:left="1417" w:header="851" w:footer="992" w:gutter="0"/>
          <w:pgNumType w:fmt="numberInDash"/>
          <w:cols w:space="720"/>
          <w:docGrid w:type="lines" w:linePitch="312"/>
        </w:sectPr>
      </w:pPr>
      <w:r>
        <w:rPr>
          <w:rFonts w:ascii="宋体" w:eastAsia="宋体" w:cs="宋体" w:hint="eastAsia"/>
          <w:color w:val="000000"/>
        </w:rPr>
        <w:t>注：本部门本年度无相关收入（或支出、收支及结转结余等）情况，按要求空表列示。</w:t>
      </w:r>
    </w:p>
    <w:p w:rsidR="00FA3533" w:rsidRDefault="00FA3533">
      <w:pPr>
        <w:rPr>
          <w:color w:val="000000"/>
        </w:rPr>
      </w:pPr>
    </w:p>
    <w:p w:rsidR="00FA3533" w:rsidRDefault="00FA3533">
      <w:pPr>
        <w:rPr>
          <w:color w:val="000000"/>
        </w:rPr>
      </w:pPr>
    </w:p>
    <w:p w:rsidR="00FA3533" w:rsidRDefault="00FA3533">
      <w:pPr>
        <w:rPr>
          <w:rFonts w:ascii="黑体" w:eastAsia="黑体" w:cs="黑体"/>
          <w:color w:val="000000"/>
          <w:sz w:val="56"/>
          <w:szCs w:val="72"/>
        </w:rPr>
      </w:pPr>
    </w:p>
    <w:p w:rsidR="00FA3533" w:rsidRDefault="00340E0D">
      <w:pPr>
        <w:jc w:val="center"/>
        <w:rPr>
          <w:rFonts w:ascii="黑体" w:eastAsia="黑体" w:cs="黑体"/>
          <w:color w:val="000000"/>
          <w:sz w:val="56"/>
          <w:szCs w:val="72"/>
        </w:rPr>
      </w:pPr>
      <w:r>
        <w:rPr>
          <w:rFonts w:ascii="黑体" w:eastAsia="黑体" w:cs="黑体"/>
          <w:noProof/>
          <w:color w:val="000000"/>
          <w:sz w:val="56"/>
          <w:szCs w:val="72"/>
        </w:rPr>
        <w:pict>
          <v:rect id="矩形 114" o:spid="_x0000_s1046" style="position:absolute;left:0;text-align:left;margin-left:-80.4pt;margin-top:128.4pt;width:613.65pt;height:263.1pt;z-index:251668992;mso-wrap-distance-left:3.17494mm;mso-wrap-distance-right:3.17494mm;v-text-anchor:middle" fillcolor="#ffd966" strokecolor="#ffd966" strokeweight=".5pt">
            <v:fill r:id="rId20" o:title="5%" type="pattern"/>
            <v:textbox id="859custom">
              <w:txbxContent>
                <w:p w:rsidR="007A5718" w:rsidRDefault="007A5718" w:rsidP="007A5718">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w:r>
    </w:p>
    <w:p w:rsidR="00FA3533" w:rsidRDefault="00FA3533">
      <w:pPr>
        <w:jc w:val="center"/>
        <w:rPr>
          <w:rFonts w:ascii="黑体" w:eastAsia="黑体" w:cs="黑体"/>
          <w:color w:val="000000"/>
          <w:sz w:val="56"/>
          <w:szCs w:val="72"/>
        </w:rPr>
      </w:pPr>
    </w:p>
    <w:p w:rsidR="00FA3533" w:rsidRDefault="00FA3533">
      <w:pPr>
        <w:jc w:val="center"/>
        <w:rPr>
          <w:color w:val="000000"/>
          <w:sz w:val="72"/>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rPr>
          <w:color w:val="000000"/>
        </w:rPr>
      </w:pPr>
    </w:p>
    <w:p w:rsidR="00FA3533" w:rsidRDefault="00FA3533">
      <w:pPr>
        <w:widowControl/>
        <w:jc w:val="left"/>
        <w:rPr>
          <w:color w:val="000000"/>
        </w:rPr>
        <w:sectPr w:rsidR="00FA3533">
          <w:headerReference w:type="default" r:id="rId23"/>
          <w:pgSz w:w="11906" w:h="16838"/>
          <w:pgMar w:top="1701" w:right="1417" w:bottom="1281" w:left="1417" w:header="851" w:footer="992" w:gutter="0"/>
          <w:pgNumType w:fmt="numberInDash"/>
          <w:cols w:space="720"/>
          <w:docGrid w:type="lines" w:linePitch="312"/>
        </w:sectPr>
      </w:pPr>
    </w:p>
    <w:p w:rsidR="00FA3533" w:rsidRDefault="00390FD9">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FA3533" w:rsidRDefault="00390FD9" w:rsidP="00643DA5">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FA3533" w:rsidRDefault="00390FD9">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11</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2811.48</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”2018-2019</w:t>
      </w:r>
      <w:r>
        <w:rPr>
          <w:rFonts w:ascii="Times New Roman" w:eastAsia="仿宋_GB2312" w:cs="Times New Roman" w:hint="eastAsia"/>
          <w:color w:val="000000"/>
          <w:sz w:val="32"/>
          <w:szCs w:val="32"/>
        </w:rPr>
        <w:t>年、</w:t>
      </w:r>
      <w:r>
        <w:rPr>
          <w:rFonts w:ascii="Times New Roman" w:eastAsia="仿宋_GB2312" w:cs="Times New Roman"/>
          <w:color w:val="000000"/>
          <w:sz w:val="32"/>
          <w:szCs w:val="32"/>
        </w:rPr>
        <w:t>2019-2020</w:t>
      </w:r>
      <w:r>
        <w:rPr>
          <w:rFonts w:ascii="Times New Roman" w:eastAsia="仿宋_GB2312" w:cs="Times New Roman" w:hint="eastAsia"/>
          <w:color w:val="000000"/>
          <w:sz w:val="32"/>
          <w:szCs w:val="32"/>
        </w:rPr>
        <w:t>年采暖季天然气保供专项奖补资金</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、“廊坊市贸信煤炭有限公司补偿经费”等</w:t>
      </w:r>
      <w:r>
        <w:rPr>
          <w:rFonts w:ascii="Times New Roman" w:eastAsia="仿宋_GB2312" w:cs="Times New Roman"/>
          <w:color w:val="000000"/>
          <w:sz w:val="32"/>
          <w:szCs w:val="32"/>
        </w:rPr>
        <w:t>11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2811.48</w:t>
      </w:r>
      <w:r>
        <w:rPr>
          <w:rFonts w:ascii="Times New Roman" w:eastAsia="仿宋_GB2312" w:cs="Times New Roman" w:hint="eastAsia"/>
          <w:color w:val="000000"/>
          <w:sz w:val="32"/>
          <w:szCs w:val="32"/>
        </w:rPr>
        <w:t>万元。从评价情况来看，部门整体绩效实现情况良好。</w:t>
      </w:r>
    </w:p>
    <w:p w:rsidR="00FA3533" w:rsidRDefault="00390FD9" w:rsidP="00643DA5">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FA3533" w:rsidRDefault="00390FD9" w:rsidP="00643DA5">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11</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11 </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2018-2019</w:t>
      </w:r>
      <w:r>
        <w:rPr>
          <w:rFonts w:ascii="Times New Roman" w:eastAsia="仿宋_GB2312" w:cs="Times New Roman" w:hint="eastAsia"/>
          <w:color w:val="000000"/>
          <w:sz w:val="32"/>
          <w:szCs w:val="32"/>
        </w:rPr>
        <w:t>年、</w:t>
      </w:r>
      <w:r>
        <w:rPr>
          <w:rFonts w:ascii="Times New Roman" w:eastAsia="仿宋_GB2312" w:cs="Times New Roman"/>
          <w:color w:val="000000"/>
          <w:sz w:val="32"/>
          <w:szCs w:val="32"/>
        </w:rPr>
        <w:t>2019-2020</w:t>
      </w:r>
      <w:r>
        <w:rPr>
          <w:rFonts w:ascii="Times New Roman" w:eastAsia="仿宋_GB2312" w:cs="Times New Roman" w:hint="eastAsia"/>
          <w:color w:val="000000"/>
          <w:sz w:val="32"/>
          <w:szCs w:val="32"/>
        </w:rPr>
        <w:t>年采暖季天然气保供专项奖补资金项目绩效自评结果。</w:t>
      </w:r>
    </w:p>
    <w:p w:rsidR="00FA3533" w:rsidRDefault="00390FD9">
      <w:pPr>
        <w:ind w:firstLineChars="250" w:firstLine="800"/>
        <w:rPr>
          <w:rFonts w:ascii="Times New Roman" w:eastAsia="仿宋_GB2312" w:cs="Times New Roman"/>
          <w:color w:val="000000"/>
          <w:sz w:val="32"/>
          <w:szCs w:val="32"/>
        </w:rPr>
      </w:pPr>
      <w:r>
        <w:rPr>
          <w:rFonts w:ascii="Times New Roman" w:eastAsia="仿宋_GB2312" w:cs="Times New Roman"/>
          <w:color w:val="000000"/>
          <w:sz w:val="32"/>
          <w:szCs w:val="32"/>
        </w:rPr>
        <w:t>2018-2019</w:t>
      </w:r>
      <w:r>
        <w:rPr>
          <w:rFonts w:ascii="Times New Roman" w:eastAsia="仿宋_GB2312" w:cs="Times New Roman" w:hint="eastAsia"/>
          <w:color w:val="000000"/>
          <w:sz w:val="32"/>
          <w:szCs w:val="32"/>
        </w:rPr>
        <w:t>年、</w:t>
      </w:r>
      <w:r>
        <w:rPr>
          <w:rFonts w:ascii="Times New Roman" w:eastAsia="仿宋_GB2312" w:cs="Times New Roman"/>
          <w:color w:val="000000"/>
          <w:sz w:val="32"/>
          <w:szCs w:val="32"/>
        </w:rPr>
        <w:t>2019-2020</w:t>
      </w:r>
      <w:r>
        <w:rPr>
          <w:rFonts w:ascii="Times New Roman" w:eastAsia="仿宋_GB2312" w:cs="Times New Roman" w:hint="eastAsia"/>
          <w:color w:val="000000"/>
          <w:sz w:val="32"/>
          <w:szCs w:val="32"/>
        </w:rPr>
        <w:t>年采暖季天然气保供专项奖补资金项目综述：根据年初设定的绩效目标，</w:t>
      </w:r>
      <w:r>
        <w:rPr>
          <w:rFonts w:ascii="Times New Roman" w:eastAsia="仿宋_GB2312" w:cs="Times New Roman"/>
          <w:color w:val="000000"/>
          <w:sz w:val="32"/>
          <w:szCs w:val="32"/>
        </w:rPr>
        <w:t>2018-2019</w:t>
      </w:r>
      <w:r>
        <w:rPr>
          <w:rFonts w:ascii="Times New Roman" w:eastAsia="仿宋_GB2312" w:cs="Times New Roman" w:hint="eastAsia"/>
          <w:color w:val="000000"/>
          <w:sz w:val="32"/>
          <w:szCs w:val="32"/>
        </w:rPr>
        <w:t>年、</w:t>
      </w:r>
      <w:r>
        <w:rPr>
          <w:rFonts w:ascii="Times New Roman" w:eastAsia="仿宋_GB2312" w:cs="Times New Roman"/>
          <w:color w:val="000000"/>
          <w:sz w:val="32"/>
          <w:szCs w:val="32"/>
        </w:rPr>
        <w:t>2019-2020</w:t>
      </w:r>
      <w:r>
        <w:rPr>
          <w:rFonts w:ascii="Times New Roman" w:eastAsia="仿宋_GB2312" w:cs="Times New Roman" w:hint="eastAsia"/>
          <w:color w:val="000000"/>
          <w:sz w:val="32"/>
          <w:szCs w:val="32"/>
        </w:rPr>
        <w:t>年采暖季天然气保供专项奖补资金项目绩效自评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2000</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2000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。项目绩效目标完成情况：一是新奥燃气公司承担着整个广阳区民生用气任务，民生用气覆盖率≥</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，完成目标值；二是管网压力合格，达到压力值，供气期间未出现停供、断供情况，燃气正常供应，完</w:t>
      </w:r>
      <w:r>
        <w:rPr>
          <w:rFonts w:ascii="Times New Roman" w:eastAsia="仿宋_GB2312" w:cs="Times New Roman" w:hint="eastAsia"/>
          <w:color w:val="000000"/>
          <w:sz w:val="32"/>
          <w:szCs w:val="32"/>
        </w:rPr>
        <w:lastRenderedPageBreak/>
        <w:t>成目标值；三是资金支出及时，完成目标值；四是资金的预算执行情况为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，完成目标值；五是资金的发放，能够保障居民采暖及生活需求，完成目标值；六是资金的发放，有利于确保民生用气，履行社会责任，完成目标值；七是新奥燃气公司对</w:t>
      </w:r>
      <w:r>
        <w:rPr>
          <w:rFonts w:ascii="Times New Roman" w:eastAsia="仿宋_GB2312" w:cs="Times New Roman"/>
          <w:color w:val="000000"/>
          <w:sz w:val="32"/>
          <w:szCs w:val="32"/>
        </w:rPr>
        <w:t>2018-2019</w:t>
      </w:r>
      <w:r>
        <w:rPr>
          <w:rFonts w:ascii="Times New Roman" w:eastAsia="仿宋_GB2312" w:cs="Times New Roman" w:hint="eastAsia"/>
          <w:color w:val="000000"/>
          <w:sz w:val="32"/>
          <w:szCs w:val="32"/>
        </w:rPr>
        <w:t>年采暖季天然气保供专项奖补资金的发放表示满意，完成目标值。</w:t>
      </w:r>
    </w:p>
    <w:p w:rsidR="00FA3533" w:rsidRDefault="00390FD9">
      <w:pPr>
        <w:keepNext/>
        <w:keepLines/>
        <w:tabs>
          <w:tab w:val="left" w:pos="0"/>
        </w:tabs>
        <w:snapToGrid w:val="0"/>
        <w:spacing w:line="580" w:lineRule="exact"/>
        <w:ind w:left="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hint="eastAsia"/>
          <w:b/>
          <w:bCs/>
          <w:color w:val="000000"/>
          <w:sz w:val="32"/>
          <w:szCs w:val="32"/>
        </w:rPr>
        <w:t>财政评价项目绩效评价结果，见下</w:t>
      </w:r>
    </w:p>
    <w:p w:rsidR="00FA3533" w:rsidRDefault="00390FD9" w:rsidP="00643DA5">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tbl>
      <w:tblPr>
        <w:tblW w:w="8861" w:type="dxa"/>
        <w:tblInd w:w="30" w:type="dxa"/>
        <w:tblLayout w:type="fixed"/>
        <w:tblCellMar>
          <w:left w:w="0" w:type="dxa"/>
          <w:right w:w="0" w:type="dxa"/>
        </w:tblCellMar>
        <w:tblLook w:val="04A0"/>
      </w:tblPr>
      <w:tblGrid>
        <w:gridCol w:w="586"/>
        <w:gridCol w:w="626"/>
        <w:gridCol w:w="1465"/>
        <w:gridCol w:w="730"/>
        <w:gridCol w:w="972"/>
        <w:gridCol w:w="28"/>
        <w:gridCol w:w="993"/>
        <w:gridCol w:w="927"/>
        <w:gridCol w:w="196"/>
        <w:gridCol w:w="336"/>
        <w:gridCol w:w="434"/>
        <w:gridCol w:w="112"/>
        <w:gridCol w:w="784"/>
        <w:gridCol w:w="646"/>
        <w:gridCol w:w="26"/>
      </w:tblGrid>
      <w:tr w:rsidR="00FA3533">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FA3533" w:rsidRDefault="00390FD9">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FA3533">
        <w:trPr>
          <w:trHeight w:val="259"/>
        </w:trPr>
        <w:tc>
          <w:tcPr>
            <w:tcW w:w="8861" w:type="dxa"/>
            <w:gridSpan w:val="15"/>
            <w:tcBorders>
              <w:top w:val="nil"/>
              <w:left w:val="nil"/>
              <w:bottom w:val="nil"/>
              <w:right w:val="nil"/>
            </w:tcBorders>
            <w:noWrap/>
          </w:tcPr>
          <w:p w:rsidR="00FA3533" w:rsidRDefault="00390FD9">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rsidR="00FA3533">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2018-2019</w:t>
            </w:r>
            <w:r>
              <w:rPr>
                <w:rFonts w:eastAsia="仿宋_GB2312" w:hint="eastAsia"/>
                <w:kern w:val="0"/>
                <w:sz w:val="24"/>
              </w:rPr>
              <w:t>年、</w:t>
            </w:r>
            <w:r>
              <w:rPr>
                <w:rFonts w:eastAsia="仿宋_GB2312"/>
                <w:kern w:val="0"/>
                <w:sz w:val="24"/>
              </w:rPr>
              <w:t>2019-2020</w:t>
            </w:r>
            <w:r>
              <w:rPr>
                <w:rFonts w:eastAsia="仿宋_GB2312" w:hint="eastAsia"/>
                <w:kern w:val="0"/>
                <w:sz w:val="24"/>
              </w:rPr>
              <w:t>年采暖季天然气保供专项奖补资金</w:t>
            </w:r>
          </w:p>
        </w:tc>
      </w:tr>
      <w:tr w:rsidR="00FA3533">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区政府</w:t>
            </w:r>
          </w:p>
        </w:tc>
        <w:tc>
          <w:tcPr>
            <w:tcW w:w="1123"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广阳区发展和改革局</w:t>
            </w:r>
          </w:p>
        </w:tc>
      </w:tr>
      <w:tr w:rsidR="00FA3533">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r>
              <w:rPr>
                <w:rFonts w:eastAsia="仿宋_GB2312"/>
                <w:kern w:val="0"/>
                <w:sz w:val="24"/>
              </w:rPr>
              <w:t>2000</w:t>
            </w:r>
          </w:p>
        </w:tc>
        <w:tc>
          <w:tcPr>
            <w:tcW w:w="2195" w:type="dxa"/>
            <w:gridSpan w:val="2"/>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年初</w:t>
            </w:r>
          </w:p>
          <w:p w:rsidR="00FA3533" w:rsidRDefault="00390FD9">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全年</w:t>
            </w:r>
          </w:p>
          <w:p w:rsidR="00FA3533" w:rsidRDefault="00390FD9">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全年</w:t>
            </w:r>
          </w:p>
          <w:p w:rsidR="00FA3533" w:rsidRDefault="00390FD9">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得分</w:t>
            </w:r>
          </w:p>
        </w:tc>
      </w:tr>
      <w:tr w:rsidR="00FA353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FA3533" w:rsidRDefault="00FA3533"/>
        </w:tc>
        <w:tc>
          <w:tcPr>
            <w:tcW w:w="2195"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2000</w:t>
            </w:r>
          </w:p>
        </w:tc>
        <w:tc>
          <w:tcPr>
            <w:tcW w:w="1123"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2000</w:t>
            </w:r>
          </w:p>
        </w:tc>
        <w:tc>
          <w:tcPr>
            <w:tcW w:w="770"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w:t>
            </w:r>
          </w:p>
        </w:tc>
      </w:tr>
      <w:tr w:rsidR="00FA3533">
        <w:trPr>
          <w:trHeight w:val="190"/>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FA3533" w:rsidRDefault="00FA3533"/>
        </w:tc>
        <w:tc>
          <w:tcPr>
            <w:tcW w:w="2195"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2000</w:t>
            </w:r>
          </w:p>
        </w:tc>
        <w:tc>
          <w:tcPr>
            <w:tcW w:w="1123"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2000</w:t>
            </w:r>
          </w:p>
        </w:tc>
        <w:tc>
          <w:tcPr>
            <w:tcW w:w="770"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w:t>
            </w:r>
          </w:p>
        </w:tc>
      </w:tr>
      <w:tr w:rsidR="00FA353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FA3533" w:rsidRDefault="00FA3533"/>
        </w:tc>
        <w:tc>
          <w:tcPr>
            <w:tcW w:w="2195"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w:t>
            </w:r>
          </w:p>
        </w:tc>
      </w:tr>
      <w:tr w:rsidR="00FA3533">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FA3533" w:rsidRDefault="00FA3533"/>
        </w:tc>
        <w:tc>
          <w:tcPr>
            <w:tcW w:w="2195"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w:t>
            </w:r>
          </w:p>
        </w:tc>
      </w:tr>
      <w:tr w:rsidR="00FA3533">
        <w:tc>
          <w:tcPr>
            <w:tcW w:w="586" w:type="dxa"/>
            <w:vMerge w:val="restart"/>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实际完成情况</w:t>
            </w:r>
          </w:p>
        </w:tc>
      </w:tr>
      <w:tr w:rsidR="00FA3533">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4814" w:type="dxa"/>
            <w:gridSpan w:val="6"/>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Cs w:val="21"/>
              </w:rPr>
              <w:t>2018-2019</w:t>
            </w:r>
            <w:r>
              <w:rPr>
                <w:rFonts w:eastAsia="仿宋_GB2312" w:hint="eastAsia"/>
                <w:kern w:val="0"/>
                <w:szCs w:val="21"/>
              </w:rPr>
              <w:t>年、</w:t>
            </w:r>
            <w:r>
              <w:rPr>
                <w:rFonts w:eastAsia="仿宋_GB2312"/>
                <w:kern w:val="0"/>
                <w:szCs w:val="21"/>
              </w:rPr>
              <w:t>2019-2020</w:t>
            </w:r>
            <w:r>
              <w:rPr>
                <w:rFonts w:eastAsia="仿宋_GB2312" w:hint="eastAsia"/>
                <w:kern w:val="0"/>
                <w:szCs w:val="21"/>
              </w:rPr>
              <w:t>年廊坊新奥燃气有限公司大量采购了</w:t>
            </w:r>
            <w:r>
              <w:rPr>
                <w:rFonts w:eastAsia="仿宋_GB2312"/>
                <w:kern w:val="0"/>
                <w:szCs w:val="21"/>
              </w:rPr>
              <w:t>LNG</w:t>
            </w:r>
            <w:r>
              <w:rPr>
                <w:rFonts w:eastAsia="仿宋_GB2312" w:hint="eastAsia"/>
                <w:kern w:val="0"/>
                <w:szCs w:val="21"/>
              </w:rPr>
              <w:t>补输管网，以保障广阳区居民安全稳定用气，满足用户的采暖及生活需求。</w:t>
            </w:r>
          </w:p>
        </w:tc>
        <w:tc>
          <w:tcPr>
            <w:tcW w:w="3461" w:type="dxa"/>
            <w:gridSpan w:val="8"/>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left"/>
              <w:rPr>
                <w:rFonts w:eastAsia="仿宋_GB2312"/>
                <w:kern w:val="0"/>
                <w:sz w:val="24"/>
              </w:rPr>
            </w:pPr>
            <w:r>
              <w:rPr>
                <w:rFonts w:eastAsia="仿宋_GB2312"/>
                <w:kern w:val="0"/>
                <w:szCs w:val="21"/>
              </w:rPr>
              <w:t>2018-2019</w:t>
            </w:r>
            <w:r>
              <w:rPr>
                <w:rFonts w:eastAsia="仿宋_GB2312" w:hint="eastAsia"/>
                <w:kern w:val="0"/>
                <w:szCs w:val="21"/>
              </w:rPr>
              <w:t>年、</w:t>
            </w:r>
            <w:r>
              <w:rPr>
                <w:rFonts w:eastAsia="仿宋_GB2312"/>
                <w:kern w:val="0"/>
                <w:szCs w:val="21"/>
              </w:rPr>
              <w:t>2019-2020</w:t>
            </w:r>
            <w:r>
              <w:rPr>
                <w:rFonts w:eastAsia="仿宋_GB2312" w:hint="eastAsia"/>
                <w:kern w:val="0"/>
                <w:szCs w:val="21"/>
              </w:rPr>
              <w:t>年廊坊新奥燃气有限公司大量采购了</w:t>
            </w:r>
            <w:r>
              <w:rPr>
                <w:rFonts w:eastAsia="仿宋_GB2312"/>
                <w:kern w:val="0"/>
                <w:szCs w:val="21"/>
              </w:rPr>
              <w:t>LNG</w:t>
            </w:r>
            <w:r>
              <w:rPr>
                <w:rFonts w:eastAsia="仿宋_GB2312" w:hint="eastAsia"/>
                <w:kern w:val="0"/>
                <w:szCs w:val="21"/>
              </w:rPr>
              <w:t>补输管网，以保障广阳区居民安全稳定用气，满足用户的采暖及生活需求。</w:t>
            </w:r>
          </w:p>
        </w:tc>
      </w:tr>
      <w:tr w:rsidR="00FA3533">
        <w:trPr>
          <w:trHeight w:val="469"/>
        </w:trPr>
        <w:tc>
          <w:tcPr>
            <w:tcW w:w="586" w:type="dxa"/>
            <w:vMerge w:val="restart"/>
            <w:tcBorders>
              <w:top w:val="nil"/>
              <w:left w:val="single" w:sz="4" w:space="0" w:color="auto"/>
              <w:bottom w:val="nil"/>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年度</w:t>
            </w:r>
          </w:p>
          <w:p w:rsidR="00FA3533" w:rsidRDefault="00390FD9">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实际</w:t>
            </w:r>
          </w:p>
          <w:p w:rsidR="00FA3533" w:rsidRDefault="00390FD9">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FA3533">
        <w:trPr>
          <w:trHeight w:val="74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vMerge w:val="restart"/>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color w:val="000000"/>
                <w:kern w:val="0"/>
                <w:sz w:val="24"/>
              </w:rPr>
              <w:t>保障民生用气覆盖率</w:t>
            </w:r>
          </w:p>
        </w:tc>
        <w:tc>
          <w:tcPr>
            <w:tcW w:w="1021"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kern w:val="0"/>
                <w:sz w:val="24"/>
              </w:rPr>
              <w:t>≥</w:t>
            </w:r>
            <w:r>
              <w:rPr>
                <w:rFonts w:eastAsia="仿宋_GB2312"/>
                <w:kern w:val="0"/>
                <w:sz w:val="24"/>
              </w:rPr>
              <w:t>90%</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rPr>
          <w:trHeight w:val="73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vMerge/>
            <w:tcBorders>
              <w:top w:val="nil"/>
              <w:left w:val="single" w:sz="4" w:space="0" w:color="auto"/>
              <w:bottom w:val="single" w:sz="4" w:space="0" w:color="auto"/>
              <w:right w:val="single" w:sz="4" w:space="0" w:color="auto"/>
            </w:tcBorders>
            <w:noWrap/>
            <w:vAlign w:val="center"/>
          </w:tcPr>
          <w:p w:rsidR="00FA3533" w:rsidRDefault="00FA3533"/>
        </w:tc>
        <w:tc>
          <w:tcPr>
            <w:tcW w:w="1465" w:type="dxa"/>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color w:val="000000"/>
                <w:kern w:val="0"/>
                <w:sz w:val="24"/>
              </w:rPr>
              <w:t>管网压力合格率</w:t>
            </w:r>
          </w:p>
        </w:tc>
        <w:tc>
          <w:tcPr>
            <w:tcW w:w="1021"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0.3MPA</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0.3MPA</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rPr>
          <w:trHeight w:val="73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vMerge/>
            <w:tcBorders>
              <w:top w:val="nil"/>
              <w:left w:val="single" w:sz="4" w:space="0" w:color="auto"/>
              <w:bottom w:val="single" w:sz="4" w:space="0" w:color="auto"/>
              <w:right w:val="single" w:sz="4" w:space="0" w:color="auto"/>
            </w:tcBorders>
            <w:noWrap/>
            <w:vAlign w:val="center"/>
          </w:tcPr>
          <w:p w:rsidR="00FA3533" w:rsidRDefault="00FA3533"/>
        </w:tc>
        <w:tc>
          <w:tcPr>
            <w:tcW w:w="1465" w:type="dxa"/>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color w:val="000000"/>
                <w:kern w:val="0"/>
                <w:sz w:val="24"/>
              </w:rPr>
              <w:t>资金支出及时率</w:t>
            </w:r>
          </w:p>
        </w:tc>
        <w:tc>
          <w:tcPr>
            <w:tcW w:w="1021"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100%</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rPr>
          <w:trHeight w:val="73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vMerge/>
            <w:tcBorders>
              <w:top w:val="nil"/>
              <w:left w:val="single" w:sz="4" w:space="0" w:color="auto"/>
              <w:bottom w:val="single" w:sz="4" w:space="0" w:color="auto"/>
              <w:right w:val="single" w:sz="4" w:space="0" w:color="auto"/>
            </w:tcBorders>
            <w:noWrap/>
            <w:vAlign w:val="center"/>
          </w:tcPr>
          <w:p w:rsidR="00FA3533" w:rsidRDefault="00FA3533"/>
        </w:tc>
        <w:tc>
          <w:tcPr>
            <w:tcW w:w="1465" w:type="dxa"/>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color w:val="000000"/>
                <w:kern w:val="0"/>
                <w:sz w:val="24"/>
              </w:rPr>
              <w:t>预算执行率</w:t>
            </w:r>
          </w:p>
        </w:tc>
        <w:tc>
          <w:tcPr>
            <w:tcW w:w="1021"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kern w:val="0"/>
                <w:sz w:val="24"/>
              </w:rPr>
              <w:t>100%</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kern w:val="0"/>
                <w:sz w:val="24"/>
              </w:rPr>
              <w:t>100%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rPr>
          <w:trHeight w:val="73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vMerge w:val="restart"/>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效益指标</w:t>
            </w:r>
          </w:p>
          <w:p w:rsidR="00FA3533" w:rsidRDefault="00FA3533">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社会效益</w:t>
            </w:r>
          </w:p>
          <w:p w:rsidR="00FA3533" w:rsidRDefault="00390FD9">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color w:val="000000"/>
                <w:kern w:val="0"/>
                <w:sz w:val="24"/>
              </w:rPr>
              <w:t>保障居民采暖及生活需求</w:t>
            </w:r>
          </w:p>
        </w:tc>
        <w:tc>
          <w:tcPr>
            <w:tcW w:w="1021"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hint="eastAsia"/>
                <w:color w:val="000000"/>
                <w:kern w:val="0"/>
                <w:sz w:val="24"/>
              </w:rPr>
              <w:t>保障居民采暖及生活需求</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hint="eastAsia"/>
                <w:kern w:val="0"/>
                <w:sz w:val="24"/>
              </w:rPr>
              <w:t>保障需求</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cs="Times New Roman"/>
                <w:kern w:val="0"/>
                <w:sz w:val="24"/>
                <w:szCs w:val="24"/>
              </w:rPr>
              <w:t>10</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ascii="Times New Roman" w:eastAsia="仿宋_GB2312" w:cs="Times New Roman"/>
                <w:kern w:val="0"/>
                <w:sz w:val="24"/>
                <w:szCs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rPr>
          <w:trHeight w:val="73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vMerge/>
            <w:tcBorders>
              <w:top w:val="nil"/>
              <w:left w:val="single" w:sz="4" w:space="0" w:color="auto"/>
              <w:bottom w:val="single" w:sz="4" w:space="0" w:color="auto"/>
              <w:right w:val="single" w:sz="4" w:space="0" w:color="auto"/>
            </w:tcBorders>
            <w:noWrap/>
            <w:vAlign w:val="center"/>
          </w:tcPr>
          <w:p w:rsidR="00FA3533" w:rsidRDefault="00FA3533"/>
        </w:tc>
        <w:tc>
          <w:tcPr>
            <w:tcW w:w="1465"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可持续影响</w:t>
            </w:r>
          </w:p>
          <w:p w:rsidR="00FA3533" w:rsidRDefault="00390FD9">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right w:val="single" w:sz="4" w:space="0" w:color="auto"/>
            </w:tcBorders>
            <w:noWrap/>
            <w:vAlign w:val="center"/>
          </w:tcPr>
          <w:p w:rsidR="00FA3533" w:rsidRDefault="00390FD9">
            <w:pPr>
              <w:widowControl/>
              <w:spacing w:line="240" w:lineRule="exact"/>
              <w:jc w:val="left"/>
              <w:rPr>
                <w:rFonts w:eastAsia="仿宋_GB2312"/>
                <w:color w:val="000000"/>
                <w:kern w:val="0"/>
                <w:sz w:val="24"/>
              </w:rPr>
            </w:pPr>
            <w:r>
              <w:rPr>
                <w:rFonts w:eastAsia="仿宋_GB2312" w:hint="eastAsia"/>
                <w:color w:val="000000"/>
                <w:kern w:val="0"/>
                <w:sz w:val="24"/>
              </w:rPr>
              <w:t>有利于确保民生用气，履行社会责任</w:t>
            </w:r>
          </w:p>
        </w:tc>
        <w:tc>
          <w:tcPr>
            <w:tcW w:w="1021"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color w:val="000000"/>
                <w:kern w:val="0"/>
                <w:sz w:val="24"/>
              </w:rPr>
              <w:t>有利于确保民生用气，履行社会责任</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color w:val="000000"/>
                <w:kern w:val="0"/>
                <w:sz w:val="24"/>
              </w:rPr>
              <w:t>有利于确保民生用气</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rPr>
          <w:trHeight w:val="740"/>
        </w:trPr>
        <w:tc>
          <w:tcPr>
            <w:tcW w:w="586" w:type="dxa"/>
            <w:vMerge/>
            <w:tcBorders>
              <w:top w:val="nil"/>
              <w:left w:val="single" w:sz="4" w:space="0" w:color="auto"/>
              <w:bottom w:val="single" w:sz="4" w:space="0" w:color="auto"/>
              <w:right w:val="single" w:sz="4" w:space="0" w:color="auto"/>
            </w:tcBorders>
            <w:noWrap/>
            <w:vAlign w:val="center"/>
          </w:tcPr>
          <w:p w:rsidR="00FA3533" w:rsidRDefault="00FA3533"/>
        </w:tc>
        <w:tc>
          <w:tcPr>
            <w:tcW w:w="626" w:type="dxa"/>
            <w:tcBorders>
              <w:top w:val="nil"/>
              <w:left w:val="single" w:sz="4" w:space="0" w:color="auto"/>
              <w:bottom w:val="nil"/>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hint="eastAsia"/>
                <w:kern w:val="0"/>
                <w:sz w:val="24"/>
              </w:rPr>
              <w:t>满意度</w:t>
            </w:r>
          </w:p>
          <w:p w:rsidR="00FA3533" w:rsidRDefault="00390FD9">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rsidR="00FA3533" w:rsidRDefault="00390FD9">
            <w:pPr>
              <w:widowControl/>
              <w:spacing w:line="240" w:lineRule="exact"/>
              <w:jc w:val="left"/>
              <w:rPr>
                <w:rFonts w:ascii="Times New Roman" w:eastAsia="仿宋_GB2312" w:cs="Times New Roman"/>
                <w:color w:val="000000"/>
                <w:kern w:val="0"/>
                <w:sz w:val="24"/>
                <w:szCs w:val="24"/>
              </w:rPr>
            </w:pPr>
            <w:r>
              <w:rPr>
                <w:rFonts w:eastAsia="仿宋_GB2312" w:hint="eastAsia"/>
                <w:color w:val="000000"/>
                <w:kern w:val="0"/>
                <w:sz w:val="24"/>
              </w:rPr>
              <w:t>服务对象满意度</w:t>
            </w:r>
          </w:p>
        </w:tc>
        <w:tc>
          <w:tcPr>
            <w:tcW w:w="1021" w:type="dxa"/>
            <w:gridSpan w:val="2"/>
            <w:tcBorders>
              <w:top w:val="single" w:sz="4" w:space="0" w:color="auto"/>
              <w:left w:val="nil"/>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服务对象满意</w:t>
            </w:r>
          </w:p>
        </w:tc>
        <w:tc>
          <w:tcPr>
            <w:tcW w:w="927" w:type="dxa"/>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ascii="Times New Roman" w:eastAsia="仿宋_GB2312" w:cs="Times New Roman"/>
                <w:kern w:val="0"/>
                <w:sz w:val="24"/>
                <w:szCs w:val="24"/>
              </w:rPr>
            </w:pPr>
            <w:r>
              <w:rPr>
                <w:rFonts w:eastAsia="仿宋_GB2312" w:cs="Times New Roman" w:hint="eastAsia"/>
                <w:kern w:val="0"/>
                <w:sz w:val="24"/>
                <w:szCs w:val="24"/>
              </w:rPr>
              <w:t>满意</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r w:rsidR="00FA3533">
        <w:tc>
          <w:tcPr>
            <w:tcW w:w="6327" w:type="dxa"/>
            <w:gridSpan w:val="8"/>
            <w:tcBorders>
              <w:top w:val="single" w:sz="4" w:space="0" w:color="auto"/>
              <w:left w:val="single" w:sz="4" w:space="0" w:color="auto"/>
              <w:bottom w:val="single" w:sz="4" w:space="0" w:color="auto"/>
              <w:right w:val="single" w:sz="4" w:space="0" w:color="auto"/>
            </w:tcBorders>
            <w:noWrap/>
            <w:vAlign w:val="center"/>
          </w:tcPr>
          <w:p w:rsidR="00FA3533" w:rsidRDefault="00390FD9">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FA3533" w:rsidRDefault="00390FD9">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FA3533" w:rsidRDefault="00FA3533">
            <w:pPr>
              <w:widowControl/>
              <w:spacing w:line="240" w:lineRule="exact"/>
              <w:jc w:val="center"/>
              <w:rPr>
                <w:rFonts w:eastAsia="仿宋_GB2312"/>
                <w:kern w:val="0"/>
                <w:sz w:val="24"/>
              </w:rPr>
            </w:pPr>
          </w:p>
        </w:tc>
      </w:tr>
    </w:tbl>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rFonts w:ascii="Times New Roman" w:cs="Times New Roman"/>
          <w:color w:val="000000"/>
        </w:rPr>
      </w:pPr>
    </w:p>
    <w:p w:rsidR="00FA3533" w:rsidRDefault="00FA3533">
      <w:pPr>
        <w:rPr>
          <w:color w:val="000000"/>
        </w:rPr>
      </w:pPr>
    </w:p>
    <w:p w:rsidR="00FA3533" w:rsidRDefault="00FA3533">
      <w:pPr>
        <w:rPr>
          <w:color w:val="000000"/>
        </w:rPr>
      </w:pPr>
    </w:p>
    <w:p w:rsidR="00FA3533" w:rsidRDefault="00340E0D">
      <w:pPr>
        <w:rPr>
          <w:color w:val="000000"/>
        </w:rPr>
      </w:pPr>
      <w:r w:rsidRPr="00340E0D">
        <w:lastRenderedPageBreak/>
        <w:pict>
          <v:rect id="矩形 48" o:spid="_x0000_s1026" style="position:absolute;left:0;text-align:left;margin-left:-89.25pt;margin-top:8.35pt;width:613.85pt;height:841.15pt;z-index:251662848;mso-wrap-distance-left:3.17494mm;mso-wrap-distance-right:3.17494mm" fillcolor="#ffc000" stroked="f"/>
        </w:pict>
      </w:r>
    </w:p>
    <w:p w:rsidR="00FA3533" w:rsidRDefault="00FA3533">
      <w:pPr>
        <w:rPr>
          <w:color w:val="000000"/>
        </w:rPr>
      </w:pPr>
    </w:p>
    <w:p w:rsidR="00FA3533" w:rsidRDefault="00FA3533">
      <w:pPr>
        <w:rPr>
          <w:color w:val="000000"/>
        </w:rPr>
      </w:pPr>
    </w:p>
    <w:p w:rsidR="00FA3533" w:rsidRDefault="00FA3533">
      <w:pPr>
        <w:rPr>
          <w:color w:val="000000"/>
        </w:rPr>
      </w:pPr>
    </w:p>
    <w:sectPr w:rsidR="00FA3533" w:rsidSect="00FA35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EF" w:rsidRDefault="001E24EF" w:rsidP="00FA3533">
      <w:r>
        <w:separator/>
      </w:r>
    </w:p>
  </w:endnote>
  <w:endnote w:type="continuationSeparator" w:id="1">
    <w:p w:rsidR="001E24EF" w:rsidRDefault="001E24EF" w:rsidP="00FA3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思源黑体 HW Bold">
    <w:altName w:val="黑体"/>
    <w:charset w:val="86"/>
    <w:family w:val="swiss"/>
    <w:pitch w:val="default"/>
    <w:sig w:usb0="00000000" w:usb1="00000000" w:usb2="00000016" w:usb3="00000000" w:csb0="002E0107" w:csb1="00000000"/>
  </w:font>
  <w:font w:name="等线 Light">
    <w:altName w:val="宋体"/>
    <w:charset w:val="86"/>
    <w:family w:val="auto"/>
    <w:pitch w:val="default"/>
    <w:sig w:usb0="00000000" w:usb1="00000000" w:usb2="00000016" w:usb3="00000000" w:csb0="0004000F" w:csb1="00000000"/>
  </w:font>
  <w:font w:name="楷体_GB2312">
    <w:altName w:val="楷体"/>
    <w:charset w:val="86"/>
    <w:family w:val="modern"/>
    <w:pitch w:val="fixed"/>
    <w:sig w:usb0="00000001" w:usb1="080E0000" w:usb2="00000010" w:usb3="00000000" w:csb0="00040000" w:csb1="00000000"/>
  </w:font>
  <w:font w:name="Yu Gothic UI Semibold">
    <w:altName w:val="MS Mincho"/>
    <w:charset w:val="80"/>
    <w:family w:val="swiss"/>
    <w:pitch w:val="default"/>
    <w:sig w:usb0="00000000" w:usb1="00000000" w:usb2="00000016" w:usb3="00000000" w:csb0="2002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ArialUnicodeMS">
    <w:altName w:val="Malgun Gothic"/>
    <w:charset w:val="81"/>
    <w:family w:val="auto"/>
    <w:pitch w:val="default"/>
    <w:sig w:usb0="00000000" w:usb1="00000000" w:usb2="00000010" w:usb3="00000000" w:csb0="0008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A5" w:rsidRDefault="00643D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A5" w:rsidRDefault="00643DA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A5" w:rsidRDefault="00643DA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EF" w:rsidRDefault="001E24EF" w:rsidP="00FA3533">
      <w:r>
        <w:separator/>
      </w:r>
    </w:p>
  </w:footnote>
  <w:footnote w:type="continuationSeparator" w:id="1">
    <w:p w:rsidR="001E24EF" w:rsidRDefault="001E24EF" w:rsidP="00FA3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A5" w:rsidRDefault="00643DA5">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A5" w:rsidRDefault="00643DA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A5" w:rsidRDefault="00643DA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33" w:rsidRDefault="00FA35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5D9B1"/>
    <w:multiLevelType w:val="singleLevel"/>
    <w:tmpl w:val="8CF5D9B1"/>
    <w:lvl w:ilvl="0">
      <w:start w:val="2"/>
      <w:numFmt w:val="chineseCounting"/>
      <w:lvlRestart w:val="0"/>
      <w:suff w:val="nothing"/>
      <w:lvlText w:val="%1、"/>
      <w:lvlJc w:val="left"/>
      <w:pPr>
        <w:tabs>
          <w:tab w:val="num" w:pos="0"/>
        </w:tabs>
        <w:ind w:left="0" w:firstLine="0"/>
      </w:pPr>
      <w:rPr>
        <w:rFonts w:cs="Times New Roman" w:hint="eastAsia"/>
      </w:rPr>
    </w:lvl>
  </w:abstractNum>
  <w:abstractNum w:abstractNumId="1">
    <w:nsid w:val="BED8A960"/>
    <w:multiLevelType w:val="singleLevel"/>
    <w:tmpl w:val="BED8A960"/>
    <w:lvl w:ilvl="0">
      <w:start w:val="4"/>
      <w:numFmt w:val="chineseCounting"/>
      <w:lvlRestart w:val="0"/>
      <w:suff w:val="nothing"/>
      <w:lvlText w:val="%1、"/>
      <w:lvlJc w:val="left"/>
      <w:pPr>
        <w:tabs>
          <w:tab w:val="num" w:pos="0"/>
        </w:tabs>
        <w:ind w:left="0" w:firstLine="0"/>
      </w:pPr>
      <w:rPr>
        <w:rFonts w:cs="Times New Roman" w:hint="eastAsia"/>
      </w:rPr>
    </w:lvl>
  </w:abstractNum>
  <w:abstractNum w:abstractNumId="2">
    <w:nsid w:val="10D01CD3"/>
    <w:multiLevelType w:val="singleLevel"/>
    <w:tmpl w:val="10D01CD3"/>
    <w:lvl w:ilvl="0">
      <w:start w:val="2"/>
      <w:numFmt w:val="chineseCounting"/>
      <w:lvlRestart w:val="0"/>
      <w:suff w:val="nothing"/>
      <w:lvlText w:val="（%1）"/>
      <w:lvlJc w:val="left"/>
      <w:pPr>
        <w:tabs>
          <w:tab w:val="num" w:pos="0"/>
        </w:tabs>
        <w:ind w:left="0" w:firstLine="0"/>
      </w:pPr>
      <w:rPr>
        <w:rFonts w:cs="Times New Roman" w:hint="eastAsia"/>
      </w:rPr>
    </w:lvl>
  </w:abstractNum>
  <w:abstractNum w:abstractNumId="3">
    <w:nsid w:val="45DB9A87"/>
    <w:multiLevelType w:val="singleLevel"/>
    <w:tmpl w:val="45DB9A87"/>
    <w:lvl w:ilvl="0">
      <w:start w:val="3"/>
      <w:numFmt w:val="chineseCounting"/>
      <w:lvlRestart w:val="0"/>
      <w:suff w:val="nothing"/>
      <w:lvlText w:val="（%1）"/>
      <w:lvlJc w:val="left"/>
      <w:pPr>
        <w:tabs>
          <w:tab w:val="num" w:pos="0"/>
        </w:tabs>
        <w:ind w:left="0" w:firstLine="0"/>
      </w:pPr>
      <w:rPr>
        <w:rFonts w:cs="Times New Roman" w:hint="eastAsia"/>
      </w:rPr>
    </w:lvl>
  </w:abstractNum>
  <w:abstractNum w:abstractNumId="4">
    <w:nsid w:val="5B048197"/>
    <w:multiLevelType w:val="singleLevel"/>
    <w:tmpl w:val="5B048197"/>
    <w:lvl w:ilvl="0">
      <w:start w:val="5"/>
      <w:numFmt w:val="chineseCounting"/>
      <w:lvlRestart w:val="0"/>
      <w:suff w:val="nothing"/>
      <w:lvlText w:val="%1、"/>
      <w:lvlJc w:val="left"/>
      <w:pPr>
        <w:tabs>
          <w:tab w:val="num" w:pos="0"/>
        </w:tabs>
        <w:ind w:left="0" w:firstLine="0"/>
      </w:pPr>
      <w:rPr>
        <w:rFonts w:cs="Times New Roman"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0"/>
  <w:noPunctuationKerning/>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splitPgBreakAndParaMark/>
  </w:compat>
  <w:rsids>
    <w:rsidRoot w:val="00FA3533"/>
    <w:rsid w:val="001E24EF"/>
    <w:rsid w:val="002A50E7"/>
    <w:rsid w:val="00340E0D"/>
    <w:rsid w:val="00390FD9"/>
    <w:rsid w:val="003A37AD"/>
    <w:rsid w:val="004859C5"/>
    <w:rsid w:val="004B7AF3"/>
    <w:rsid w:val="00643DA5"/>
    <w:rsid w:val="007A5718"/>
    <w:rsid w:val="00A46F52"/>
    <w:rsid w:val="00A85460"/>
    <w:rsid w:val="00B1721D"/>
    <w:rsid w:val="00C015AC"/>
    <w:rsid w:val="00CC1796"/>
    <w:rsid w:val="00D939E2"/>
    <w:rsid w:val="00F53B57"/>
    <w:rsid w:val="00FA3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3533"/>
    <w:pPr>
      <w:widowControl w:val="0"/>
      <w:jc w:val="both"/>
    </w:pPr>
    <w:rPr>
      <w:rFonts w:ascii="等线" w:eastAsia="等线" w:cs="Arial"/>
      <w:kern w:val="2"/>
      <w:sz w:val="21"/>
      <w:szCs w:val="22"/>
    </w:rPr>
  </w:style>
  <w:style w:type="paragraph" w:styleId="1">
    <w:name w:val="heading 1"/>
    <w:basedOn w:val="a"/>
    <w:next w:val="a"/>
    <w:rsid w:val="00FA3533"/>
    <w:pPr>
      <w:keepNext/>
      <w:keepLines/>
      <w:spacing w:before="340" w:after="330" w:line="578" w:lineRule="auto"/>
      <w:outlineLvl w:val="0"/>
    </w:pPr>
    <w:rPr>
      <w:b/>
      <w:bCs/>
      <w:kern w:val="44"/>
      <w:sz w:val="44"/>
      <w:szCs w:val="44"/>
    </w:rPr>
  </w:style>
  <w:style w:type="paragraph" w:styleId="3">
    <w:name w:val="heading 3"/>
    <w:basedOn w:val="a"/>
    <w:next w:val="a"/>
    <w:rsid w:val="00FA353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FA3533"/>
    <w:pPr>
      <w:shd w:val="clear" w:color="auto" w:fill="000080"/>
    </w:pPr>
  </w:style>
  <w:style w:type="paragraph" w:styleId="a4">
    <w:name w:val="annotation text"/>
    <w:basedOn w:val="a"/>
    <w:rsid w:val="00FA3533"/>
    <w:pPr>
      <w:jc w:val="left"/>
    </w:pPr>
  </w:style>
  <w:style w:type="paragraph" w:styleId="a5">
    <w:name w:val="Body Text"/>
    <w:basedOn w:val="a"/>
    <w:rsid w:val="00FA3533"/>
    <w:rPr>
      <w:rFonts w:ascii="仿宋_GB2312" w:eastAsia="仿宋_GB2312" w:cs="仿宋_GB2312"/>
      <w:sz w:val="32"/>
      <w:szCs w:val="32"/>
      <w:lang w:val="zh-CN"/>
    </w:rPr>
  </w:style>
  <w:style w:type="paragraph" w:styleId="a6">
    <w:name w:val="Balloon Text"/>
    <w:basedOn w:val="a"/>
    <w:rsid w:val="00FA3533"/>
    <w:rPr>
      <w:sz w:val="18"/>
      <w:szCs w:val="18"/>
    </w:rPr>
  </w:style>
  <w:style w:type="paragraph" w:styleId="a7">
    <w:name w:val="footer"/>
    <w:basedOn w:val="a"/>
    <w:rsid w:val="00FA3533"/>
    <w:pPr>
      <w:tabs>
        <w:tab w:val="center" w:pos="4153"/>
        <w:tab w:val="right" w:pos="8306"/>
      </w:tabs>
      <w:snapToGrid w:val="0"/>
      <w:jc w:val="left"/>
    </w:pPr>
    <w:rPr>
      <w:sz w:val="18"/>
      <w:szCs w:val="18"/>
    </w:rPr>
  </w:style>
  <w:style w:type="paragraph" w:styleId="a8">
    <w:name w:val="header"/>
    <w:basedOn w:val="a"/>
    <w:rsid w:val="00FA3533"/>
    <w:pPr>
      <w:tabs>
        <w:tab w:val="center" w:pos="4153"/>
        <w:tab w:val="right" w:pos="8306"/>
      </w:tabs>
      <w:snapToGrid w:val="0"/>
      <w:jc w:val="center"/>
    </w:pPr>
    <w:rPr>
      <w:sz w:val="18"/>
      <w:szCs w:val="18"/>
    </w:rPr>
  </w:style>
  <w:style w:type="paragraph" w:styleId="a9">
    <w:name w:val="annotation subject"/>
    <w:basedOn w:val="a4"/>
    <w:next w:val="a4"/>
    <w:rsid w:val="00FA3533"/>
    <w:rPr>
      <w:b/>
      <w:bCs/>
    </w:rPr>
  </w:style>
  <w:style w:type="character" w:styleId="aa">
    <w:name w:val="annotation reference"/>
    <w:basedOn w:val="a0"/>
    <w:rsid w:val="00FA3533"/>
    <w:rPr>
      <w:rFonts w:cs="Times New Roman"/>
      <w:sz w:val="21"/>
      <w:szCs w:val="21"/>
    </w:rPr>
  </w:style>
  <w:style w:type="paragraph" w:customStyle="1" w:styleId="10">
    <w:name w:val="列出段落1"/>
    <w:basedOn w:val="a"/>
    <w:rsid w:val="00FA3533"/>
    <w:pPr>
      <w:spacing w:before="2"/>
      <w:ind w:left="119" w:right="434" w:firstLine="643"/>
    </w:pPr>
    <w:rPr>
      <w:rFonts w:ascii="仿宋_GB2312" w:eastAsia="仿宋_GB2312" w:cs="仿宋_GB2312"/>
      <w:lang w:val="zh-CN"/>
    </w:rPr>
  </w:style>
  <w:style w:type="character" w:customStyle="1" w:styleId="font11">
    <w:name w:val="font11"/>
    <w:rsid w:val="00FA3533"/>
    <w:rPr>
      <w:rFonts w:ascii="仿宋_GB2312" w:eastAsia="仿宋_GB2312"/>
      <w:color w:val="000000"/>
      <w:sz w:val="18"/>
      <w:u w:val="none"/>
    </w:rPr>
  </w:style>
  <w:style w:type="character" w:customStyle="1" w:styleId="font112">
    <w:name w:val="font112"/>
    <w:rsid w:val="00FA3533"/>
    <w:rPr>
      <w:rFonts w:ascii="宋体" w:eastAsia="宋体"/>
      <w:color w:val="000000"/>
      <w:sz w:val="18"/>
      <w:u w:val="none"/>
    </w:rPr>
  </w:style>
  <w:style w:type="character" w:customStyle="1" w:styleId="font141">
    <w:name w:val="font141"/>
    <w:rsid w:val="00FA3533"/>
    <w:rPr>
      <w:rFonts w:ascii="Times New Roman" w:hAnsi="Times New Roman"/>
      <w:color w:val="000000"/>
      <w:sz w:val="18"/>
      <w:u w:val="none"/>
    </w:rPr>
  </w:style>
  <w:style w:type="paragraph" w:customStyle="1" w:styleId="2">
    <w:name w:val="列出段落2"/>
    <w:basedOn w:val="a"/>
    <w:rsid w:val="00FA3533"/>
    <w:pPr>
      <w:ind w:firstLineChars="200" w:firstLine="200"/>
    </w:pPr>
  </w:style>
  <w:style w:type="character" w:customStyle="1" w:styleId="font171">
    <w:name w:val="font171"/>
    <w:basedOn w:val="a0"/>
    <w:rsid w:val="00FA3533"/>
    <w:rPr>
      <w:rFonts w:ascii="仿宋_GB2312" w:eastAsia="仿宋_GB2312" w:cs="仿宋_GB2312"/>
      <w:color w:val="000000"/>
      <w:sz w:val="18"/>
      <w:szCs w:val="18"/>
      <w:u w:val="none"/>
    </w:rPr>
  </w:style>
  <w:style w:type="character" w:customStyle="1" w:styleId="font51">
    <w:name w:val="font51"/>
    <w:basedOn w:val="a0"/>
    <w:rsid w:val="00FA3533"/>
    <w:rPr>
      <w:rFonts w:ascii="Times New Roman" w:hAnsi="Times New Roman" w:cs="Times New Roman"/>
      <w:color w:val="000000"/>
      <w:sz w:val="18"/>
      <w:szCs w:val="18"/>
      <w:u w:val="none"/>
    </w:rPr>
  </w:style>
  <w:style w:type="character" w:customStyle="1" w:styleId="font161">
    <w:name w:val="font161"/>
    <w:basedOn w:val="a0"/>
    <w:rsid w:val="00FA3533"/>
    <w:rPr>
      <w:rFonts w:ascii="宋体" w:eastAsia="宋体" w:cs="宋体"/>
      <w:color w:val="000000"/>
      <w:sz w:val="18"/>
      <w:szCs w:val="18"/>
      <w:u w:val="none"/>
    </w:rPr>
  </w:style>
  <w:style w:type="character" w:customStyle="1" w:styleId="font81">
    <w:name w:val="font81"/>
    <w:basedOn w:val="a0"/>
    <w:rsid w:val="00FA3533"/>
    <w:rPr>
      <w:rFonts w:ascii="Times New Roman" w:hAnsi="Times New Roman" w:cs="Times New Roman"/>
      <w:color w:val="000000"/>
      <w:sz w:val="21"/>
      <w:szCs w:val="21"/>
      <w:u w:val="none"/>
    </w:rPr>
  </w:style>
  <w:style w:type="character" w:customStyle="1" w:styleId="font121">
    <w:name w:val="font121"/>
    <w:basedOn w:val="a0"/>
    <w:rsid w:val="00FA3533"/>
    <w:rPr>
      <w:rFonts w:ascii="Times New Roman" w:hAnsi="Times New Roman" w:cs="Times New Roman"/>
      <w:color w:val="000000"/>
      <w:sz w:val="20"/>
      <w:szCs w:val="20"/>
      <w:u w:val="none"/>
    </w:rPr>
  </w:style>
  <w:style w:type="character" w:customStyle="1" w:styleId="font131">
    <w:name w:val="font131"/>
    <w:basedOn w:val="a0"/>
    <w:rsid w:val="00FA3533"/>
    <w:rPr>
      <w:rFonts w:ascii="宋体" w:eastAsia="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2748</Words>
  <Characters>15667</Characters>
  <Application>Microsoft Office Word</Application>
  <DocSecurity>0</DocSecurity>
  <Lines>130</Lines>
  <Paragraphs>36</Paragraphs>
  <ScaleCrop>false</ScaleCrop>
  <Company>Microsoft</Company>
  <LinksUpToDate>false</LinksUpToDate>
  <CharactersWithSpaces>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lc</cp:lastModifiedBy>
  <cp:revision>4</cp:revision>
  <cp:lastPrinted>2020-07-30T02:37:00Z</cp:lastPrinted>
  <dcterms:created xsi:type="dcterms:W3CDTF">2021-06-22T02:08:00Z</dcterms:created>
  <dcterms:modified xsi:type="dcterms:W3CDTF">2021-06-22T02:19:00Z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F654DFAA7017431A893493EAA66A8D93</vt:lpwstr>
  </property>
</Properties>
</file>