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F6197A" w:rsidRDefault="00F6197A">
      <w:pPr>
        <w:widowControl/>
        <w:jc w:val="center"/>
        <w:rPr>
          <w:rFonts w:ascii="黑体" w:eastAsia="黑体"/>
          <w:color w:val="002060"/>
          <w:sz w:val="72"/>
          <w:szCs w:val="72"/>
        </w:rPr>
      </w:pPr>
    </w:p>
    <w:p w:rsidR="00F6197A" w:rsidRDefault="00F6197A">
      <w:pPr>
        <w:widowControl/>
        <w:jc w:val="center"/>
        <w:rPr>
          <w:rFonts w:ascii="黑体" w:eastAsia="黑体"/>
          <w:b/>
          <w:sz w:val="72"/>
          <w:szCs w:val="72"/>
        </w:rPr>
      </w:pPr>
    </w:p>
    <w:p w:rsidR="00F6197A" w:rsidRDefault="00F6197A">
      <w:pPr>
        <w:widowControl/>
        <w:jc w:val="center"/>
        <w:rPr>
          <w:rFonts w:ascii="黑体" w:eastAsia="黑体"/>
          <w:b/>
          <w:sz w:val="72"/>
          <w:szCs w:val="72"/>
        </w:rPr>
      </w:pPr>
    </w:p>
    <w:p w:rsidR="00F6197A" w:rsidRDefault="00F6197A">
      <w:pPr>
        <w:widowControl/>
        <w:jc w:val="center"/>
        <w:rPr>
          <w:rFonts w:ascii="黑体" w:eastAsia="黑体"/>
          <w:b/>
          <w:sz w:val="72"/>
          <w:szCs w:val="72"/>
        </w:rPr>
      </w:pPr>
    </w:p>
    <w:p w:rsidR="00F6197A" w:rsidRDefault="00F6197A">
      <w:pPr>
        <w:widowControl/>
        <w:jc w:val="center"/>
        <w:rPr>
          <w:rFonts w:ascii="黑体" w:eastAsia="黑体"/>
          <w:b/>
          <w:sz w:val="72"/>
          <w:szCs w:val="72"/>
        </w:rPr>
      </w:pPr>
    </w:p>
    <w:p w:rsidR="00F6197A" w:rsidRDefault="00F6197A">
      <w:pPr>
        <w:widowControl/>
        <w:jc w:val="center"/>
        <w:rPr>
          <w:rFonts w:ascii="黑体" w:eastAsia="黑体"/>
          <w:b/>
          <w:sz w:val="72"/>
          <w:szCs w:val="72"/>
        </w:rPr>
      </w:pPr>
    </w:p>
    <w:p w:rsidR="00F6197A" w:rsidRDefault="00F6197A">
      <w:pPr>
        <w:jc w:val="center"/>
      </w:pPr>
      <w:r>
        <w:rPr>
          <w:rFonts w:hint="eastAsia"/>
          <w:b/>
          <w:sz w:val="44"/>
          <w:szCs w:val="44"/>
        </w:rPr>
        <w:t>廊坊市广阳区人民法院</w:t>
      </w:r>
    </w:p>
    <w:p w:rsidR="00F6197A" w:rsidRDefault="00F6197A"/>
    <w:p w:rsidR="00F6197A" w:rsidRDefault="00F6197A"/>
    <w:p w:rsidR="00F6197A" w:rsidRDefault="00F6197A"/>
    <w:p w:rsidR="00F6197A" w:rsidRDefault="00F6197A"/>
    <w:p w:rsidR="00F6197A" w:rsidRDefault="00F6197A">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 w:rsidR="00F6197A" w:rsidRDefault="00F6197A">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F6197A" w:rsidRDefault="00F6197A">
      <w:pPr>
        <w:widowControl/>
        <w:ind w:firstLineChars="200" w:firstLine="640"/>
        <w:jc w:val="left"/>
        <w:rPr>
          <w:rFonts w:ascii="仿宋_GB2312" w:eastAsia="仿宋_GB2312"/>
          <w:color w:val="000000"/>
          <w:kern w:val="0"/>
          <w:sz w:val="32"/>
          <w:szCs w:val="32"/>
        </w:rPr>
      </w:pPr>
      <w:r>
        <w:rPr>
          <w:rFonts w:ascii="仿宋_GB2312" w:eastAsia="仿宋_GB2312" w:cs="仿宋_GB2312" w:hint="eastAsia"/>
          <w:color w:val="000000"/>
          <w:kern w:val="0"/>
          <w:sz w:val="32"/>
          <w:szCs w:val="32"/>
        </w:rPr>
        <w:t>广阳区人民法院是国家的审判机关，在区委领导下，依法独立行使审判权，对区人民代表大会及其常务委员会负责并报告工作。主要职责是：</w:t>
      </w:r>
    </w:p>
    <w:p w:rsidR="00F6197A" w:rsidRDefault="00F6197A">
      <w:pPr>
        <w:widowControl/>
        <w:ind w:firstLineChars="200" w:firstLine="640"/>
        <w:jc w:val="left"/>
        <w:rPr>
          <w:rFonts w:ascii="仿宋_GB2312" w:eastAsia="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）审判法律规定由基层人民法院管辖的刑事、民事、行政等一审案件。</w:t>
      </w:r>
    </w:p>
    <w:p w:rsidR="00F6197A" w:rsidRDefault="00F6197A">
      <w:pPr>
        <w:widowControl/>
        <w:ind w:firstLineChars="200" w:firstLine="640"/>
        <w:jc w:val="left"/>
        <w:rPr>
          <w:rFonts w:ascii="仿宋_GB2312" w:eastAsia="仿宋_GB2312"/>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）审判上级人民法院指定、同级人民法院移送的刑事、民事、行政等一审案件。</w:t>
      </w:r>
    </w:p>
    <w:p w:rsidR="00F6197A" w:rsidRDefault="00F6197A">
      <w:pPr>
        <w:widowControl/>
        <w:spacing w:line="360" w:lineRule="atLeast"/>
        <w:ind w:firstLineChars="200" w:firstLine="640"/>
        <w:jc w:val="left"/>
        <w:rPr>
          <w:rFonts w:ascii="仿宋_GB2312" w:eastAsia="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）审查和受理各类告诉申诉案件，审判各类再审案件，处理来信来访。</w:t>
      </w:r>
    </w:p>
    <w:p w:rsidR="00F6197A" w:rsidRDefault="00F6197A">
      <w:pPr>
        <w:widowControl/>
        <w:spacing w:line="360" w:lineRule="atLeast"/>
        <w:ind w:firstLineChars="200" w:firstLine="640"/>
        <w:jc w:val="left"/>
        <w:rPr>
          <w:rFonts w:ascii="仿宋_GB2312" w:eastAsia="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）依法办理发生法律效力的民事、行政案件判决和裁定执行事项及刑事案件判决和裁定中关于财产部分的执行事项；办理法律规定由基层人民法院执行的其他法律文书的执行事项。</w:t>
      </w:r>
    </w:p>
    <w:p w:rsidR="00F6197A" w:rsidRDefault="00F6197A">
      <w:pPr>
        <w:widowControl/>
        <w:spacing w:line="360" w:lineRule="atLeast"/>
        <w:ind w:firstLineChars="200" w:firstLine="640"/>
        <w:jc w:val="left"/>
        <w:rPr>
          <w:rFonts w:ascii="仿宋_GB2312" w:eastAsia="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）负责本院审判工作的调查研究，总结审判工作经验。</w:t>
      </w:r>
    </w:p>
    <w:p w:rsidR="00F6197A" w:rsidRDefault="00F6197A">
      <w:pPr>
        <w:widowControl/>
        <w:spacing w:line="360" w:lineRule="atLeas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）负责本院干警思想政治教育和业务培训工作；按照权限管理法官、执行员、书记员、司法警察、司法鉴定人员及司法行政人员；协同上级法院及区主管部门管理全院的机构设置、人员编制工作。</w:t>
      </w:r>
    </w:p>
    <w:p w:rsidR="00F6197A" w:rsidRDefault="00F6197A">
      <w:pPr>
        <w:widowControl/>
        <w:spacing w:line="360" w:lineRule="atLeast"/>
        <w:ind w:leftChars="304" w:left="638"/>
        <w:jc w:val="left"/>
        <w:rPr>
          <w:rFonts w:ascii="仿宋_GB2312" w:eastAsia="仿宋_GB2312"/>
          <w:color w:val="000000"/>
          <w:kern w:val="0"/>
          <w:sz w:val="32"/>
          <w:szCs w:val="32"/>
        </w:rPr>
      </w:pPr>
      <w:r>
        <w:rPr>
          <w:rFonts w:ascii="仿宋_GB2312" w:eastAsia="仿宋_GB2312" w:cs="仿宋_GB2312" w:hint="eastAsia"/>
          <w:color w:val="000000"/>
          <w:kern w:val="0"/>
          <w:sz w:val="32"/>
          <w:szCs w:val="32"/>
        </w:rPr>
        <w:lastRenderedPageBreak/>
        <w:t>（</w:t>
      </w: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）负责本院的法医工作。</w:t>
      </w:r>
      <w:r>
        <w:rPr>
          <w:rFonts w:ascii="仿宋_GB2312" w:eastAsia="仿宋_GB2312"/>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8</w:t>
      </w:r>
      <w:r>
        <w:rPr>
          <w:rFonts w:ascii="仿宋_GB2312" w:eastAsia="仿宋_GB2312" w:cs="仿宋_GB2312" w:hint="eastAsia"/>
          <w:color w:val="000000"/>
          <w:kern w:val="0"/>
          <w:sz w:val="32"/>
          <w:szCs w:val="32"/>
        </w:rPr>
        <w:t>）领导本院的监察工作。</w:t>
      </w:r>
      <w:r>
        <w:rPr>
          <w:rFonts w:ascii="仿宋_GB2312" w:eastAsia="仿宋_GB2312"/>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9</w:t>
      </w:r>
      <w:r>
        <w:rPr>
          <w:rFonts w:ascii="仿宋_GB2312" w:eastAsia="仿宋_GB2312" w:cs="仿宋_GB2312" w:hint="eastAsia"/>
          <w:color w:val="000000"/>
          <w:kern w:val="0"/>
          <w:sz w:val="32"/>
          <w:szCs w:val="32"/>
        </w:rPr>
        <w:t>）管理本院的有关经费及物资装备。</w:t>
      </w:r>
    </w:p>
    <w:p w:rsidR="00F6197A" w:rsidRDefault="00F6197A">
      <w:pPr>
        <w:widowControl/>
        <w:spacing w:line="360" w:lineRule="atLeas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）在审判工作中宣传法制，教育公民忠于社会主义祖国，自觉遵守宪法、法律和社会公德。</w:t>
      </w:r>
      <w:r>
        <w:rPr>
          <w:rFonts w:ascii="仿宋_GB2312" w:eastAsia="仿宋_GB2312"/>
          <w:color w:val="000000"/>
          <w:kern w:val="0"/>
          <w:sz w:val="32"/>
          <w:szCs w:val="32"/>
        </w:rPr>
        <w:br/>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11</w:t>
      </w:r>
      <w:r>
        <w:rPr>
          <w:rFonts w:ascii="仿宋_GB2312" w:eastAsia="仿宋_GB2312" w:cs="仿宋_GB2312" w:hint="eastAsia"/>
          <w:color w:val="000000"/>
          <w:kern w:val="0"/>
          <w:sz w:val="32"/>
          <w:szCs w:val="32"/>
        </w:rPr>
        <w:t>）负责本院的党群工作。</w:t>
      </w:r>
      <w:r>
        <w:rPr>
          <w:rFonts w:ascii="仿宋_GB2312" w:eastAsia="仿宋_GB2312"/>
          <w:color w:val="000000"/>
          <w:kern w:val="0"/>
          <w:sz w:val="32"/>
          <w:szCs w:val="32"/>
        </w:rPr>
        <w:br/>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12</w:t>
      </w:r>
      <w:r>
        <w:rPr>
          <w:rFonts w:ascii="仿宋_GB2312" w:eastAsia="仿宋_GB2312" w:cs="仿宋_GB2312" w:hint="eastAsia"/>
          <w:color w:val="000000"/>
          <w:kern w:val="0"/>
          <w:sz w:val="32"/>
          <w:szCs w:val="32"/>
        </w:rPr>
        <w:t>）完成上级法院和区委、区人大交办的其他工作。</w:t>
      </w:r>
      <w:r>
        <w:rPr>
          <w:rFonts w:ascii="仿宋_GB2312" w:eastAsia="仿宋_GB2312"/>
          <w:color w:val="000000"/>
          <w:kern w:val="0"/>
          <w:sz w:val="32"/>
          <w:szCs w:val="32"/>
        </w:rPr>
        <w:br/>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13</w:t>
      </w:r>
      <w:r>
        <w:rPr>
          <w:rFonts w:ascii="仿宋_GB2312" w:eastAsia="仿宋_GB2312" w:cs="仿宋_GB2312" w:hint="eastAsia"/>
          <w:color w:val="000000"/>
          <w:kern w:val="0"/>
          <w:sz w:val="32"/>
          <w:szCs w:val="32"/>
        </w:rPr>
        <w:t>）承办其他应由基层人民法院负责的工作。</w:t>
      </w:r>
    </w:p>
    <w:p w:rsidR="00F6197A" w:rsidRDefault="00F6197A">
      <w:pPr>
        <w:widowControl/>
        <w:spacing w:line="360" w:lineRule="atLeast"/>
        <w:ind w:firstLineChars="200" w:firstLine="640"/>
        <w:jc w:val="left"/>
        <w:rPr>
          <w:rFonts w:ascii="仿宋_GB2312" w:eastAsia="仿宋_GB2312" w:cs="仿宋_GB2312"/>
          <w:color w:val="000000"/>
          <w:kern w:val="0"/>
          <w:sz w:val="32"/>
          <w:szCs w:val="32"/>
        </w:rPr>
      </w:pPr>
      <w:r>
        <w:rPr>
          <w:rFonts w:ascii="黑体" w:eastAsia="黑体" w:cs="黑体" w:hint="eastAsia"/>
          <w:kern w:val="0"/>
          <w:sz w:val="32"/>
          <w:szCs w:val="32"/>
        </w:rPr>
        <w:t>二、机构设置</w:t>
      </w:r>
    </w:p>
    <w:p w:rsidR="00F6197A" w:rsidRDefault="00F6197A">
      <w:pPr>
        <w:widowControl/>
        <w:spacing w:line="360" w:lineRule="atLeast"/>
        <w:ind w:firstLineChars="200" w:firstLine="640"/>
        <w:jc w:val="left"/>
        <w:rPr>
          <w:rFonts w:ascii="仿宋_GB2312" w:eastAsia="仿宋_GB2312" w:cs="仿宋_GB2312"/>
          <w:color w:val="000000"/>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4226"/>
        <w:gridCol w:w="2127"/>
        <w:gridCol w:w="2242"/>
      </w:tblGrid>
      <w:tr w:rsidR="00F6197A">
        <w:trPr>
          <w:trHeight w:val="811"/>
        </w:trPr>
        <w:tc>
          <w:tcPr>
            <w:tcW w:w="985" w:type="dxa"/>
            <w:tcBorders>
              <w:top w:val="single" w:sz="4" w:space="0" w:color="auto"/>
            </w:tcBorders>
            <w:vAlign w:val="center"/>
          </w:tcPr>
          <w:p w:rsidR="00F6197A" w:rsidRDefault="00F6197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4226" w:type="dxa"/>
            <w:tcBorders>
              <w:top w:val="single" w:sz="4" w:space="0" w:color="auto"/>
            </w:tcBorders>
            <w:vAlign w:val="center"/>
          </w:tcPr>
          <w:p w:rsidR="00F6197A" w:rsidRDefault="00F6197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127" w:type="dxa"/>
            <w:tcBorders>
              <w:top w:val="single" w:sz="4" w:space="0" w:color="auto"/>
            </w:tcBorders>
            <w:vAlign w:val="center"/>
          </w:tcPr>
          <w:p w:rsidR="00F6197A" w:rsidRDefault="00F6197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242" w:type="dxa"/>
            <w:tcBorders>
              <w:top w:val="single" w:sz="4" w:space="0" w:color="auto"/>
            </w:tcBorders>
            <w:vAlign w:val="center"/>
          </w:tcPr>
          <w:p w:rsidR="00F6197A" w:rsidRDefault="00F6197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F6197A">
        <w:trPr>
          <w:trHeight w:val="596"/>
        </w:trPr>
        <w:tc>
          <w:tcPr>
            <w:tcW w:w="985" w:type="dxa"/>
            <w:tcBorders>
              <w:bottom w:val="single" w:sz="4" w:space="0" w:color="auto"/>
            </w:tcBorders>
          </w:tcPr>
          <w:p w:rsidR="00F6197A" w:rsidRDefault="00F6197A">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4226" w:type="dxa"/>
            <w:tcBorders>
              <w:bottom w:val="single" w:sz="4" w:space="0" w:color="auto"/>
            </w:tcBorders>
          </w:tcPr>
          <w:p w:rsidR="00F6197A" w:rsidRDefault="00F6197A">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廊坊市广阳区人民法院</w:t>
            </w:r>
            <w:r>
              <w:rPr>
                <w:rFonts w:ascii="仿宋_GB2312" w:eastAsia="仿宋_GB2312" w:cs="ArialUnicodeMS"/>
                <w:kern w:val="0"/>
                <w:sz w:val="28"/>
                <w:szCs w:val="28"/>
              </w:rPr>
              <w:t>(</w:t>
            </w:r>
            <w:r>
              <w:rPr>
                <w:rFonts w:ascii="仿宋_GB2312" w:eastAsia="仿宋_GB2312" w:cs="ArialUnicodeMS" w:hint="eastAsia"/>
                <w:kern w:val="0"/>
                <w:sz w:val="28"/>
                <w:szCs w:val="28"/>
              </w:rPr>
              <w:t>本级</w:t>
            </w:r>
            <w:r>
              <w:rPr>
                <w:rFonts w:ascii="仿宋_GB2312" w:eastAsia="仿宋_GB2312" w:cs="ArialUnicodeMS"/>
                <w:kern w:val="0"/>
                <w:sz w:val="28"/>
                <w:szCs w:val="28"/>
              </w:rPr>
              <w:t>)</w:t>
            </w:r>
          </w:p>
        </w:tc>
        <w:tc>
          <w:tcPr>
            <w:tcW w:w="2127" w:type="dxa"/>
            <w:tcBorders>
              <w:bottom w:val="single" w:sz="4" w:space="0" w:color="auto"/>
            </w:tcBorders>
          </w:tcPr>
          <w:p w:rsidR="00F6197A" w:rsidRDefault="00F6197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242" w:type="dxa"/>
            <w:tcBorders>
              <w:bottom w:val="single" w:sz="4" w:space="0" w:color="auto"/>
            </w:tcBorders>
          </w:tcPr>
          <w:p w:rsidR="00F6197A" w:rsidRDefault="00F6197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bl>
    <w:p w:rsidR="00F6197A" w:rsidRDefault="00F6197A">
      <w:pPr>
        <w:widowControl/>
        <w:spacing w:line="560" w:lineRule="exact"/>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sectPr w:rsidR="00F6197A">
          <w:pgSz w:w="11906" w:h="16838"/>
          <w:pgMar w:top="2098" w:right="1474" w:bottom="1984" w:left="1588" w:header="851" w:footer="992" w:gutter="0"/>
          <w:cols w:space="720"/>
          <w:docGrid w:type="lines" w:linePitch="312"/>
        </w:sectPr>
      </w:pPr>
    </w:p>
    <w:p w:rsidR="00F6197A" w:rsidRDefault="00F6197A">
      <w:pPr>
        <w:widowControl/>
        <w:spacing w:line="1200" w:lineRule="exact"/>
        <w:jc w:val="center"/>
        <w:rPr>
          <w:rFonts w:ascii="黑体" w:eastAsia="黑体"/>
          <w:color w:val="000000"/>
          <w:sz w:val="72"/>
          <w:szCs w:val="96"/>
        </w:rPr>
      </w:pPr>
    </w:p>
    <w:p w:rsidR="00F6197A" w:rsidRDefault="00F6197A">
      <w:pPr>
        <w:widowControl/>
        <w:spacing w:line="1200" w:lineRule="exact"/>
        <w:rPr>
          <w:rFonts w:ascii="黑体" w:eastAsia="黑体"/>
          <w:color w:val="000000"/>
          <w:sz w:val="72"/>
          <w:szCs w:val="96"/>
        </w:rPr>
      </w:pPr>
    </w:p>
    <w:p w:rsidR="00F6197A" w:rsidRDefault="00F6197A">
      <w:pPr>
        <w:widowControl/>
        <w:spacing w:line="1200" w:lineRule="exact"/>
        <w:jc w:val="center"/>
        <w:rPr>
          <w:rFonts w:ascii="黑体" w:eastAsia="黑体"/>
          <w:color w:val="000000"/>
          <w:sz w:val="72"/>
          <w:szCs w:val="96"/>
        </w:rPr>
      </w:pPr>
    </w:p>
    <w:p w:rsidR="00F6197A" w:rsidRDefault="00F6197A">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F6197A" w:rsidRDefault="00F6197A">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60" w:lineRule="exact"/>
        <w:jc w:val="center"/>
        <w:rPr>
          <w:rFonts w:ascii="黑体" w:eastAsia="黑体" w:cs="MS-UIGothic,Bold"/>
          <w:bCs/>
          <w:kern w:val="0"/>
          <w:sz w:val="52"/>
          <w:szCs w:val="52"/>
        </w:rPr>
      </w:pPr>
    </w:p>
    <w:p w:rsidR="00F6197A" w:rsidRDefault="00F6197A">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F6197A" w:rsidRDefault="00F6197A">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F6197A" w:rsidRDefault="00F6197A">
      <w:pPr>
        <w:rPr>
          <w:rFonts w:ascii="宋体" w:cs="ArialUnicodeMS"/>
          <w:color w:val="000000"/>
          <w:kern w:val="0"/>
        </w:rPr>
      </w:pPr>
    </w:p>
    <w:p w:rsidR="00F6197A" w:rsidRDefault="00F6197A">
      <w:pPr>
        <w:tabs>
          <w:tab w:val="left" w:pos="1086"/>
        </w:tabs>
        <w:jc w:val="left"/>
        <w:rPr>
          <w:rFonts w:ascii="仿宋_GB2312" w:eastAsia="仿宋_GB2312"/>
          <w:b/>
          <w:sz w:val="28"/>
          <w:szCs w:val="28"/>
          <w:highlight w:val="yellow"/>
        </w:rPr>
        <w:sectPr w:rsidR="00F6197A">
          <w:pgSz w:w="11906" w:h="16838"/>
          <w:pgMar w:top="2098" w:right="1474" w:bottom="1984" w:left="1588" w:header="851" w:footer="992" w:gutter="0"/>
          <w:cols w:space="720"/>
          <w:docGrid w:type="lines" w:linePitch="312"/>
        </w:sectPr>
      </w:pPr>
      <w:r>
        <w:tab/>
      </w:r>
    </w:p>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F6197A" w:rsidRDefault="00F6197A">
      <w:pPr>
        <w:widowControl/>
        <w:spacing w:line="1200" w:lineRule="exact"/>
        <w:jc w:val="center"/>
        <w:rPr>
          <w:color w:val="000000"/>
          <w:sz w:val="72"/>
          <w:szCs w:val="72"/>
        </w:rPr>
      </w:pPr>
      <w:r>
        <w:rPr>
          <w:rFonts w:ascii="黑体" w:eastAsia="黑体" w:hint="eastAsia"/>
          <w:color w:val="000000"/>
          <w:sz w:val="72"/>
          <w:szCs w:val="72"/>
        </w:rPr>
        <w:t>部门决算情况说明</w:t>
      </w:r>
    </w:p>
    <w:p w:rsidR="00F6197A" w:rsidRDefault="00F6197A">
      <w:pPr>
        <w:rPr>
          <w:rFonts w:ascii="宋体" w:cs="ArialUnicodeMS"/>
          <w:color w:val="000000"/>
          <w:kern w:val="0"/>
        </w:rPr>
        <w:sectPr w:rsidR="00F6197A">
          <w:pgSz w:w="11906" w:h="16838"/>
          <w:pgMar w:top="2098" w:right="1474" w:bottom="1984" w:left="1588" w:header="851" w:footer="992" w:gutter="0"/>
          <w:cols w:space="720"/>
          <w:docGrid w:type="lines" w:linePitch="312"/>
        </w:sectPr>
      </w:pPr>
    </w:p>
    <w:p w:rsidR="00F6197A" w:rsidRDefault="00F6197A">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4822.77</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w:t>
      </w:r>
      <w:r w:rsidR="005A3CCE">
        <w:rPr>
          <w:rFonts w:ascii="仿宋_GB2312" w:eastAsia="仿宋_GB2312" w:cs="DengXian-Regular" w:hint="eastAsia"/>
          <w:sz w:val="32"/>
          <w:szCs w:val="32"/>
        </w:rPr>
        <w:t>支各</w:t>
      </w:r>
      <w:r>
        <w:rPr>
          <w:rFonts w:ascii="仿宋_GB2312" w:eastAsia="仿宋_GB2312" w:cs="DengXian-Regular" w:hint="eastAsia"/>
          <w:sz w:val="32"/>
          <w:szCs w:val="32"/>
        </w:rPr>
        <w:t>增加</w:t>
      </w:r>
      <w:r>
        <w:rPr>
          <w:rFonts w:ascii="仿宋_GB2312" w:eastAsia="仿宋_GB2312" w:cs="DengXian-Regular"/>
          <w:sz w:val="32"/>
          <w:szCs w:val="32"/>
        </w:rPr>
        <w:t>826.58</w:t>
      </w:r>
      <w:r>
        <w:rPr>
          <w:rFonts w:ascii="仿宋_GB2312" w:eastAsia="仿宋_GB2312" w:cs="DengXian-Regular" w:hint="eastAsia"/>
          <w:sz w:val="32"/>
          <w:szCs w:val="32"/>
        </w:rPr>
        <w:t>万元，增长</w:t>
      </w:r>
      <w:r>
        <w:rPr>
          <w:rFonts w:ascii="仿宋_GB2312" w:eastAsia="仿宋_GB2312" w:cs="DengXian-Regular"/>
          <w:sz w:val="32"/>
          <w:szCs w:val="32"/>
        </w:rPr>
        <w:t>20.68%</w:t>
      </w:r>
      <w:r>
        <w:rPr>
          <w:rFonts w:ascii="仿宋_GB2312" w:eastAsia="仿宋_GB2312" w:cs="DengXian-Regular" w:hint="eastAsia"/>
          <w:sz w:val="32"/>
          <w:szCs w:val="32"/>
        </w:rPr>
        <w:t>，主要原因是</w:t>
      </w:r>
      <w:r>
        <w:rPr>
          <w:rFonts w:ascii="仿宋_GB2312" w:eastAsia="仿宋_GB2312" w:cs="DengXian-Regular"/>
          <w:sz w:val="32"/>
          <w:szCs w:val="32"/>
        </w:rPr>
        <w:t>2018</w:t>
      </w:r>
      <w:r>
        <w:rPr>
          <w:rFonts w:ascii="仿宋_GB2312" w:eastAsia="仿宋_GB2312" w:cs="DengXian-Regular" w:hint="eastAsia"/>
          <w:sz w:val="32"/>
          <w:szCs w:val="32"/>
        </w:rPr>
        <w:t>年度用于偿还审判楼债务的结转结余资金和支出以及人员经费支出（</w:t>
      </w:r>
      <w:r>
        <w:rPr>
          <w:rFonts w:ascii="仿宋_GB2312" w:eastAsia="仿宋_GB2312" w:cs="DengXian-Regular"/>
          <w:sz w:val="32"/>
          <w:szCs w:val="32"/>
        </w:rPr>
        <w:t>2018</w:t>
      </w:r>
      <w:r>
        <w:rPr>
          <w:rFonts w:ascii="仿宋_GB2312" w:eastAsia="仿宋_GB2312" w:cs="DengXian-Regular" w:hint="eastAsia"/>
          <w:sz w:val="32"/>
          <w:szCs w:val="32"/>
        </w:rPr>
        <w:t>年新招录法官助理）。</w:t>
      </w:r>
    </w:p>
    <w:p w:rsidR="00F6197A" w:rsidRDefault="00F6197A">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F6197A" w:rsidRDefault="00F6197A">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3629.70</w:t>
      </w:r>
      <w:r>
        <w:rPr>
          <w:rFonts w:ascii="仿宋_GB2312" w:eastAsia="仿宋_GB2312" w:cs="DengXian-Regular" w:hint="eastAsia"/>
          <w:sz w:val="32"/>
          <w:szCs w:val="32"/>
        </w:rPr>
        <w:t>万元，其中：财政拨款收入</w:t>
      </w:r>
      <w:r>
        <w:rPr>
          <w:rFonts w:ascii="仿宋_GB2312" w:eastAsia="仿宋_GB2312" w:cs="DengXian-Regular"/>
          <w:sz w:val="32"/>
          <w:szCs w:val="32"/>
        </w:rPr>
        <w:t>3387.24</w:t>
      </w:r>
      <w:r>
        <w:rPr>
          <w:rFonts w:ascii="仿宋_GB2312" w:eastAsia="仿宋_GB2312" w:cs="DengXian-Regular" w:hint="eastAsia"/>
          <w:sz w:val="32"/>
          <w:szCs w:val="32"/>
        </w:rPr>
        <w:t>万元，占</w:t>
      </w:r>
      <w:r>
        <w:rPr>
          <w:rFonts w:ascii="仿宋_GB2312" w:eastAsia="仿宋_GB2312" w:cs="DengXian-Regular"/>
          <w:sz w:val="32"/>
          <w:szCs w:val="32"/>
        </w:rPr>
        <w:t>93.3%</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242.46</w:t>
      </w:r>
      <w:r>
        <w:rPr>
          <w:rFonts w:ascii="仿宋_GB2312" w:eastAsia="仿宋_GB2312" w:cs="DengXian-Regular" w:hint="eastAsia"/>
          <w:sz w:val="32"/>
          <w:szCs w:val="32"/>
        </w:rPr>
        <w:t>万元，占</w:t>
      </w:r>
      <w:r>
        <w:rPr>
          <w:rFonts w:ascii="仿宋_GB2312" w:eastAsia="仿宋_GB2312" w:cs="DengXian-Regular"/>
          <w:sz w:val="32"/>
          <w:szCs w:val="32"/>
        </w:rPr>
        <w:t>6.7%</w:t>
      </w:r>
      <w:r>
        <w:rPr>
          <w:rFonts w:ascii="仿宋_GB2312" w:eastAsia="仿宋_GB2312" w:cs="DengXian-Regular" w:hint="eastAsia"/>
          <w:sz w:val="32"/>
          <w:szCs w:val="32"/>
        </w:rPr>
        <w:t>。</w:t>
      </w:r>
    </w:p>
    <w:p w:rsidR="00F6197A" w:rsidRDefault="00F6197A">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4751.92</w:t>
      </w:r>
      <w:r>
        <w:rPr>
          <w:rFonts w:ascii="仿宋_GB2312" w:eastAsia="仿宋_GB2312" w:cs="DengXian-Regular" w:hint="eastAsia"/>
          <w:sz w:val="32"/>
          <w:szCs w:val="32"/>
        </w:rPr>
        <w:t>万元，其中：基本支出</w:t>
      </w:r>
      <w:r>
        <w:rPr>
          <w:rFonts w:ascii="仿宋_GB2312" w:eastAsia="仿宋_GB2312" w:cs="DengXian-Regular"/>
          <w:sz w:val="32"/>
          <w:szCs w:val="32"/>
        </w:rPr>
        <w:t>3727.98</w:t>
      </w:r>
      <w:r>
        <w:rPr>
          <w:rFonts w:ascii="仿宋_GB2312" w:eastAsia="仿宋_GB2312" w:cs="DengXian-Regular" w:hint="eastAsia"/>
          <w:sz w:val="32"/>
          <w:szCs w:val="32"/>
        </w:rPr>
        <w:t>万元，占</w:t>
      </w:r>
      <w:r>
        <w:rPr>
          <w:rFonts w:ascii="仿宋_GB2312" w:eastAsia="仿宋_GB2312" w:cs="DengXian-Regular"/>
          <w:sz w:val="32"/>
          <w:szCs w:val="32"/>
        </w:rPr>
        <w:t>78.5%</w:t>
      </w:r>
      <w:r>
        <w:rPr>
          <w:rFonts w:ascii="仿宋_GB2312" w:eastAsia="仿宋_GB2312" w:cs="DengXian-Regular" w:hint="eastAsia"/>
          <w:sz w:val="32"/>
          <w:szCs w:val="32"/>
        </w:rPr>
        <w:t>；项目支出</w:t>
      </w:r>
      <w:r>
        <w:rPr>
          <w:rFonts w:ascii="仿宋_GB2312" w:eastAsia="仿宋_GB2312" w:cs="DengXian-Regular"/>
          <w:sz w:val="32"/>
          <w:szCs w:val="32"/>
        </w:rPr>
        <w:t>1023.94</w:t>
      </w:r>
      <w:r>
        <w:rPr>
          <w:rFonts w:ascii="仿宋_GB2312" w:eastAsia="仿宋_GB2312" w:cs="DengXian-Regular" w:hint="eastAsia"/>
          <w:sz w:val="32"/>
          <w:szCs w:val="32"/>
        </w:rPr>
        <w:t>万元，占</w:t>
      </w:r>
      <w:r>
        <w:rPr>
          <w:rFonts w:ascii="仿宋_GB2312" w:eastAsia="仿宋_GB2312" w:cs="DengXian-Regular"/>
          <w:sz w:val="32"/>
          <w:szCs w:val="32"/>
        </w:rPr>
        <w:t>21.5%</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F6197A" w:rsidRDefault="00F6197A">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F6197A" w:rsidRDefault="00F6197A" w:rsidP="00D868A5">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3387.24</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年度减少</w:t>
      </w:r>
      <w:r>
        <w:rPr>
          <w:rFonts w:ascii="仿宋_GB2312" w:eastAsia="仿宋_GB2312" w:cs="DengXian-Regular"/>
          <w:sz w:val="32"/>
          <w:szCs w:val="32"/>
        </w:rPr>
        <w:t>67.95</w:t>
      </w:r>
      <w:r>
        <w:rPr>
          <w:rFonts w:ascii="仿宋_GB2312" w:eastAsia="仿宋_GB2312" w:cs="DengXian-Regular" w:hint="eastAsia"/>
          <w:sz w:val="32"/>
          <w:szCs w:val="32"/>
        </w:rPr>
        <w:t>万元，降低</w:t>
      </w:r>
      <w:r>
        <w:rPr>
          <w:rFonts w:ascii="仿宋_GB2312" w:eastAsia="仿宋_GB2312" w:cs="DengXian-Regular"/>
          <w:sz w:val="32"/>
          <w:szCs w:val="32"/>
        </w:rPr>
        <w:t>2.0%</w:t>
      </w:r>
      <w:r>
        <w:rPr>
          <w:rFonts w:ascii="仿宋_GB2312" w:eastAsia="仿宋_GB2312" w:cs="DengXian-Regular" w:hint="eastAsia"/>
          <w:sz w:val="32"/>
          <w:szCs w:val="32"/>
        </w:rPr>
        <w:t>，主要原因是项目支出收入减少；本年支出</w:t>
      </w:r>
      <w:r>
        <w:rPr>
          <w:rFonts w:ascii="仿宋_GB2312" w:eastAsia="仿宋_GB2312" w:cs="DengXian-Regular"/>
          <w:sz w:val="32"/>
          <w:szCs w:val="32"/>
        </w:rPr>
        <w:t>3969.52</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1132.8</w:t>
      </w:r>
      <w:r>
        <w:rPr>
          <w:rFonts w:ascii="仿宋_GB2312" w:eastAsia="仿宋_GB2312" w:cs="DengXian-Regular" w:hint="eastAsia"/>
          <w:sz w:val="32"/>
          <w:szCs w:val="32"/>
        </w:rPr>
        <w:t>万元，增长</w:t>
      </w:r>
      <w:r>
        <w:rPr>
          <w:rFonts w:ascii="仿宋_GB2312" w:eastAsia="仿宋_GB2312" w:cs="DengXian-Regular"/>
          <w:sz w:val="32"/>
          <w:szCs w:val="32"/>
        </w:rPr>
        <w:t>39.9%</w:t>
      </w:r>
      <w:r>
        <w:rPr>
          <w:rFonts w:ascii="仿宋_GB2312" w:eastAsia="仿宋_GB2312" w:cs="DengXian-Regular" w:hint="eastAsia"/>
          <w:sz w:val="32"/>
          <w:szCs w:val="32"/>
        </w:rPr>
        <w:t>，主要原因是人员经费、日常公用经费支出、项目支出增加。</w:t>
      </w:r>
    </w:p>
    <w:p w:rsidR="00F6197A" w:rsidRDefault="00F6197A" w:rsidP="00D868A5">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3095.55</w:t>
      </w:r>
      <w:r>
        <w:rPr>
          <w:rFonts w:ascii="仿宋_GB2312" w:eastAsia="仿宋_GB2312" w:cs="DengXian-Regular" w:hint="eastAsia"/>
          <w:sz w:val="32"/>
          <w:szCs w:val="32"/>
        </w:rPr>
        <w:t>万元，完成年初预算的</w:t>
      </w:r>
      <w:r>
        <w:rPr>
          <w:rFonts w:ascii="仿宋_GB2312" w:eastAsia="仿宋_GB2312" w:cs="DengXian-Regular"/>
          <w:sz w:val="32"/>
          <w:szCs w:val="32"/>
        </w:rPr>
        <w:t>109.4%,</w:t>
      </w:r>
      <w:r>
        <w:rPr>
          <w:rFonts w:ascii="仿宋_GB2312" w:eastAsia="仿宋_GB2312" w:cs="DengXian-Regular" w:hint="eastAsia"/>
          <w:sz w:val="32"/>
          <w:szCs w:val="32"/>
        </w:rPr>
        <w:t>比年初预算增加</w:t>
      </w:r>
      <w:r>
        <w:rPr>
          <w:rFonts w:ascii="仿宋_GB2312" w:eastAsia="仿宋_GB2312" w:cs="DengXian-Regular"/>
          <w:sz w:val="32"/>
          <w:szCs w:val="32"/>
        </w:rPr>
        <w:t>291.69</w:t>
      </w:r>
      <w:r>
        <w:rPr>
          <w:rFonts w:ascii="仿宋_GB2312" w:eastAsia="仿宋_GB2312" w:cs="DengXian-Regular" w:hint="eastAsia"/>
          <w:sz w:val="32"/>
          <w:szCs w:val="32"/>
        </w:rPr>
        <w:t>万元，决算数大于预算数，主要原因是偿还审判楼债务收入、人员经费收入增加；本年支出</w:t>
      </w:r>
      <w:r>
        <w:rPr>
          <w:rFonts w:ascii="仿宋_GB2312" w:eastAsia="仿宋_GB2312" w:cs="DengXian-Regular"/>
          <w:sz w:val="32"/>
          <w:szCs w:val="32"/>
        </w:rPr>
        <w:t>3969.52</w:t>
      </w:r>
      <w:r>
        <w:rPr>
          <w:rFonts w:ascii="仿宋_GB2312" w:eastAsia="仿宋_GB2312" w:cs="DengXian-Regular" w:hint="eastAsia"/>
          <w:sz w:val="32"/>
          <w:szCs w:val="32"/>
        </w:rPr>
        <w:t>万元，完成年初预算的</w:t>
      </w:r>
      <w:r>
        <w:rPr>
          <w:rFonts w:ascii="仿宋_GB2312" w:eastAsia="仿宋_GB2312" w:cs="DengXian-Regular"/>
          <w:sz w:val="32"/>
          <w:szCs w:val="32"/>
        </w:rPr>
        <w:t>128.2%,</w:t>
      </w:r>
      <w:r>
        <w:rPr>
          <w:rFonts w:ascii="仿宋_GB2312" w:eastAsia="仿宋_GB2312" w:cs="DengXian-Regular" w:hint="eastAsia"/>
          <w:sz w:val="32"/>
          <w:szCs w:val="32"/>
        </w:rPr>
        <w:t>比年初预算增加</w:t>
      </w:r>
      <w:r>
        <w:rPr>
          <w:rFonts w:ascii="仿宋_GB2312" w:eastAsia="仿宋_GB2312" w:cs="DengXian-Regular"/>
          <w:sz w:val="32"/>
          <w:szCs w:val="32"/>
        </w:rPr>
        <w:t>873.97</w:t>
      </w:r>
      <w:r>
        <w:rPr>
          <w:rFonts w:ascii="仿宋_GB2312" w:eastAsia="仿宋_GB2312" w:cs="DengXian-Regular" w:hint="eastAsia"/>
          <w:sz w:val="32"/>
          <w:szCs w:val="32"/>
        </w:rPr>
        <w:t>万元，决算数大于预算数，主要原因是人员经费支出、培训费、物业管理费等支出增加。</w:t>
      </w:r>
    </w:p>
    <w:p w:rsidR="00F6197A" w:rsidRDefault="00F6197A">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3969.52</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；公共安全（类）支出</w:t>
      </w:r>
    </w:p>
    <w:p w:rsidR="00F6197A" w:rsidRDefault="00F6197A">
      <w:pPr>
        <w:adjustRightInd w:val="0"/>
        <w:snapToGrid w:val="0"/>
        <w:spacing w:after="0" w:line="580" w:lineRule="exact"/>
        <w:rPr>
          <w:rFonts w:ascii="仿宋_GB2312" w:eastAsia="仿宋_GB2312" w:cs="DengXian-Regular"/>
          <w:sz w:val="32"/>
          <w:szCs w:val="32"/>
        </w:rPr>
      </w:pPr>
      <w:r>
        <w:rPr>
          <w:rFonts w:ascii="仿宋_GB2312" w:eastAsia="仿宋_GB2312" w:cs="DengXian-Regular"/>
          <w:sz w:val="32"/>
          <w:szCs w:val="32"/>
        </w:rPr>
        <w:t>3570.73</w:t>
      </w:r>
      <w:r>
        <w:rPr>
          <w:rFonts w:ascii="仿宋_GB2312" w:eastAsia="仿宋_GB2312" w:cs="DengXian-Regular" w:hint="eastAsia"/>
          <w:sz w:val="32"/>
          <w:szCs w:val="32"/>
        </w:rPr>
        <w:t>万元，占</w:t>
      </w:r>
      <w:r>
        <w:rPr>
          <w:rFonts w:ascii="仿宋_GB2312" w:eastAsia="仿宋_GB2312" w:cs="DengXian-Regular"/>
          <w:sz w:val="32"/>
          <w:szCs w:val="32"/>
        </w:rPr>
        <w:t>90.0%</w:t>
      </w:r>
      <w:r>
        <w:rPr>
          <w:rFonts w:ascii="仿宋_GB2312" w:eastAsia="仿宋_GB2312" w:cs="DengXian-Regular" w:hint="eastAsia"/>
          <w:sz w:val="32"/>
          <w:szCs w:val="32"/>
        </w:rPr>
        <w:t>；教育（类）支出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；科学技术（类）支出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268.17</w:t>
      </w:r>
      <w:r>
        <w:rPr>
          <w:rFonts w:ascii="仿宋_GB2312" w:eastAsia="仿宋_GB2312" w:cs="DengXian-Regular" w:hint="eastAsia"/>
          <w:sz w:val="32"/>
          <w:szCs w:val="32"/>
        </w:rPr>
        <w:t>万元，占</w:t>
      </w:r>
      <w:r>
        <w:rPr>
          <w:rFonts w:ascii="仿宋_GB2312" w:eastAsia="仿宋_GB2312" w:cs="DengXian-Regular"/>
          <w:sz w:val="32"/>
          <w:szCs w:val="32"/>
        </w:rPr>
        <w:t>6.7%</w:t>
      </w:r>
      <w:r>
        <w:rPr>
          <w:rFonts w:ascii="仿宋_GB2312" w:eastAsia="仿宋_GB2312" w:cs="DengXian-Regular" w:hint="eastAsia"/>
          <w:sz w:val="32"/>
          <w:szCs w:val="32"/>
        </w:rPr>
        <w:t>；住房保障（类）支出</w:t>
      </w:r>
      <w:r>
        <w:rPr>
          <w:rFonts w:ascii="仿宋_GB2312" w:eastAsia="仿宋_GB2312" w:cs="DengXian-Regular"/>
          <w:sz w:val="32"/>
          <w:szCs w:val="32"/>
        </w:rPr>
        <w:t>81.7</w:t>
      </w:r>
      <w:r>
        <w:rPr>
          <w:rFonts w:ascii="仿宋_GB2312" w:eastAsia="仿宋_GB2312" w:cs="DengXian-Regular" w:hint="eastAsia"/>
          <w:sz w:val="32"/>
          <w:szCs w:val="32"/>
        </w:rPr>
        <w:t>万元，占</w:t>
      </w:r>
      <w:r>
        <w:rPr>
          <w:rFonts w:ascii="仿宋_GB2312" w:eastAsia="仿宋_GB2312" w:cs="DengXian-Regular"/>
          <w:sz w:val="32"/>
          <w:szCs w:val="32"/>
        </w:rPr>
        <w:t>2.1%;</w:t>
      </w:r>
      <w:r>
        <w:rPr>
          <w:rFonts w:ascii="仿宋_GB2312" w:eastAsia="仿宋_GB2312" w:cs="DengXian-Regular" w:hint="eastAsia"/>
          <w:sz w:val="32"/>
          <w:szCs w:val="32"/>
        </w:rPr>
        <w:t>医疗卫生与计划生育（类）支出</w:t>
      </w:r>
      <w:r>
        <w:rPr>
          <w:rFonts w:ascii="仿宋_GB2312" w:eastAsia="仿宋_GB2312" w:cs="DengXian-Regular"/>
          <w:sz w:val="32"/>
          <w:szCs w:val="32"/>
        </w:rPr>
        <w:t>48.93</w:t>
      </w:r>
      <w:r>
        <w:rPr>
          <w:rFonts w:ascii="仿宋_GB2312" w:eastAsia="仿宋_GB2312" w:cs="DengXian-Regular" w:hint="eastAsia"/>
          <w:sz w:val="32"/>
          <w:szCs w:val="32"/>
        </w:rPr>
        <w:t>万元，占</w:t>
      </w:r>
      <w:r>
        <w:rPr>
          <w:rFonts w:ascii="仿宋_GB2312" w:eastAsia="仿宋_GB2312" w:cs="DengXian-Regular"/>
          <w:sz w:val="32"/>
          <w:szCs w:val="32"/>
        </w:rPr>
        <w:t>1.2%</w:t>
      </w:r>
      <w:r>
        <w:rPr>
          <w:rFonts w:ascii="仿宋_GB2312" w:eastAsia="仿宋_GB2312" w:cs="DengXian-Regular" w:hint="eastAsia"/>
          <w:sz w:val="32"/>
          <w:szCs w:val="32"/>
        </w:rPr>
        <w:t>。</w:t>
      </w:r>
    </w:p>
    <w:p w:rsidR="00F6197A" w:rsidRDefault="00F6197A">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2945.58</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2227.78</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w:t>
      </w:r>
      <w:r>
        <w:rPr>
          <w:rFonts w:ascii="仿宋_GB2312" w:eastAsia="仿宋_GB2312" w:cs="DengXian-Regular" w:hint="eastAsia"/>
          <w:sz w:val="32"/>
          <w:szCs w:val="32"/>
        </w:rPr>
        <w:lastRenderedPageBreak/>
        <w:t>他对个人和家庭的补助支出等；公用经费</w:t>
      </w:r>
      <w:r>
        <w:rPr>
          <w:rFonts w:ascii="仿宋_GB2312" w:eastAsia="仿宋_GB2312" w:cs="DengXian-Regular"/>
          <w:sz w:val="32"/>
          <w:szCs w:val="32"/>
        </w:rPr>
        <w:t>717.80</w:t>
      </w:r>
      <w:r>
        <w:rPr>
          <w:rFonts w:ascii="仿宋_GB2312" w:eastAsia="仿宋_GB2312" w:cs="DengXian-Regular" w:hint="eastAsia"/>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F6197A" w:rsidRDefault="00F6197A">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F6197A" w:rsidRDefault="00F6197A">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53.89</w:t>
      </w:r>
      <w:r>
        <w:rPr>
          <w:rFonts w:eastAsia="仿宋_GB2312" w:hint="eastAsia"/>
          <w:sz w:val="32"/>
          <w:szCs w:val="32"/>
        </w:rPr>
        <w:t>万元，比年初预算增加</w:t>
      </w:r>
      <w:r>
        <w:rPr>
          <w:rFonts w:eastAsia="仿宋_GB2312"/>
          <w:sz w:val="32"/>
          <w:szCs w:val="32"/>
        </w:rPr>
        <w:t>14.79</w:t>
      </w:r>
      <w:r>
        <w:rPr>
          <w:rFonts w:eastAsia="仿宋_GB2312" w:hint="eastAsia"/>
          <w:sz w:val="32"/>
          <w:szCs w:val="32"/>
        </w:rPr>
        <w:t>万元，增长</w:t>
      </w:r>
      <w:r>
        <w:rPr>
          <w:rFonts w:eastAsia="仿宋_GB2312"/>
          <w:sz w:val="32"/>
          <w:szCs w:val="32"/>
        </w:rPr>
        <w:t>37.8%</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是公务用车运行维护费支出增加；比</w:t>
      </w:r>
      <w:r>
        <w:rPr>
          <w:rFonts w:eastAsia="仿宋_GB2312"/>
          <w:sz w:val="32"/>
          <w:szCs w:val="32"/>
        </w:rPr>
        <w:t>2017</w:t>
      </w:r>
      <w:r>
        <w:rPr>
          <w:rFonts w:eastAsia="仿宋_GB2312" w:hint="eastAsia"/>
          <w:sz w:val="32"/>
          <w:szCs w:val="32"/>
        </w:rPr>
        <w:t>年度决算增加</w:t>
      </w:r>
      <w:r>
        <w:rPr>
          <w:rFonts w:eastAsia="仿宋_GB2312"/>
          <w:sz w:val="32"/>
          <w:szCs w:val="32"/>
        </w:rPr>
        <w:t>39.5</w:t>
      </w:r>
      <w:r>
        <w:rPr>
          <w:rFonts w:eastAsia="仿宋_GB2312" w:hint="eastAsia"/>
          <w:sz w:val="32"/>
          <w:szCs w:val="32"/>
        </w:rPr>
        <w:t>万元，增长</w:t>
      </w:r>
      <w:r>
        <w:rPr>
          <w:rFonts w:eastAsia="仿宋_GB2312"/>
          <w:sz w:val="32"/>
          <w:szCs w:val="32"/>
        </w:rPr>
        <w:t>265.1%</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是公务用车运行维护费支出增加。具体情况如下：</w:t>
      </w:r>
    </w:p>
    <w:p w:rsidR="007F6195" w:rsidRPr="00246D99" w:rsidRDefault="007F6195" w:rsidP="007F6195">
      <w:pPr>
        <w:adjustRightInd w:val="0"/>
        <w:snapToGrid w:val="0"/>
        <w:spacing w:line="584" w:lineRule="exact"/>
        <w:ind w:firstLineChars="200" w:firstLine="643"/>
        <w:rPr>
          <w:rFonts w:eastAsia="仿宋_GB2312"/>
          <w:sz w:val="32"/>
          <w:szCs w:val="32"/>
          <w:highlight w:val="yellow"/>
        </w:rPr>
      </w:pPr>
      <w:r w:rsidRPr="00C92D15">
        <w:rPr>
          <w:rFonts w:eastAsia="楷体_GB2312"/>
          <w:b/>
          <w:bCs/>
          <w:sz w:val="32"/>
          <w:szCs w:val="32"/>
        </w:rPr>
        <w:t>因公出国（境）费支出</w:t>
      </w:r>
      <w:r>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w:t>
      </w:r>
      <w:r w:rsidRPr="00C92D15">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人/参加其他单位组织的因公出国（境）团组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人/无本单位组织的出国（境）团组。</w:t>
      </w:r>
      <w:r w:rsidRPr="00C92D15">
        <w:rPr>
          <w:rFonts w:eastAsia="仿宋_GB2312"/>
          <w:sz w:val="32"/>
          <w:szCs w:val="32"/>
        </w:rPr>
        <w:t>因公出国（境）费支出</w:t>
      </w:r>
      <w:r>
        <w:rPr>
          <w:rFonts w:eastAsia="仿宋_GB2312" w:hint="eastAsia"/>
          <w:sz w:val="32"/>
          <w:szCs w:val="32"/>
        </w:rPr>
        <w:t>比</w:t>
      </w:r>
      <w:r w:rsidRPr="00C92D15">
        <w:rPr>
          <w:rFonts w:eastAsia="仿宋_GB2312"/>
          <w:sz w:val="32"/>
          <w:szCs w:val="32"/>
        </w:rPr>
        <w:t>年初预算增加</w:t>
      </w:r>
      <w:r>
        <w:rPr>
          <w:rFonts w:eastAsia="仿宋_GB2312" w:hint="eastAsia"/>
          <w:sz w:val="32"/>
          <w:szCs w:val="32"/>
        </w:rPr>
        <w:t>0</w:t>
      </w:r>
      <w:r w:rsidRPr="00C92D15">
        <w:rPr>
          <w:rFonts w:eastAsia="仿宋_GB2312"/>
          <w:sz w:val="32"/>
          <w:szCs w:val="32"/>
        </w:rPr>
        <w:t>万元，增长</w:t>
      </w:r>
      <w:r>
        <w:rPr>
          <w:rFonts w:eastAsia="仿宋_GB2312" w:hint="eastAsia"/>
          <w:sz w:val="32"/>
          <w:szCs w:val="32"/>
        </w:rPr>
        <w:t>0</w:t>
      </w:r>
      <w:r w:rsidRPr="00C92D15">
        <w:rPr>
          <w:rFonts w:eastAsia="仿宋_GB2312"/>
          <w:sz w:val="32"/>
          <w:szCs w:val="32"/>
        </w:rPr>
        <w:t>%</w:t>
      </w:r>
      <w:r w:rsidRPr="00C92D15">
        <w:rPr>
          <w:rFonts w:eastAsia="仿宋_GB2312"/>
          <w:sz w:val="32"/>
          <w:szCs w:val="32"/>
        </w:rPr>
        <w:t>，主要是</w:t>
      </w:r>
      <w:r>
        <w:rPr>
          <w:rFonts w:eastAsia="仿宋_GB2312" w:hint="eastAsia"/>
          <w:sz w:val="32"/>
          <w:szCs w:val="32"/>
        </w:rPr>
        <w:t>未发生因公出国（境）费支出</w:t>
      </w:r>
      <w:r w:rsidRPr="00C92D15">
        <w:rPr>
          <w:rFonts w:eastAsia="仿宋_GB2312"/>
          <w:sz w:val="32"/>
          <w:szCs w:val="32"/>
        </w:rPr>
        <w:t>；</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年度决算增加</w:t>
      </w:r>
      <w:r>
        <w:rPr>
          <w:rFonts w:eastAsia="仿宋_GB2312" w:hint="eastAsia"/>
          <w:sz w:val="32"/>
          <w:szCs w:val="32"/>
        </w:rPr>
        <w:t>0</w:t>
      </w:r>
      <w:r w:rsidRPr="00C92D15">
        <w:rPr>
          <w:rFonts w:eastAsia="仿宋_GB2312"/>
          <w:sz w:val="32"/>
          <w:szCs w:val="32"/>
        </w:rPr>
        <w:t>万元，增长</w:t>
      </w:r>
      <w:r>
        <w:rPr>
          <w:rFonts w:eastAsia="仿宋_GB2312" w:hint="eastAsia"/>
          <w:sz w:val="32"/>
          <w:szCs w:val="32"/>
        </w:rPr>
        <w:t>0</w:t>
      </w:r>
      <w:r w:rsidRPr="00C92D15">
        <w:rPr>
          <w:rFonts w:eastAsia="仿宋_GB2312"/>
          <w:sz w:val="32"/>
          <w:szCs w:val="32"/>
        </w:rPr>
        <w:t>%</w:t>
      </w:r>
      <w:r w:rsidRPr="00C92D15">
        <w:rPr>
          <w:rFonts w:eastAsia="仿宋_GB2312"/>
          <w:sz w:val="32"/>
          <w:szCs w:val="32"/>
        </w:rPr>
        <w:t>，主要是</w:t>
      </w:r>
      <w:r>
        <w:rPr>
          <w:rFonts w:eastAsia="仿宋_GB2312" w:hint="eastAsia"/>
          <w:sz w:val="32"/>
          <w:szCs w:val="32"/>
        </w:rPr>
        <w:t>未发生因公出国（境）费支出</w:t>
      </w:r>
      <w:r w:rsidRPr="00C92D15">
        <w:rPr>
          <w:rFonts w:eastAsia="仿宋_GB2312"/>
          <w:sz w:val="32"/>
          <w:szCs w:val="32"/>
        </w:rPr>
        <w:t>。</w:t>
      </w:r>
    </w:p>
    <w:p w:rsidR="00F6197A" w:rsidRDefault="00F6197A" w:rsidP="00D868A5">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53.89</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lastRenderedPageBreak/>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增加</w:t>
      </w:r>
      <w:r>
        <w:rPr>
          <w:rFonts w:eastAsia="仿宋_GB2312"/>
          <w:sz w:val="32"/>
          <w:szCs w:val="32"/>
        </w:rPr>
        <w:t>14.79</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增长</w:t>
      </w:r>
      <w:r>
        <w:rPr>
          <w:rFonts w:eastAsia="仿宋_GB2312"/>
          <w:sz w:val="32"/>
          <w:szCs w:val="32"/>
        </w:rPr>
        <w:t>37.8%</w:t>
      </w:r>
      <w:r>
        <w:rPr>
          <w:rFonts w:ascii="仿宋_GB2312" w:eastAsia="仿宋_GB2312" w:cs="DengXian-Regular"/>
          <w:sz w:val="32"/>
          <w:szCs w:val="32"/>
        </w:rPr>
        <w:t>,</w:t>
      </w:r>
      <w:r>
        <w:rPr>
          <w:rFonts w:ascii="仿宋_GB2312" w:eastAsia="仿宋_GB2312" w:cs="DengXian-Regular" w:hint="eastAsia"/>
          <w:sz w:val="32"/>
          <w:szCs w:val="32"/>
        </w:rPr>
        <w:t>主要原因是本年度结算上年度所有公车维修费用、安装公车</w:t>
      </w:r>
      <w:r>
        <w:rPr>
          <w:rFonts w:ascii="仿宋_GB2312" w:eastAsia="仿宋_GB2312" w:cs="DengXian-Regular"/>
          <w:sz w:val="32"/>
          <w:szCs w:val="32"/>
        </w:rPr>
        <w:t>GPS</w:t>
      </w:r>
      <w:r>
        <w:rPr>
          <w:rFonts w:ascii="仿宋_GB2312" w:eastAsia="仿宋_GB2312" w:cs="DengXian-Regular" w:hint="eastAsia"/>
          <w:sz w:val="32"/>
          <w:szCs w:val="32"/>
        </w:rPr>
        <w:t>追踪系统费用及车辆维护费，</w:t>
      </w:r>
      <w:r>
        <w:rPr>
          <w:rFonts w:ascii="仿宋_GB2312" w:eastAsia="仿宋_GB2312" w:cs="DengXian-Regular"/>
          <w:sz w:val="32"/>
          <w:szCs w:val="32"/>
        </w:rPr>
        <w:t>2018</w:t>
      </w:r>
      <w:r>
        <w:rPr>
          <w:rFonts w:ascii="仿宋_GB2312" w:eastAsia="仿宋_GB2312" w:cs="DengXian-Regular" w:hint="eastAsia"/>
          <w:sz w:val="32"/>
          <w:szCs w:val="32"/>
        </w:rPr>
        <w:t>年度是“基本解决执行难”攻坚决战阶段，解决执行难任务重，执行局全体干警加班加点工作，出差任务繁重，为提高执行质效，提前预交公车油费；</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39.5</w:t>
      </w:r>
      <w:r>
        <w:rPr>
          <w:rFonts w:eastAsia="仿宋_GB2312" w:hint="eastAsia"/>
          <w:sz w:val="32"/>
          <w:szCs w:val="32"/>
        </w:rPr>
        <w:t>万元，增长</w:t>
      </w:r>
      <w:r>
        <w:rPr>
          <w:rFonts w:eastAsia="仿宋_GB2312"/>
          <w:sz w:val="32"/>
          <w:szCs w:val="32"/>
        </w:rPr>
        <w:t>265.1%</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本年度结算上年度所有公车维修费用、安装公车</w:t>
      </w:r>
      <w:r>
        <w:rPr>
          <w:rFonts w:ascii="仿宋_GB2312" w:eastAsia="仿宋_GB2312" w:cs="DengXian-Regular"/>
          <w:sz w:val="32"/>
          <w:szCs w:val="32"/>
        </w:rPr>
        <w:t>GPS</w:t>
      </w:r>
      <w:r>
        <w:rPr>
          <w:rFonts w:ascii="仿宋_GB2312" w:eastAsia="仿宋_GB2312" w:cs="DengXian-Regular" w:hint="eastAsia"/>
          <w:sz w:val="32"/>
          <w:szCs w:val="32"/>
        </w:rPr>
        <w:t>追踪系统费用及车辆维护费，</w:t>
      </w:r>
      <w:r>
        <w:rPr>
          <w:rFonts w:ascii="仿宋_GB2312" w:eastAsia="仿宋_GB2312" w:cs="DengXian-Regular"/>
          <w:sz w:val="32"/>
          <w:szCs w:val="32"/>
        </w:rPr>
        <w:t>2018</w:t>
      </w:r>
      <w:r>
        <w:rPr>
          <w:rFonts w:ascii="仿宋_GB2312" w:eastAsia="仿宋_GB2312" w:cs="DengXian-Regular" w:hint="eastAsia"/>
          <w:sz w:val="32"/>
          <w:szCs w:val="32"/>
        </w:rPr>
        <w:t>年度是“基本解决执行难”攻坚决战阶段，解决执行难任务重，执行局全体干警加班加点工作，出差任务繁重，为提高执行质效，提前预交公车油费</w:t>
      </w:r>
      <w:r>
        <w:rPr>
          <w:rFonts w:eastAsia="仿宋_GB2312" w:hint="eastAsia"/>
          <w:sz w:val="32"/>
          <w:szCs w:val="32"/>
        </w:rPr>
        <w:t>。</w:t>
      </w:r>
      <w:r>
        <w:rPr>
          <w:rFonts w:eastAsia="仿宋_GB2312" w:hint="eastAsia"/>
          <w:b/>
          <w:bCs/>
          <w:sz w:val="32"/>
          <w:szCs w:val="32"/>
        </w:rPr>
        <w:t>其中：</w:t>
      </w:r>
    </w:p>
    <w:p w:rsidR="00F6197A" w:rsidRDefault="00F6197A" w:rsidP="00D868A5">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年度未发生公务用车购置经费支出、</w:t>
      </w:r>
      <w:r>
        <w:rPr>
          <w:rFonts w:eastAsia="仿宋_GB2312" w:hint="eastAsia"/>
          <w:color w:val="000000"/>
          <w:sz w:val="32"/>
          <w:szCs w:val="32"/>
        </w:rPr>
        <w:t>较年初预算无增减变化、较</w:t>
      </w:r>
      <w:r>
        <w:rPr>
          <w:rFonts w:eastAsia="仿宋_GB2312"/>
          <w:color w:val="000000"/>
          <w:sz w:val="32"/>
          <w:szCs w:val="32"/>
        </w:rPr>
        <w:t>2017</w:t>
      </w:r>
      <w:r>
        <w:rPr>
          <w:rFonts w:eastAsia="仿宋_GB2312" w:hint="eastAsia"/>
          <w:color w:val="000000"/>
          <w:sz w:val="32"/>
          <w:szCs w:val="32"/>
        </w:rPr>
        <w:t>年度决算无增减变化，</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是本部门</w:t>
      </w:r>
      <w:r>
        <w:rPr>
          <w:rFonts w:eastAsia="仿宋_GB2312"/>
          <w:sz w:val="32"/>
          <w:szCs w:val="32"/>
        </w:rPr>
        <w:t>2018</w:t>
      </w:r>
      <w:r>
        <w:rPr>
          <w:rFonts w:eastAsia="仿宋_GB2312" w:hint="eastAsia"/>
          <w:sz w:val="32"/>
          <w:szCs w:val="32"/>
        </w:rPr>
        <w:t>年度和</w:t>
      </w:r>
      <w:r>
        <w:rPr>
          <w:rFonts w:eastAsia="仿宋_GB2312"/>
          <w:sz w:val="32"/>
          <w:szCs w:val="32"/>
        </w:rPr>
        <w:t>2017</w:t>
      </w:r>
      <w:r>
        <w:rPr>
          <w:rFonts w:eastAsia="仿宋_GB2312" w:hint="eastAsia"/>
          <w:sz w:val="32"/>
          <w:szCs w:val="32"/>
        </w:rPr>
        <w:t>年度均无公务用车购置经费支出。</w:t>
      </w:r>
    </w:p>
    <w:p w:rsidR="00F6197A" w:rsidRDefault="00F6197A" w:rsidP="00D868A5">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53.89</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17</w:t>
      </w:r>
      <w:r>
        <w:rPr>
          <w:rFonts w:eastAsia="仿宋_GB2312" w:hint="eastAsia"/>
          <w:sz w:val="32"/>
          <w:szCs w:val="32"/>
        </w:rPr>
        <w:t>辆。公车运行维护费支出比年初预算增加</w:t>
      </w:r>
      <w:r>
        <w:rPr>
          <w:rFonts w:eastAsia="仿宋_GB2312"/>
          <w:sz w:val="32"/>
          <w:szCs w:val="32"/>
        </w:rPr>
        <w:t>14.79</w:t>
      </w:r>
      <w:r>
        <w:rPr>
          <w:rFonts w:eastAsia="仿宋_GB2312" w:hint="eastAsia"/>
          <w:sz w:val="32"/>
          <w:szCs w:val="32"/>
        </w:rPr>
        <w:t>万元，增长</w:t>
      </w:r>
      <w:r>
        <w:rPr>
          <w:rFonts w:eastAsia="仿宋_GB2312"/>
          <w:sz w:val="32"/>
          <w:szCs w:val="32"/>
        </w:rPr>
        <w:t>37.8%</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本年度结算上年度所有公车维修费用、安装公车</w:t>
      </w:r>
      <w:r>
        <w:rPr>
          <w:rFonts w:ascii="仿宋_GB2312" w:eastAsia="仿宋_GB2312" w:cs="DengXian-Regular"/>
          <w:sz w:val="32"/>
          <w:szCs w:val="32"/>
        </w:rPr>
        <w:t>GPS</w:t>
      </w:r>
      <w:r>
        <w:rPr>
          <w:rFonts w:ascii="仿宋_GB2312" w:eastAsia="仿宋_GB2312" w:cs="DengXian-Regular" w:hint="eastAsia"/>
          <w:sz w:val="32"/>
          <w:szCs w:val="32"/>
        </w:rPr>
        <w:t>追踪系统费用及车辆维护费，</w:t>
      </w:r>
      <w:r>
        <w:rPr>
          <w:rFonts w:ascii="仿宋_GB2312" w:eastAsia="仿宋_GB2312" w:cs="DengXian-Regular"/>
          <w:sz w:val="32"/>
          <w:szCs w:val="32"/>
        </w:rPr>
        <w:t>2018</w:t>
      </w:r>
      <w:r>
        <w:rPr>
          <w:rFonts w:ascii="仿宋_GB2312" w:eastAsia="仿宋_GB2312" w:cs="DengXian-Regular" w:hint="eastAsia"/>
          <w:sz w:val="32"/>
          <w:szCs w:val="32"/>
        </w:rPr>
        <w:t>年度是“基本解决执行难”攻坚决战阶段，解决执行难任务重，执行局全体干警加班加点工作，出差任务繁重，为提高执行质效，提前预交公车油费</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39.5</w:t>
      </w:r>
      <w:r>
        <w:rPr>
          <w:rFonts w:eastAsia="仿宋_GB2312" w:hint="eastAsia"/>
          <w:sz w:val="32"/>
          <w:szCs w:val="32"/>
        </w:rPr>
        <w:t>万元，增长</w:t>
      </w:r>
      <w:r>
        <w:rPr>
          <w:rFonts w:eastAsia="仿宋_GB2312"/>
          <w:sz w:val="32"/>
          <w:szCs w:val="32"/>
        </w:rPr>
        <w:lastRenderedPageBreak/>
        <w:t>265.1%</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本年度结算上年度所有公车维修费用、安装公车</w:t>
      </w:r>
      <w:r>
        <w:rPr>
          <w:rFonts w:ascii="仿宋_GB2312" w:eastAsia="仿宋_GB2312" w:cs="DengXian-Regular"/>
          <w:sz w:val="32"/>
          <w:szCs w:val="32"/>
        </w:rPr>
        <w:t>GPS</w:t>
      </w:r>
      <w:r>
        <w:rPr>
          <w:rFonts w:ascii="仿宋_GB2312" w:eastAsia="仿宋_GB2312" w:cs="DengXian-Regular" w:hint="eastAsia"/>
          <w:sz w:val="32"/>
          <w:szCs w:val="32"/>
        </w:rPr>
        <w:t>追踪系统费用及车辆维护费，</w:t>
      </w:r>
      <w:r>
        <w:rPr>
          <w:rFonts w:ascii="仿宋_GB2312" w:eastAsia="仿宋_GB2312" w:cs="DengXian-Regular"/>
          <w:sz w:val="32"/>
          <w:szCs w:val="32"/>
        </w:rPr>
        <w:t>2018</w:t>
      </w:r>
      <w:r>
        <w:rPr>
          <w:rFonts w:ascii="仿宋_GB2312" w:eastAsia="仿宋_GB2312" w:cs="DengXian-Regular" w:hint="eastAsia"/>
          <w:sz w:val="32"/>
          <w:szCs w:val="32"/>
        </w:rPr>
        <w:t>年度是“基本解决执行难”攻坚决战阶段，解决执行难任务重，执行局全体干警加班加点工作，出差任务繁重，为提高执行质效，提前预交公车油费</w:t>
      </w:r>
      <w:r>
        <w:rPr>
          <w:rFonts w:eastAsia="仿宋_GB2312" w:hint="eastAsia"/>
          <w:sz w:val="32"/>
          <w:szCs w:val="32"/>
        </w:rPr>
        <w:t>。</w:t>
      </w:r>
    </w:p>
    <w:p w:rsidR="007F6195" w:rsidRDefault="00F6197A" w:rsidP="007F6195">
      <w:pPr>
        <w:ind w:firstLineChars="196" w:firstLine="630"/>
        <w:rPr>
          <w:rFonts w:eastAsia="仿宋_GB2312"/>
          <w:sz w:val="32"/>
          <w:szCs w:val="32"/>
        </w:rPr>
      </w:pPr>
      <w:r>
        <w:rPr>
          <w:rFonts w:eastAsia="楷体_GB2312" w:hint="eastAsia"/>
          <w:b/>
          <w:bCs/>
          <w:sz w:val="32"/>
          <w:szCs w:val="32"/>
        </w:rPr>
        <w:t>（三）</w:t>
      </w:r>
      <w:r w:rsidR="007F6195" w:rsidRPr="00615C31">
        <w:rPr>
          <w:rFonts w:eastAsia="楷体_GB2312"/>
          <w:b/>
          <w:bCs/>
          <w:sz w:val="32"/>
          <w:szCs w:val="32"/>
        </w:rPr>
        <w:t>公务接待费支出</w:t>
      </w:r>
      <w:r w:rsidR="007F6195">
        <w:rPr>
          <w:rFonts w:eastAsia="楷体_GB2312" w:hint="eastAsia"/>
          <w:b/>
          <w:bCs/>
          <w:sz w:val="32"/>
          <w:szCs w:val="32"/>
        </w:rPr>
        <w:t>0</w:t>
      </w:r>
      <w:r w:rsidR="007F6195" w:rsidRPr="00615C31">
        <w:rPr>
          <w:rFonts w:eastAsia="楷体_GB2312"/>
          <w:b/>
          <w:bCs/>
          <w:sz w:val="32"/>
          <w:szCs w:val="32"/>
        </w:rPr>
        <w:t>万元。</w:t>
      </w:r>
      <w:r w:rsidR="007F6195" w:rsidRPr="00615C31">
        <w:rPr>
          <w:rFonts w:eastAsia="仿宋_GB2312"/>
          <w:sz w:val="32"/>
          <w:szCs w:val="32"/>
        </w:rPr>
        <w:t>本部门</w:t>
      </w:r>
      <w:r w:rsidR="007F6195" w:rsidRPr="00615C31">
        <w:rPr>
          <w:rFonts w:eastAsia="仿宋_GB2312"/>
          <w:sz w:val="32"/>
          <w:szCs w:val="32"/>
        </w:rPr>
        <w:t>201</w:t>
      </w:r>
      <w:r w:rsidR="007F6195" w:rsidRPr="00615C31">
        <w:rPr>
          <w:rFonts w:eastAsia="仿宋_GB2312" w:hint="eastAsia"/>
          <w:sz w:val="32"/>
          <w:szCs w:val="32"/>
        </w:rPr>
        <w:t>8</w:t>
      </w:r>
      <w:r w:rsidR="007F6195" w:rsidRPr="00615C31">
        <w:rPr>
          <w:rFonts w:eastAsia="仿宋_GB2312"/>
          <w:sz w:val="32"/>
          <w:szCs w:val="32"/>
        </w:rPr>
        <w:t>年度公务接待共</w:t>
      </w:r>
      <w:r w:rsidR="007F6195">
        <w:rPr>
          <w:rFonts w:eastAsia="仿宋_GB2312" w:hint="eastAsia"/>
          <w:sz w:val="32"/>
          <w:szCs w:val="32"/>
        </w:rPr>
        <w:t>0</w:t>
      </w:r>
      <w:r w:rsidR="007F6195" w:rsidRPr="00615C31">
        <w:rPr>
          <w:rFonts w:eastAsia="仿宋_GB2312"/>
          <w:sz w:val="32"/>
          <w:szCs w:val="32"/>
        </w:rPr>
        <w:t>批次、</w:t>
      </w:r>
      <w:r w:rsidR="007F6195">
        <w:rPr>
          <w:rFonts w:eastAsia="仿宋_GB2312" w:hint="eastAsia"/>
          <w:sz w:val="32"/>
          <w:szCs w:val="32"/>
        </w:rPr>
        <w:t>0</w:t>
      </w:r>
      <w:r w:rsidR="007F6195" w:rsidRPr="00615C31">
        <w:rPr>
          <w:rFonts w:eastAsia="仿宋_GB2312"/>
          <w:sz w:val="32"/>
          <w:szCs w:val="32"/>
        </w:rPr>
        <w:t>人次。公务接待费支出</w:t>
      </w:r>
      <w:r w:rsidR="007F6195">
        <w:rPr>
          <w:rFonts w:eastAsia="仿宋_GB2312" w:hint="eastAsia"/>
          <w:sz w:val="32"/>
          <w:szCs w:val="32"/>
        </w:rPr>
        <w:t>比</w:t>
      </w:r>
      <w:r w:rsidR="007F6195" w:rsidRPr="00615C31">
        <w:rPr>
          <w:rFonts w:eastAsia="仿宋_GB2312"/>
          <w:sz w:val="32"/>
          <w:szCs w:val="32"/>
        </w:rPr>
        <w:t>年初预算增加</w:t>
      </w:r>
      <w:r w:rsidR="007F6195">
        <w:rPr>
          <w:rFonts w:eastAsia="仿宋_GB2312" w:hint="eastAsia"/>
          <w:sz w:val="32"/>
          <w:szCs w:val="32"/>
        </w:rPr>
        <w:t>0</w:t>
      </w:r>
      <w:r w:rsidR="007F6195" w:rsidRPr="00615C31">
        <w:rPr>
          <w:rFonts w:eastAsia="仿宋_GB2312"/>
          <w:sz w:val="32"/>
          <w:szCs w:val="32"/>
        </w:rPr>
        <w:t>万元，增长</w:t>
      </w:r>
      <w:r w:rsidR="007F6195">
        <w:rPr>
          <w:rFonts w:eastAsia="仿宋_GB2312" w:hint="eastAsia"/>
          <w:sz w:val="32"/>
          <w:szCs w:val="32"/>
        </w:rPr>
        <w:t>0</w:t>
      </w:r>
      <w:r w:rsidR="007F6195" w:rsidRPr="00615C31">
        <w:rPr>
          <w:rFonts w:eastAsia="仿宋_GB2312"/>
          <w:sz w:val="32"/>
          <w:szCs w:val="32"/>
        </w:rPr>
        <w:t>%</w:t>
      </w:r>
      <w:r w:rsidR="007F6195" w:rsidRPr="00615C31">
        <w:rPr>
          <w:rFonts w:eastAsia="仿宋_GB2312"/>
          <w:sz w:val="32"/>
          <w:szCs w:val="32"/>
        </w:rPr>
        <w:t>，主要是</w:t>
      </w:r>
      <w:r w:rsidR="007F6195">
        <w:rPr>
          <w:rFonts w:eastAsia="仿宋_GB2312" w:hint="eastAsia"/>
          <w:sz w:val="32"/>
          <w:szCs w:val="32"/>
        </w:rPr>
        <w:t>未发生公务接待费支出</w:t>
      </w:r>
      <w:r w:rsidR="007F6195" w:rsidRPr="00615C31">
        <w:rPr>
          <w:rFonts w:eastAsia="仿宋_GB2312"/>
          <w:sz w:val="32"/>
          <w:szCs w:val="32"/>
        </w:rPr>
        <w:t>；</w:t>
      </w:r>
      <w:r w:rsidR="007F6195">
        <w:rPr>
          <w:rFonts w:eastAsia="仿宋_GB2312" w:hint="eastAsia"/>
          <w:sz w:val="32"/>
          <w:szCs w:val="32"/>
        </w:rPr>
        <w:t>比</w:t>
      </w:r>
      <w:r w:rsidR="007F6195" w:rsidRPr="00615C31">
        <w:rPr>
          <w:rFonts w:eastAsia="仿宋_GB2312"/>
          <w:sz w:val="32"/>
          <w:szCs w:val="32"/>
        </w:rPr>
        <w:t>201</w:t>
      </w:r>
      <w:r w:rsidR="007F6195" w:rsidRPr="00615C31">
        <w:rPr>
          <w:rFonts w:eastAsia="仿宋_GB2312" w:hint="eastAsia"/>
          <w:sz w:val="32"/>
          <w:szCs w:val="32"/>
        </w:rPr>
        <w:t>7</w:t>
      </w:r>
      <w:r w:rsidR="007F6195" w:rsidRPr="00615C31">
        <w:rPr>
          <w:rFonts w:eastAsia="仿宋_GB2312"/>
          <w:sz w:val="32"/>
          <w:szCs w:val="32"/>
        </w:rPr>
        <w:t>年度决算增加</w:t>
      </w:r>
      <w:r w:rsidR="007F6195">
        <w:rPr>
          <w:rFonts w:eastAsia="仿宋_GB2312" w:hint="eastAsia"/>
          <w:sz w:val="32"/>
          <w:szCs w:val="32"/>
        </w:rPr>
        <w:t>0</w:t>
      </w:r>
      <w:r w:rsidR="007F6195" w:rsidRPr="00615C31">
        <w:rPr>
          <w:rFonts w:eastAsia="仿宋_GB2312"/>
          <w:sz w:val="32"/>
          <w:szCs w:val="32"/>
        </w:rPr>
        <w:t>万元，增长</w:t>
      </w:r>
      <w:r w:rsidR="007F6195">
        <w:rPr>
          <w:rFonts w:eastAsia="仿宋_GB2312" w:hint="eastAsia"/>
          <w:sz w:val="32"/>
          <w:szCs w:val="32"/>
        </w:rPr>
        <w:t>0</w:t>
      </w:r>
      <w:r w:rsidR="007F6195" w:rsidRPr="00615C31">
        <w:rPr>
          <w:rFonts w:eastAsia="仿宋_GB2312"/>
          <w:sz w:val="32"/>
          <w:szCs w:val="32"/>
        </w:rPr>
        <w:t>%</w:t>
      </w:r>
      <w:r w:rsidR="007F6195" w:rsidRPr="00615C31">
        <w:rPr>
          <w:rFonts w:eastAsia="仿宋_GB2312"/>
          <w:sz w:val="32"/>
          <w:szCs w:val="32"/>
        </w:rPr>
        <w:t>，主要是</w:t>
      </w:r>
      <w:r w:rsidR="007F6195">
        <w:rPr>
          <w:rFonts w:eastAsia="仿宋_GB2312" w:hint="eastAsia"/>
          <w:sz w:val="32"/>
          <w:szCs w:val="32"/>
        </w:rPr>
        <w:t>未发生公务接待费支出</w:t>
      </w:r>
      <w:r w:rsidR="007F6195" w:rsidRPr="00615C31">
        <w:rPr>
          <w:rFonts w:eastAsia="仿宋_GB2312"/>
          <w:sz w:val="32"/>
          <w:szCs w:val="32"/>
        </w:rPr>
        <w:t>。</w:t>
      </w:r>
    </w:p>
    <w:p w:rsidR="00F6197A" w:rsidRDefault="00F6197A" w:rsidP="007F6195">
      <w:pPr>
        <w:ind w:firstLineChars="196" w:firstLine="627"/>
        <w:rPr>
          <w:rFonts w:ascii="黑体" w:eastAsia="黑体"/>
          <w:sz w:val="32"/>
          <w:szCs w:val="40"/>
        </w:rPr>
      </w:pPr>
      <w:bookmarkStart w:id="0" w:name="_GoBack"/>
      <w:bookmarkEnd w:id="0"/>
      <w:r>
        <w:rPr>
          <w:rFonts w:ascii="黑体" w:eastAsia="黑体" w:hint="eastAsia"/>
          <w:sz w:val="32"/>
          <w:szCs w:val="40"/>
        </w:rPr>
        <w:t>六、预算绩效情况说明</w:t>
      </w:r>
    </w:p>
    <w:p w:rsidR="00F6197A" w:rsidRDefault="00F6197A">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（一）预算绩效管理工作开展情况。</w:t>
      </w:r>
    </w:p>
    <w:p w:rsidR="00F6197A" w:rsidRDefault="00F6197A">
      <w:pPr>
        <w:adjustRightInd w:val="0"/>
        <w:snapToGrid w:val="0"/>
        <w:spacing w:after="0" w:line="580" w:lineRule="exact"/>
        <w:ind w:firstLineChars="200" w:firstLine="640"/>
        <w:rPr>
          <w:rFonts w:ascii="宋体" w:cs="宋体"/>
          <w:sz w:val="24"/>
        </w:rPr>
      </w:pPr>
      <w:r>
        <w:rPr>
          <w:rFonts w:eastAsia="仿宋_GB2312" w:hint="eastAsia"/>
          <w:color w:val="000000"/>
          <w:sz w:val="32"/>
          <w:szCs w:val="32"/>
        </w:rPr>
        <w:t>根据绩效预算管理改革要求</w:t>
      </w:r>
      <w:r>
        <w:rPr>
          <w:rFonts w:eastAsia="仿宋_GB2312"/>
          <w:color w:val="000000"/>
          <w:sz w:val="32"/>
          <w:szCs w:val="32"/>
        </w:rPr>
        <w:t>,</w:t>
      </w:r>
      <w:r>
        <w:rPr>
          <w:rFonts w:eastAsia="仿宋_GB2312" w:hint="eastAsia"/>
          <w:color w:val="000000"/>
          <w:sz w:val="32"/>
          <w:szCs w:val="32"/>
        </w:rPr>
        <w:t>本部门认真开展了预算绩效管理改革开展情况自查</w:t>
      </w:r>
      <w:r>
        <w:rPr>
          <w:rFonts w:eastAsia="仿宋_GB2312"/>
          <w:color w:val="000000"/>
          <w:sz w:val="32"/>
          <w:szCs w:val="32"/>
        </w:rPr>
        <w:t>,</w:t>
      </w:r>
      <w:r>
        <w:rPr>
          <w:rFonts w:eastAsia="仿宋_GB2312" w:hint="eastAsia"/>
          <w:color w:val="000000"/>
          <w:sz w:val="32"/>
          <w:szCs w:val="32"/>
        </w:rPr>
        <w:t>对部门全面规范绩效预算编制、严格预算执行管理、推进绩效评价工作、推进预决算信息公开等方面进行了自评，考核结果为良好。</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F6197A" w:rsidRDefault="00F6197A">
      <w:pPr>
        <w:adjustRightInd w:val="0"/>
        <w:snapToGrid w:val="0"/>
        <w:spacing w:after="0" w:line="580" w:lineRule="exact"/>
        <w:ind w:firstLineChars="200" w:firstLine="640"/>
        <w:rPr>
          <w:rFonts w:eastAsia="仿宋_GB2312"/>
          <w:color w:val="000000"/>
          <w:sz w:val="32"/>
          <w:szCs w:val="32"/>
        </w:rPr>
      </w:pPr>
      <w:r>
        <w:rPr>
          <w:rFonts w:eastAsia="仿宋_GB2312" w:hint="eastAsia"/>
          <w:color w:val="000000"/>
          <w:sz w:val="32"/>
          <w:szCs w:val="32"/>
        </w:rPr>
        <w:t>根据预算绩效管理要求，本部门组织对</w:t>
      </w:r>
      <w:r>
        <w:rPr>
          <w:rFonts w:eastAsia="仿宋_GB2312"/>
          <w:color w:val="000000"/>
          <w:sz w:val="32"/>
          <w:szCs w:val="32"/>
        </w:rPr>
        <w:t>2018</w:t>
      </w:r>
      <w:r>
        <w:rPr>
          <w:rFonts w:eastAsia="仿宋_GB2312" w:hint="eastAsia"/>
          <w:color w:val="000000"/>
          <w:sz w:val="32"/>
          <w:szCs w:val="32"/>
        </w:rPr>
        <w:t>年度一般公共预算项目支出全面开展绩效自评，涉及中央政法转移支付资金、</w:t>
      </w:r>
      <w:r w:rsidRPr="005A3CCE">
        <w:rPr>
          <w:rFonts w:eastAsia="仿宋_GB2312" w:hint="eastAsia"/>
          <w:color w:val="000000"/>
          <w:sz w:val="32"/>
          <w:szCs w:val="32"/>
        </w:rPr>
        <w:t>省级基层公检法司转移支付资金等</w:t>
      </w:r>
      <w:r>
        <w:rPr>
          <w:rFonts w:eastAsia="仿宋_GB2312" w:hint="eastAsia"/>
          <w:color w:val="000000"/>
          <w:sz w:val="32"/>
          <w:szCs w:val="32"/>
        </w:rPr>
        <w:t>专项经费等项目，涉及资金</w:t>
      </w:r>
      <w:r>
        <w:rPr>
          <w:rFonts w:eastAsia="仿宋_GB2312"/>
          <w:color w:val="000000"/>
          <w:sz w:val="32"/>
          <w:szCs w:val="32"/>
        </w:rPr>
        <w:t xml:space="preserve"> 420</w:t>
      </w:r>
      <w:r>
        <w:rPr>
          <w:rFonts w:eastAsia="仿宋_GB2312" w:hint="eastAsia"/>
          <w:color w:val="000000"/>
          <w:sz w:val="32"/>
          <w:szCs w:val="32"/>
        </w:rPr>
        <w:t>万元。从评价情况看评价结果中两个项目为优，一个项目为</w:t>
      </w:r>
      <w:r>
        <w:rPr>
          <w:rFonts w:eastAsia="仿宋_GB2312" w:hint="eastAsia"/>
          <w:color w:val="000000"/>
          <w:sz w:val="32"/>
          <w:szCs w:val="32"/>
        </w:rPr>
        <w:lastRenderedPageBreak/>
        <w:t>良，一个项目为中。</w:t>
      </w:r>
      <w:r>
        <w:rPr>
          <w:rFonts w:eastAsia="仿宋_GB2312"/>
          <w:color w:val="000000"/>
          <w:sz w:val="32"/>
          <w:szCs w:val="32"/>
        </w:rPr>
        <w:t xml:space="preserve"> </w:t>
      </w:r>
    </w:p>
    <w:p w:rsidR="00F6197A" w:rsidRDefault="00F6197A">
      <w:pPr>
        <w:ind w:firstLineChars="200" w:firstLine="640"/>
        <w:rPr>
          <w:rFonts w:eastAsia="仿宋_GB2312"/>
          <w:color w:val="000000"/>
          <w:sz w:val="32"/>
          <w:szCs w:val="32"/>
        </w:rPr>
      </w:pPr>
      <w:r>
        <w:rPr>
          <w:rFonts w:ascii="仿宋_GB2312" w:eastAsia="仿宋_GB2312" w:cs="DengXian-Regular" w:hint="eastAsia"/>
          <w:sz w:val="32"/>
          <w:szCs w:val="32"/>
        </w:rPr>
        <w:t>（三）重点项目绩效评价结果。</w:t>
      </w:r>
      <w:r>
        <w:rPr>
          <w:rFonts w:eastAsia="仿宋_GB2312" w:hint="eastAsia"/>
          <w:color w:val="000000"/>
          <w:sz w:val="32"/>
          <w:szCs w:val="32"/>
        </w:rPr>
        <w:t>本单位无民生项目和重点支出项目。</w:t>
      </w:r>
    </w:p>
    <w:p w:rsidR="00F6197A" w:rsidRDefault="00F6197A">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F6197A" w:rsidRDefault="00F6197A" w:rsidP="00D868A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717.80</w:t>
      </w:r>
      <w:r>
        <w:rPr>
          <w:rFonts w:ascii="仿宋_GB2312" w:eastAsia="仿宋_GB2312" w:cs="DengXian-Regular" w:hint="eastAsia"/>
          <w:sz w:val="32"/>
          <w:szCs w:val="32"/>
        </w:rPr>
        <w:t>万元，比年初预算数减少</w:t>
      </w:r>
      <w:r>
        <w:rPr>
          <w:rFonts w:ascii="仿宋_GB2312" w:eastAsia="仿宋_GB2312" w:cs="DengXian-Regular"/>
          <w:sz w:val="32"/>
          <w:szCs w:val="32"/>
        </w:rPr>
        <w:t>190.94</w:t>
      </w:r>
      <w:r>
        <w:rPr>
          <w:rFonts w:ascii="仿宋_GB2312" w:eastAsia="仿宋_GB2312" w:cs="DengXian-Regular" w:hint="eastAsia"/>
          <w:sz w:val="32"/>
          <w:szCs w:val="32"/>
        </w:rPr>
        <w:t>万元，减少</w:t>
      </w:r>
      <w:r>
        <w:rPr>
          <w:rFonts w:ascii="仿宋_GB2312" w:eastAsia="仿宋_GB2312" w:cs="DengXian-Regular"/>
          <w:sz w:val="32"/>
          <w:szCs w:val="32"/>
        </w:rPr>
        <w:t>21.0</w:t>
      </w:r>
      <w:r>
        <w:rPr>
          <w:rFonts w:eastAsia="仿宋_GB2312"/>
          <w:sz w:val="32"/>
          <w:szCs w:val="32"/>
        </w:rPr>
        <w:t>%</w:t>
      </w:r>
      <w:r>
        <w:rPr>
          <w:rFonts w:ascii="仿宋_GB2312" w:eastAsia="仿宋_GB2312" w:cs="DengXian-Regular" w:hint="eastAsia"/>
          <w:sz w:val="32"/>
          <w:szCs w:val="32"/>
        </w:rPr>
        <w:t>。主要原因是</w:t>
      </w:r>
      <w:r>
        <w:rPr>
          <w:rFonts w:ascii="仿宋_GB2312" w:eastAsia="仿宋_GB2312" w:cs="DengXian-Regular"/>
          <w:sz w:val="32"/>
          <w:szCs w:val="32"/>
        </w:rPr>
        <w:t>2018</w:t>
      </w:r>
      <w:r>
        <w:rPr>
          <w:rFonts w:ascii="仿宋_GB2312" w:eastAsia="仿宋_GB2312" w:cs="DengXian-Regular" w:hint="eastAsia"/>
          <w:sz w:val="32"/>
          <w:szCs w:val="32"/>
        </w:rPr>
        <w:t>年度办公费、被装购置费支出减少。</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ascii="仿宋_GB2312" w:eastAsia="仿宋_GB2312" w:cs="DengXian-Regular"/>
          <w:sz w:val="32"/>
          <w:szCs w:val="32"/>
        </w:rPr>
        <w:t>86.24</w:t>
      </w:r>
      <w:r>
        <w:rPr>
          <w:rFonts w:eastAsia="仿宋_GB2312" w:hint="eastAsia"/>
          <w:sz w:val="32"/>
          <w:szCs w:val="32"/>
        </w:rPr>
        <w:t>万元，增长</w:t>
      </w:r>
      <w:r>
        <w:rPr>
          <w:rFonts w:ascii="仿宋_GB2312" w:eastAsia="仿宋_GB2312" w:cs="DengXian-Regular"/>
          <w:sz w:val="32"/>
          <w:szCs w:val="32"/>
        </w:rPr>
        <w:t>13.7</w:t>
      </w:r>
      <w:r>
        <w:rPr>
          <w:rFonts w:eastAsia="仿宋_GB2312"/>
          <w:sz w:val="32"/>
          <w:szCs w:val="32"/>
        </w:rPr>
        <w:t>%</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sz w:val="32"/>
          <w:szCs w:val="32"/>
        </w:rPr>
        <w:t>2018</w:t>
      </w:r>
      <w:r>
        <w:rPr>
          <w:rFonts w:ascii="仿宋_GB2312" w:eastAsia="仿宋_GB2312" w:cs="DengXian-Regular" w:hint="eastAsia"/>
          <w:sz w:val="32"/>
          <w:szCs w:val="32"/>
        </w:rPr>
        <w:t>年度劳务费、培训费、物业管理费支出增加</w:t>
      </w:r>
      <w:r>
        <w:rPr>
          <w:rFonts w:eastAsia="仿宋_GB2312" w:hint="eastAsia"/>
          <w:sz w:val="32"/>
          <w:szCs w:val="32"/>
        </w:rPr>
        <w:t>。</w:t>
      </w:r>
    </w:p>
    <w:p w:rsidR="00F6197A" w:rsidRDefault="00F6197A" w:rsidP="00D868A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F6197A" w:rsidRDefault="00F6197A">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459.18</w:t>
      </w:r>
      <w:r>
        <w:rPr>
          <w:rFonts w:ascii="仿宋_GB2312" w:eastAsia="仿宋_GB2312" w:cs="DengXian-Regular" w:hint="eastAsia"/>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415.98</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43.2</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299.4</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65.2%</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159.78</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34.8%</w:t>
      </w:r>
      <w:r>
        <w:rPr>
          <w:rFonts w:ascii="仿宋_GB2312" w:eastAsia="仿宋_GB2312" w:cs="仿宋_GB2312" w:hint="eastAsia"/>
          <w:color w:val="000000"/>
          <w:kern w:val="0"/>
          <w:sz w:val="32"/>
          <w:szCs w:val="32"/>
        </w:rPr>
        <w:t>。</w:t>
      </w:r>
    </w:p>
    <w:p w:rsidR="00F6197A" w:rsidRDefault="00F6197A" w:rsidP="00D868A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17</w:t>
      </w:r>
      <w:r>
        <w:rPr>
          <w:rFonts w:ascii="仿宋_GB2312" w:eastAsia="仿宋_GB2312" w:cs="DengXian-Regular" w:hint="eastAsia"/>
          <w:sz w:val="32"/>
          <w:szCs w:val="32"/>
        </w:rPr>
        <w:t>辆，比上年增加</w:t>
      </w:r>
      <w:r>
        <w:rPr>
          <w:rFonts w:ascii="仿宋_GB2312" w:eastAsia="仿宋_GB2312" w:cs="DengXian-Regular"/>
          <w:sz w:val="32"/>
          <w:szCs w:val="32"/>
        </w:rPr>
        <w:t>2</w:t>
      </w:r>
      <w:r>
        <w:rPr>
          <w:rFonts w:ascii="仿宋_GB2312" w:eastAsia="仿宋_GB2312" w:cs="DengXian-Regular" w:hint="eastAsia"/>
          <w:sz w:val="32"/>
          <w:szCs w:val="32"/>
        </w:rPr>
        <w:t>辆，主要原因是车辆编制更改。其中，应急保障用车</w:t>
      </w:r>
      <w:r>
        <w:rPr>
          <w:rFonts w:ascii="仿宋_GB2312" w:eastAsia="仿宋_GB2312" w:cs="DengXian-Regular"/>
          <w:sz w:val="32"/>
          <w:szCs w:val="32"/>
        </w:rPr>
        <w:t>2</w:t>
      </w:r>
      <w:r>
        <w:rPr>
          <w:rFonts w:ascii="仿宋_GB2312" w:eastAsia="仿宋_GB2312" w:cs="DengXian-Regular" w:hint="eastAsia"/>
          <w:sz w:val="32"/>
          <w:szCs w:val="32"/>
        </w:rPr>
        <w:t>辆，执法执勤用车</w:t>
      </w:r>
      <w:r>
        <w:rPr>
          <w:rFonts w:ascii="仿宋_GB2312" w:eastAsia="仿宋_GB2312" w:cs="DengXian-Regular"/>
          <w:sz w:val="32"/>
          <w:szCs w:val="32"/>
        </w:rPr>
        <w:t>12</w:t>
      </w:r>
      <w:r>
        <w:rPr>
          <w:rFonts w:ascii="仿宋_GB2312" w:eastAsia="仿宋_GB2312" w:cs="DengXian-Regular" w:hint="eastAsia"/>
          <w:sz w:val="32"/>
          <w:szCs w:val="32"/>
        </w:rPr>
        <w:t>辆，特种专业技术用车</w:t>
      </w:r>
      <w:r>
        <w:rPr>
          <w:rFonts w:ascii="仿宋_GB2312" w:eastAsia="仿宋_GB2312" w:cs="DengXian-Regular"/>
          <w:sz w:val="32"/>
          <w:szCs w:val="32"/>
        </w:rPr>
        <w:t>3</w:t>
      </w:r>
      <w:r>
        <w:rPr>
          <w:rFonts w:ascii="仿宋_GB2312" w:eastAsia="仿宋_GB2312" w:cs="DengXian-Regular" w:hint="eastAsia"/>
          <w:sz w:val="32"/>
          <w:szCs w:val="32"/>
        </w:rPr>
        <w:t>辆，无副部（省）级及以上领导用车、主要领导干部用车、机要通信用车、离退休干</w:t>
      </w:r>
      <w:r>
        <w:rPr>
          <w:rFonts w:ascii="仿宋_GB2312" w:eastAsia="仿宋_GB2312" w:cs="DengXian-Regular" w:hint="eastAsia"/>
          <w:sz w:val="32"/>
          <w:szCs w:val="32"/>
        </w:rPr>
        <w:lastRenderedPageBreak/>
        <w:t>部用车、其他用车；单位价值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台（套），比上年相比无增减变化，单位价值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台（套）比上年相比无增减变化。</w:t>
      </w:r>
    </w:p>
    <w:p w:rsidR="00F6197A" w:rsidRDefault="00F6197A" w:rsidP="00D868A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年度国有资本经营预算、政府性基金预算财政拨款无收支及结转结余情况，故公开</w:t>
      </w:r>
      <w:r>
        <w:rPr>
          <w:rFonts w:ascii="仿宋_GB2312" w:eastAsia="仿宋_GB2312" w:cs="DengXian-Regular"/>
          <w:sz w:val="32"/>
          <w:szCs w:val="32"/>
        </w:rPr>
        <w:t>08</w:t>
      </w:r>
      <w:r>
        <w:rPr>
          <w:rFonts w:ascii="仿宋_GB2312" w:eastAsia="仿宋_GB2312" w:cs="DengXian-Regular" w:hint="eastAsia"/>
          <w:sz w:val="32"/>
          <w:szCs w:val="32"/>
        </w:rPr>
        <w:t>、</w:t>
      </w:r>
      <w:r>
        <w:rPr>
          <w:rFonts w:ascii="仿宋_GB2312" w:eastAsia="仿宋_GB2312" w:cs="DengXian-Regular"/>
          <w:sz w:val="32"/>
          <w:szCs w:val="32"/>
        </w:rPr>
        <w:t>09</w:t>
      </w:r>
      <w:r>
        <w:rPr>
          <w:rFonts w:ascii="仿宋_GB2312" w:eastAsia="仿宋_GB2312" w:cs="DengXian-Regular" w:hint="eastAsia"/>
          <w:sz w:val="32"/>
          <w:szCs w:val="32"/>
        </w:rPr>
        <w:t>表以空表列示。</w:t>
      </w:r>
    </w:p>
    <w:p w:rsidR="00F6197A" w:rsidRDefault="00F619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F6197A" w:rsidRDefault="00F6197A" w:rsidP="00D868A5">
      <w:pPr>
        <w:widowControl/>
        <w:spacing w:after="0" w:line="580" w:lineRule="exact"/>
        <w:ind w:firstLineChars="200" w:firstLine="883"/>
        <w:jc w:val="left"/>
        <w:rPr>
          <w:rFonts w:ascii="宋体" w:cs="MS-UIGothic,Bold"/>
          <w:b/>
          <w:bCs/>
          <w:kern w:val="0"/>
          <w:sz w:val="44"/>
          <w:szCs w:val="44"/>
        </w:rPr>
        <w:sectPr w:rsidR="00F6197A">
          <w:pgSz w:w="11906" w:h="16838"/>
          <w:pgMar w:top="2098" w:right="1474" w:bottom="1984" w:left="1588" w:header="851" w:footer="992" w:gutter="0"/>
          <w:cols w:space="720"/>
          <w:docGrid w:type="lines" w:linePitch="312"/>
        </w:sectPr>
      </w:pPr>
    </w:p>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rFonts w:ascii="黑体" w:eastAsia="黑体"/>
          <w:color w:val="000000"/>
          <w:sz w:val="96"/>
          <w:szCs w:val="96"/>
        </w:rPr>
      </w:pPr>
    </w:p>
    <w:p w:rsidR="00F6197A" w:rsidRDefault="00F6197A">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F6197A" w:rsidRDefault="00F6197A">
      <w:pPr>
        <w:widowControl/>
        <w:spacing w:line="1200" w:lineRule="exact"/>
        <w:jc w:val="center"/>
        <w:rPr>
          <w:color w:val="000000"/>
          <w:sz w:val="96"/>
          <w:szCs w:val="96"/>
        </w:rPr>
      </w:pPr>
      <w:r>
        <w:rPr>
          <w:rFonts w:ascii="黑体" w:eastAsia="黑体" w:hint="eastAsia"/>
          <w:color w:val="000000"/>
          <w:sz w:val="96"/>
          <w:szCs w:val="96"/>
        </w:rPr>
        <w:t>名词解释</w:t>
      </w:r>
    </w:p>
    <w:p w:rsidR="00F6197A" w:rsidRDefault="00F6197A">
      <w:pPr>
        <w:rPr>
          <w:rFonts w:ascii="宋体" w:cs="ArialUnicodeMS"/>
          <w:color w:val="000000"/>
          <w:kern w:val="0"/>
        </w:rPr>
        <w:sectPr w:rsidR="00F6197A">
          <w:pgSz w:w="11906" w:h="16838"/>
          <w:pgMar w:top="2098" w:right="1474" w:bottom="1984" w:left="1588" w:header="851" w:footer="992" w:gutter="0"/>
          <w:cols w:space="720"/>
          <w:docGrid w:type="lines" w:linePitch="312"/>
        </w:sectPr>
      </w:pP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F6197A" w:rsidRDefault="00F6197A" w:rsidP="00D868A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6197A" w:rsidRDefault="00F6197A" w:rsidP="00D868A5">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ind w:firstLineChars="200" w:firstLine="640"/>
        <w:rPr>
          <w:rFonts w:ascii="仿宋_GB2312" w:eastAsia="仿宋_GB2312" w:cs="ArialUnicodeMS"/>
          <w:kern w:val="0"/>
          <w:sz w:val="32"/>
          <w:szCs w:val="32"/>
        </w:rPr>
      </w:pPr>
    </w:p>
    <w:p w:rsidR="00F6197A" w:rsidRDefault="00F6197A">
      <w:pPr>
        <w:widowControl/>
        <w:spacing w:after="0" w:line="560" w:lineRule="exact"/>
        <w:rPr>
          <w:rFonts w:ascii="仿宋_GB2312" w:eastAsia="仿宋_GB2312" w:cs="ArialUnicodeMS"/>
          <w:kern w:val="0"/>
          <w:sz w:val="32"/>
          <w:szCs w:val="32"/>
        </w:rPr>
      </w:pPr>
    </w:p>
    <w:sectPr w:rsidR="00F6197A" w:rsidSect="002C053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25" w:rsidRDefault="005D4625" w:rsidP="007F6195">
      <w:pPr>
        <w:spacing w:after="0" w:line="240" w:lineRule="auto"/>
      </w:pPr>
      <w:r>
        <w:separator/>
      </w:r>
    </w:p>
  </w:endnote>
  <w:endnote w:type="continuationSeparator" w:id="1">
    <w:p w:rsidR="005D4625" w:rsidRDefault="005D4625" w:rsidP="007F6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panose1 w:val="00000000000000000000"/>
    <w:charset w:val="81"/>
    <w:family w:val="auto"/>
    <w:notTrueType/>
    <w:pitch w:val="variable"/>
    <w:sig w:usb0="00000001" w:usb1="09060000" w:usb2="00000010" w:usb3="00000000" w:csb0="00080000" w:csb1="00000000"/>
  </w:font>
  <w:font w:name="MS-UIGothic,Bold">
    <w:altName w:val="Malgun Gothic"/>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25" w:rsidRDefault="005D4625" w:rsidP="007F6195">
      <w:pPr>
        <w:spacing w:after="0" w:line="240" w:lineRule="auto"/>
      </w:pPr>
      <w:r>
        <w:separator/>
      </w:r>
    </w:p>
  </w:footnote>
  <w:footnote w:type="continuationSeparator" w:id="1">
    <w:p w:rsidR="005D4625" w:rsidRDefault="005D4625" w:rsidP="007F6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39B6"/>
    <w:multiLevelType w:val="singleLevel"/>
    <w:tmpl w:val="454B39B6"/>
    <w:lvl w:ilvl="0">
      <w:start w:val="1"/>
      <w:numFmt w:val="chineseCounting"/>
      <w:lvlRestart w:val="0"/>
      <w:suff w:val="nothing"/>
      <w:lvlText w:val="（%1）"/>
      <w:lvlJc w:val="left"/>
      <w:pPr>
        <w:tabs>
          <w:tab w:val="num" w:pos="4305"/>
        </w:tabs>
      </w:pPr>
      <w:rPr>
        <w:rFonts w:cs="Times New Roman" w:hint="eastAsia"/>
      </w:rPr>
    </w:lvl>
  </w:abstractNum>
  <w:abstractNum w:abstractNumId="1">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539"/>
    <w:rsid w:val="00074DA7"/>
    <w:rsid w:val="00232CDA"/>
    <w:rsid w:val="00260DFB"/>
    <w:rsid w:val="002864CA"/>
    <w:rsid w:val="002B06E3"/>
    <w:rsid w:val="002C0539"/>
    <w:rsid w:val="00477070"/>
    <w:rsid w:val="005A3CCE"/>
    <w:rsid w:val="005D4625"/>
    <w:rsid w:val="007124EC"/>
    <w:rsid w:val="007B0B6A"/>
    <w:rsid w:val="007F6195"/>
    <w:rsid w:val="00D207EC"/>
    <w:rsid w:val="00D868A5"/>
    <w:rsid w:val="00F61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39"/>
    <w:pPr>
      <w:widowControl w:val="0"/>
      <w:spacing w:after="160" w:line="480" w:lineRule="auto"/>
      <w:jc w:val="both"/>
    </w:pPr>
    <w:rPr>
      <w:kern w:val="2"/>
      <w:sz w:val="21"/>
      <w:szCs w:val="24"/>
    </w:rPr>
  </w:style>
  <w:style w:type="paragraph" w:styleId="1">
    <w:name w:val="heading 1"/>
    <w:basedOn w:val="a"/>
    <w:next w:val="a"/>
    <w:link w:val="1Char"/>
    <w:uiPriority w:val="99"/>
    <w:qFormat/>
    <w:rsid w:val="002C053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C0539"/>
    <w:pPr>
      <w:keepNext/>
      <w:keepLines/>
      <w:spacing w:before="260" w:after="260" w:line="415" w:lineRule="auto"/>
      <w:outlineLvl w:val="1"/>
    </w:pPr>
    <w:rPr>
      <w:rFonts w:ascii="Calibri" w:hAnsi="Calibri" w:cs="Arial"/>
      <w:b/>
      <w:bCs/>
      <w:sz w:val="32"/>
      <w:szCs w:val="32"/>
    </w:rPr>
  </w:style>
  <w:style w:type="paragraph" w:styleId="3">
    <w:name w:val="heading 3"/>
    <w:basedOn w:val="a"/>
    <w:next w:val="a"/>
    <w:link w:val="3Char"/>
    <w:uiPriority w:val="99"/>
    <w:qFormat/>
    <w:rsid w:val="002C0539"/>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2C0539"/>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60DFB"/>
    <w:rPr>
      <w:rFonts w:cs="Times New Roman"/>
      <w:b/>
      <w:bCs/>
      <w:kern w:val="44"/>
      <w:sz w:val="44"/>
      <w:szCs w:val="44"/>
    </w:rPr>
  </w:style>
  <w:style w:type="character" w:customStyle="1" w:styleId="2Char">
    <w:name w:val="标题 2 Char"/>
    <w:link w:val="2"/>
    <w:uiPriority w:val="99"/>
    <w:semiHidden/>
    <w:locked/>
    <w:rsid w:val="00260DFB"/>
    <w:rPr>
      <w:rFonts w:ascii="Cambria" w:eastAsia="宋体" w:hAnsi="Cambria" w:cs="Times New Roman"/>
      <w:b/>
      <w:bCs/>
      <w:sz w:val="32"/>
      <w:szCs w:val="32"/>
    </w:rPr>
  </w:style>
  <w:style w:type="character" w:customStyle="1" w:styleId="3Char">
    <w:name w:val="标题 3 Char"/>
    <w:link w:val="3"/>
    <w:uiPriority w:val="99"/>
    <w:semiHidden/>
    <w:locked/>
    <w:rsid w:val="00260DFB"/>
    <w:rPr>
      <w:rFonts w:cs="Times New Roman"/>
      <w:b/>
      <w:bCs/>
      <w:sz w:val="32"/>
      <w:szCs w:val="32"/>
    </w:rPr>
  </w:style>
  <w:style w:type="character" w:customStyle="1" w:styleId="4Char">
    <w:name w:val="标题 4 Char"/>
    <w:link w:val="4"/>
    <w:uiPriority w:val="99"/>
    <w:semiHidden/>
    <w:locked/>
    <w:rsid w:val="00260DFB"/>
    <w:rPr>
      <w:rFonts w:ascii="Cambria" w:eastAsia="宋体" w:hAnsi="Cambria" w:cs="Times New Roman"/>
      <w:b/>
      <w:bCs/>
      <w:sz w:val="28"/>
      <w:szCs w:val="28"/>
    </w:rPr>
  </w:style>
  <w:style w:type="paragraph" w:styleId="a3">
    <w:name w:val="Date"/>
    <w:basedOn w:val="a"/>
    <w:next w:val="a"/>
    <w:link w:val="Char"/>
    <w:uiPriority w:val="99"/>
    <w:rsid w:val="002C0539"/>
    <w:pPr>
      <w:ind w:leftChars="2500" w:left="2500"/>
    </w:pPr>
  </w:style>
  <w:style w:type="character" w:customStyle="1" w:styleId="Char">
    <w:name w:val="日期 Char"/>
    <w:link w:val="a3"/>
    <w:uiPriority w:val="99"/>
    <w:semiHidden/>
    <w:locked/>
    <w:rsid w:val="00260DFB"/>
    <w:rPr>
      <w:rFonts w:cs="Times New Roman"/>
      <w:sz w:val="24"/>
      <w:szCs w:val="24"/>
    </w:rPr>
  </w:style>
  <w:style w:type="paragraph" w:styleId="a4">
    <w:name w:val="Balloon Text"/>
    <w:basedOn w:val="a"/>
    <w:link w:val="Char0"/>
    <w:uiPriority w:val="99"/>
    <w:rsid w:val="002C0539"/>
    <w:rPr>
      <w:sz w:val="18"/>
      <w:szCs w:val="18"/>
    </w:rPr>
  </w:style>
  <w:style w:type="character" w:customStyle="1" w:styleId="Char0">
    <w:name w:val="批注框文本 Char"/>
    <w:link w:val="a4"/>
    <w:uiPriority w:val="99"/>
    <w:semiHidden/>
    <w:locked/>
    <w:rsid w:val="00260DFB"/>
    <w:rPr>
      <w:rFonts w:cs="Times New Roman"/>
      <w:sz w:val="2"/>
    </w:rPr>
  </w:style>
  <w:style w:type="paragraph" w:styleId="a5">
    <w:name w:val="footer"/>
    <w:basedOn w:val="a"/>
    <w:link w:val="Char1"/>
    <w:uiPriority w:val="99"/>
    <w:rsid w:val="002C0539"/>
    <w:pPr>
      <w:tabs>
        <w:tab w:val="center" w:pos="4153"/>
        <w:tab w:val="right" w:pos="8306"/>
      </w:tabs>
      <w:snapToGrid w:val="0"/>
      <w:jc w:val="left"/>
    </w:pPr>
    <w:rPr>
      <w:rFonts w:ascii="Cambria" w:eastAsia="黑体" w:hAnsi="Cambria"/>
      <w:sz w:val="18"/>
      <w:szCs w:val="18"/>
    </w:rPr>
  </w:style>
  <w:style w:type="character" w:customStyle="1" w:styleId="Char1">
    <w:name w:val="页脚 Char"/>
    <w:link w:val="a5"/>
    <w:uiPriority w:val="99"/>
    <w:semiHidden/>
    <w:locked/>
    <w:rsid w:val="00260DFB"/>
    <w:rPr>
      <w:rFonts w:cs="Times New Roman"/>
      <w:sz w:val="18"/>
      <w:szCs w:val="18"/>
    </w:rPr>
  </w:style>
  <w:style w:type="paragraph" w:styleId="a6">
    <w:name w:val="header"/>
    <w:basedOn w:val="a"/>
    <w:link w:val="Char2"/>
    <w:uiPriority w:val="99"/>
    <w:rsid w:val="002C0539"/>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link w:val="a6"/>
    <w:uiPriority w:val="99"/>
    <w:semiHidden/>
    <w:locked/>
    <w:rsid w:val="00260DFB"/>
    <w:rPr>
      <w:rFonts w:cs="Times New Roman"/>
      <w:sz w:val="18"/>
      <w:szCs w:val="18"/>
    </w:rPr>
  </w:style>
  <w:style w:type="paragraph" w:styleId="a7">
    <w:name w:val="Subtitle"/>
    <w:basedOn w:val="a"/>
    <w:next w:val="a"/>
    <w:link w:val="Char3"/>
    <w:uiPriority w:val="99"/>
    <w:qFormat/>
    <w:rsid w:val="002C0539"/>
    <w:pPr>
      <w:widowControl/>
      <w:spacing w:after="200" w:line="276" w:lineRule="auto"/>
      <w:jc w:val="left"/>
    </w:pPr>
    <w:rPr>
      <w:rFonts w:ascii="Calibri" w:hAnsi="Calibri" w:cs="Arial"/>
      <w:i/>
      <w:iCs/>
      <w:color w:val="F0A22E"/>
      <w:spacing w:val="15"/>
      <w:kern w:val="0"/>
      <w:sz w:val="24"/>
    </w:rPr>
  </w:style>
  <w:style w:type="character" w:customStyle="1" w:styleId="Char3">
    <w:name w:val="副标题 Char"/>
    <w:link w:val="a7"/>
    <w:uiPriority w:val="99"/>
    <w:locked/>
    <w:rsid w:val="00260DFB"/>
    <w:rPr>
      <w:rFonts w:ascii="Cambria" w:hAnsi="Cambria" w:cs="Times New Roman"/>
      <w:b/>
      <w:bCs/>
      <w:kern w:val="28"/>
      <w:sz w:val="32"/>
      <w:szCs w:val="32"/>
    </w:rPr>
  </w:style>
  <w:style w:type="paragraph" w:styleId="a8">
    <w:name w:val="Title"/>
    <w:basedOn w:val="a"/>
    <w:next w:val="a"/>
    <w:link w:val="Char4"/>
    <w:uiPriority w:val="99"/>
    <w:qFormat/>
    <w:rsid w:val="002C0539"/>
    <w:pPr>
      <w:widowControl/>
      <w:pBdr>
        <w:bottom w:val="single" w:sz="8" w:space="4" w:color="F0A22E"/>
      </w:pBdr>
      <w:spacing w:after="300"/>
      <w:contextualSpacing/>
      <w:jc w:val="left"/>
    </w:pPr>
    <w:rPr>
      <w:rFonts w:ascii="Calibri" w:hAnsi="Calibri" w:cs="Arial"/>
      <w:color w:val="3A2C24"/>
      <w:spacing w:val="5"/>
      <w:kern w:val="28"/>
      <w:sz w:val="52"/>
      <w:szCs w:val="52"/>
    </w:rPr>
  </w:style>
  <w:style w:type="character" w:customStyle="1" w:styleId="Char4">
    <w:name w:val="标题 Char"/>
    <w:link w:val="a8"/>
    <w:uiPriority w:val="99"/>
    <w:locked/>
    <w:rsid w:val="00260DFB"/>
    <w:rPr>
      <w:rFonts w:ascii="Cambria" w:hAnsi="Cambria" w:cs="Times New Roman"/>
      <w:b/>
      <w:bCs/>
      <w:sz w:val="32"/>
      <w:szCs w:val="32"/>
    </w:rPr>
  </w:style>
  <w:style w:type="paragraph" w:customStyle="1" w:styleId="NoSpacing1">
    <w:name w:val="No Spacing1"/>
    <w:uiPriority w:val="99"/>
    <w:rsid w:val="002C0539"/>
    <w:pPr>
      <w:spacing w:after="160" w:line="480" w:lineRule="auto"/>
    </w:pPr>
    <w:rPr>
      <w:rFonts w:ascii="Cambria" w:eastAsia="黑体" w:hAnsi="Cambria"/>
      <w:sz w:val="22"/>
      <w:szCs w:val="22"/>
    </w:rPr>
  </w:style>
  <w:style w:type="character" w:customStyle="1" w:styleId="Style1">
    <w:name w:val="Style1"/>
    <w:uiPriority w:val="99"/>
    <w:rsid w:val="002C0539"/>
    <w:rPr>
      <w:rFonts w:ascii="Cambria" w:eastAsia="黑体" w:hAnsi="Cambria" w:cs="Times New Roman"/>
      <w:sz w:val="22"/>
      <w:szCs w:val="22"/>
      <w:lang w:eastAsia="zh-CN"/>
    </w:rPr>
  </w:style>
  <w:style w:type="character" w:customStyle="1" w:styleId="Style2">
    <w:name w:val="Style2"/>
    <w:uiPriority w:val="99"/>
    <w:rsid w:val="002C0539"/>
    <w:rPr>
      <w:rFonts w:ascii="Cambria" w:eastAsia="黑体" w:hAnsi="Cambria" w:cs="Times New Roman"/>
      <w:sz w:val="22"/>
      <w:szCs w:val="22"/>
      <w:lang w:eastAsia="zh-CN"/>
    </w:rPr>
  </w:style>
  <w:style w:type="character" w:customStyle="1" w:styleId="Style3">
    <w:name w:val="Style3"/>
    <w:uiPriority w:val="99"/>
    <w:rsid w:val="002C0539"/>
    <w:rPr>
      <w:rFonts w:ascii="Cambria" w:eastAsia="黑体" w:hAnsi="Cambria" w:cs="Times New Roman"/>
      <w:sz w:val="22"/>
      <w:szCs w:val="22"/>
      <w:lang w:eastAsia="zh-CN"/>
    </w:rPr>
  </w:style>
  <w:style w:type="character" w:customStyle="1" w:styleId="Style4">
    <w:name w:val="Style4"/>
    <w:uiPriority w:val="99"/>
    <w:rsid w:val="002C0539"/>
    <w:rPr>
      <w:rFonts w:ascii="Cambria" w:eastAsia="黑体" w:hAnsi="Cambria" w:cs="Times New Roman"/>
      <w:sz w:val="22"/>
      <w:szCs w:val="22"/>
      <w:lang w:eastAsia="zh-CN"/>
    </w:rPr>
  </w:style>
  <w:style w:type="character" w:customStyle="1" w:styleId="Style5">
    <w:name w:val="Style5"/>
    <w:uiPriority w:val="99"/>
    <w:rsid w:val="002C0539"/>
    <w:rPr>
      <w:rFonts w:ascii="Cambria" w:eastAsia="黑体" w:hAnsi="Cambria" w:cs="Times New Roman"/>
      <w:sz w:val="22"/>
      <w:szCs w:val="22"/>
      <w:lang w:eastAsia="zh-CN"/>
    </w:rPr>
  </w:style>
  <w:style w:type="paragraph" w:customStyle="1" w:styleId="ListParagraph1">
    <w:name w:val="List Paragraph1"/>
    <w:basedOn w:val="a"/>
    <w:uiPriority w:val="99"/>
    <w:rsid w:val="002C0539"/>
    <w:pPr>
      <w:ind w:firstLineChars="200" w:firstLine="200"/>
    </w:pPr>
  </w:style>
  <w:style w:type="character" w:styleId="a9">
    <w:name w:val="annotation reference"/>
    <w:uiPriority w:val="99"/>
    <w:semiHidden/>
    <w:rsid w:val="00D868A5"/>
    <w:rPr>
      <w:rFonts w:cs="Times New Roman"/>
      <w:sz w:val="21"/>
      <w:szCs w:val="21"/>
    </w:rPr>
  </w:style>
  <w:style w:type="paragraph" w:styleId="aa">
    <w:name w:val="annotation text"/>
    <w:basedOn w:val="a"/>
    <w:link w:val="Char5"/>
    <w:uiPriority w:val="99"/>
    <w:semiHidden/>
    <w:rsid w:val="00D868A5"/>
    <w:pPr>
      <w:jc w:val="left"/>
    </w:pPr>
  </w:style>
  <w:style w:type="character" w:customStyle="1" w:styleId="Char5">
    <w:name w:val="批注文字 Char"/>
    <w:link w:val="aa"/>
    <w:uiPriority w:val="99"/>
    <w:semiHidden/>
    <w:locked/>
    <w:rsid w:val="00260DFB"/>
    <w:rPr>
      <w:rFonts w:cs="Times New Roman"/>
      <w:sz w:val="24"/>
      <w:szCs w:val="24"/>
    </w:rPr>
  </w:style>
  <w:style w:type="paragraph" w:styleId="ab">
    <w:name w:val="annotation subject"/>
    <w:basedOn w:val="aa"/>
    <w:next w:val="aa"/>
    <w:link w:val="Char6"/>
    <w:uiPriority w:val="99"/>
    <w:semiHidden/>
    <w:rsid w:val="00D868A5"/>
    <w:rPr>
      <w:b/>
      <w:bCs/>
    </w:rPr>
  </w:style>
  <w:style w:type="character" w:customStyle="1" w:styleId="Char6">
    <w:name w:val="批注主题 Char"/>
    <w:link w:val="ab"/>
    <w:uiPriority w:val="99"/>
    <w:semiHidden/>
    <w:locked/>
    <w:rsid w:val="00260DFB"/>
    <w:rPr>
      <w:rFonts w:cs="Times New Roman"/>
      <w:b/>
      <w:bCs/>
      <w:sz w:val="24"/>
      <w:szCs w:val="24"/>
    </w:rPr>
  </w:style>
  <w:style w:type="paragraph" w:styleId="ac">
    <w:name w:val="Revision"/>
    <w:hidden/>
    <w:uiPriority w:val="99"/>
    <w:semiHidden/>
    <w:rsid w:val="005A3C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835</Words>
  <Characters>4766</Characters>
  <Application>Microsoft Office Word</Application>
  <DocSecurity>0</DocSecurity>
  <Lines>39</Lines>
  <Paragraphs>11</Paragraphs>
  <ScaleCrop>false</ScaleCrop>
  <Company>Microsoft</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user</cp:lastModifiedBy>
  <cp:revision>48</cp:revision>
  <cp:lastPrinted>2019-09-27T00:42:00Z</cp:lastPrinted>
  <dcterms:created xsi:type="dcterms:W3CDTF">2019-09-26T01:09:00Z</dcterms:created>
  <dcterms:modified xsi:type="dcterms:W3CDTF">2021-06-08T02:48:00Z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