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emf" ContentType="image/emf"/>
  <Default Extension="docx" ContentType="application/vnd.openxmlformats-officedocument.wordprocessingml.document"/>
  <Default Extension="bin" ContentType="application/vnd.openxmlformats-officedocument.oleObject"/>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color w:val="000000"/>
        </w:rPr>
        <w:sectPr>
          <w:headerReference w:type="default" r:id="rId2"/>
          <w:pgSz w:w="11906" w:h="16838"/>
          <w:pgMar w:top="0" w:right="0" w:bottom="0" w:left="0" w:header="851" w:footer="992" w:gutter="0"/>
          <w:titlePg/>
          <w:docGrid w:type="lines" w:linePitch="312" w:charSpace="0"/>
        </w:sectPr>
      </w:pPr>
      <w:r>
        <w:rPr>
          <w:rFonts w:ascii="黑体" w:eastAsia="黑体" w:cs="黑体"/>
          <w:color w:val="000000"/>
          <w:sz w:val="56"/>
          <w:szCs w:val="72"/>
        </w:rPr>
        <mc:AlternateContent>
          <mc:Choice Requires="wps">
            <w:drawing>
              <wp:anchor distT="0" distB="0" distL="114297" distR="114297" simplePos="0" relativeHeight="3" behindDoc="1" locked="0" layoutInCell="1" hidden="0" allowOverlap="1">
                <wp:simplePos x="0" y="0"/>
                <wp:positionH relativeFrom="column">
                  <wp:posOffset>-31749</wp:posOffset>
                </wp:positionH>
                <wp:positionV relativeFrom="paragraph">
                  <wp:posOffset>-739774</wp:posOffset>
                </wp:positionV>
                <wp:extent cx="7623175" cy="4657725"/>
                <wp:effectExtent l="0" t="0" r="0" b="0"/>
                <wp:wrapNone/>
                <wp:docPr id="18" name="组合"/>
                <wp:cNvGraphicFramePr>
                  <a:graphicFrameLocks noChangeAspect="0"/>
                </wp:cNvGraphicFramePr>
                <a:graphic>
                  <a:graphicData uri="http://schemas.microsoft.com/office/word/2010/wordprocessingGroup">
                    <wpg:wgp>
                      <wpg:cNvPr id="19" name="组合 19"/>
                      <wpg:cNvGrpSpPr/>
                      <wpg:grpSpPr>
                        <a:xfrm rot="0">
                          <a:off x="0" y="0"/>
                          <a:ext cx="7623175" cy="4657725"/>
                          <a:chOff x="0" y="0"/>
                          <a:chExt cx="7623175" cy="4657725"/>
                        </a:xfrm>
                        <a:prstGeom prst="rect"/>
                        <a:solidFill>
                          <a:srgbClr val="FFFFFF"/>
                        </a:solidFill>
                        <a:ln w="9525" cmpd="sng" cap="flat">
                          <a:solidFill>
                            <a:srgbClr val="000000"/>
                          </a:solidFill>
                          <a:prstDash val="solid"/>
                          <a:miter/>
                        </a:ln>
                      </wpg:grpSpPr>
                      <wps:wsp>
                        <wps:cNvPr id="20" name="矩形 20"/>
                        <wps:cNvSpPr/>
                        <wps:spPr>
                          <a:xfrm rot="0">
                            <a:off x="0" y="0"/>
                            <a:ext cx="7623175" cy="4657725"/>
                          </a:xfrm>
                          <a:prstGeom prst="rect"/>
                          <a:solidFill>
                            <a:srgbClr val="FDBC11"/>
                          </a:solidFill>
                          <a:ln w="9525" cmpd="sng" cap="flat">
                            <a:noFill/>
                            <a:prstDash val="solid"/>
                            <a:miter/>
                          </a:ln>
                        </wps:spPr>
                        <wps:bodyPr vert="horz" wrap="square" lIns="91440" tIns="45720" rIns="91440" bIns="45720" anchor="t" anchorCtr="0" upright="1">
                          <a:noAutofit/>
                        </wps:bodyPr>
                      </wps:wsp>
                      <wps:wsp>
                        <wps:cNvPr id="21" name="文本框 21"/>
                        <wps:cNvSpPr/>
                        <wps:spPr>
                          <a:xfrm rot="0">
                            <a:off x="2284095" y="3575685"/>
                            <a:ext cx="5132705" cy="1050290"/>
                          </a:xfrm>
                          <a:prstGeom prst="rect"/>
                          <a:noFill/>
                          <a:ln w="9525" cmpd="sng" cap="flat">
                            <a:noFill/>
                            <a:prstDash val="solid"/>
                            <a:miter/>
                          </a:ln>
                        </wps:spPr>
                        <wps:txbx id="22">
                          <w:txbxContent>
                            <w:p>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wps:txbx>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23" o:spid="_x0000_s23" coordorigin="-49,-1164" coordsize="12005,7335" style="position:absolute;margin-left:-2.5pt;margin-top:-58.249996pt;width:600.25pt;height:366.75pt;z-index:-36;mso-position-horizontal:absolute;mso-position-vertical:absolute;mso-wrap-distance-left:8.99983pt;mso-wrap-distance-right:8.99983pt;">
                <v:rect type="#_x0000_t1" id="矩形 24" o:spid="_x0000_s24" style="position:absolute;left:-49;top:-1164;width:12005;height:7335;" fillcolor="#FDBC11" stroked="f">
                  <v:stroke color="#000000"/>
                </v:rect>
                <v:shape type="#_x0000_t202" id="文本框 25" o:spid="_x0000_s25" style="position:absolute;left:3547;top:4465;width:8083;height:1654;mso-wrap-style:square;" filled="f" stroked="f">
                  <v:textbox id="848" inset="2.54mm,1.27mm,2.54mm,1.27mm" o:insetmode="custom" style="layout-flow:horizontal;v-text-anchor:top;">
                    <w:txbxContent>
                      <w:p>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troke color="#000000"/>
                </v:shape>
              </v:group>
            </w:pict>
          </mc:Fallback>
        </mc:AlternateContent>
      </w:r>
      <w:r>
        <w:rPr>
          <w:color w:val="000000"/>
        </w:rPr>
        <mc:AlternateContent>
          <mc:Choice Requires="wps">
            <w:drawing>
              <wp:anchor distT="0" distB="0" distL="114298" distR="114298" simplePos="0" relativeHeight="52" behindDoc="0" locked="0" layoutInCell="1" hidden="0" allowOverlap="1">
                <wp:simplePos x="0" y="0"/>
                <wp:positionH relativeFrom="column">
                  <wp:posOffset>1349375</wp:posOffset>
                </wp:positionH>
                <wp:positionV relativeFrom="paragraph">
                  <wp:posOffset>8808085</wp:posOffset>
                </wp:positionV>
                <wp:extent cx="5132705" cy="487680"/>
                <wp:effectExtent l="0" t="0" r="0" b="0"/>
                <wp:wrapNone/>
                <wp:docPr id="26" name="文本框"/>
                <wp:cNvGraphicFramePr>
                  <a:graphicFrameLocks noChangeAspect="0"/>
                </wp:cNvGraphicFramePr>
                <a:graphic>
                  <a:graphicData uri="http://schemas.microsoft.com/office/word/2010/wordprocessingShape">
                    <wps:wsp>
                      <wps:cNvSpPr/>
                      <wps:spPr>
                        <a:xfrm rot="0">
                          <a:off x="0" y="0"/>
                          <a:ext cx="5132705" cy="487680"/>
                        </a:xfrm>
                        <a:prstGeom prst="rect"/>
                        <a:noFill/>
                        <a:ln w="9525" cmpd="sng" cap="flat">
                          <a:noFill/>
                          <a:prstDash val="solid"/>
                          <a:miter/>
                        </a:ln>
                      </wps:spPr>
                      <wps:txbx id="27">
                        <w:txbxContent>
                          <w:p>
                            <w:pPr>
                              <w:jc w:val="center"/>
                              <w:rPr>
                                <w:rFonts w:ascii="等线 Light" w:eastAsia="等线 Light" w:cs="楷体_GB2312"/>
                                <w:color w:val="000000"/>
                                <w:kern w:val="0"/>
                                <w:sz w:val="44"/>
                                <w:szCs w:val="44"/>
                              </w:rPr>
                            </w:pPr>
                            <w:r>
                              <w:rPr>
                                <w:rFonts w:ascii="等线 Light" w:eastAsia="等线 Light" w:cs="楷体_GB2312"/>
                                <w:color w:val="000000"/>
                                <w:kern w:val="0"/>
                                <w:sz w:val="44"/>
                                <w:szCs w:val="44"/>
                              </w:rPr>
                              <w:t>二〇二〇年</w:t>
                            </w:r>
                            <w:r>
                              <w:rPr>
                                <w:rFonts w:ascii="等线 Light" w:eastAsia="等线 Light" w:cs="楷体_GB2312" w:hint="eastAsia"/>
                                <w:color w:val="000000"/>
                                <w:kern w:val="0"/>
                                <w:sz w:val="44"/>
                                <w:szCs w:val="44"/>
                              </w:rPr>
                              <w:t>十一</w:t>
                            </w:r>
                            <w:r>
                              <w:rPr>
                                <w:rFonts w:ascii="等线 Light" w:eastAsia="等线 Light" w:cs="楷体_GB2312"/>
                                <w:color w:val="000000"/>
                                <w:kern w:val="0"/>
                                <w:sz w:val="44"/>
                                <w:szCs w:val="44"/>
                              </w:rPr>
                              <w:t>月</w:t>
                            </w:r>
                          </w:p>
                        </w:txbxContent>
                      </wps:txbx>
                      <wps:bodyPr vert="horz" wrap="square" lIns="91440" tIns="45720" rIns="91440" bIns="45720" anchor="t" anchorCtr="0" upright="1">
                        <a:spAutoFit/>
                      </wps:bodyPr>
                    </wps:wsp>
                  </a:graphicData>
                </a:graphic>
              </wp:anchor>
            </w:drawing>
          </mc:Choice>
          <mc:Fallback>
            <w:pict>
              <v:shape type="#_x0000_t202" id="文本框 28" o:spid="_x0000_s28" filled="f" stroked="f" style="position:absolute;margin-left:106.25pt;margin-top:693.55pt;width:404.15pt;height:38.40002pt;z-index:52;mso-position-horizontal:absolute;mso-position-vertical:absolute;mso-wrap-distance-left:8.999863pt;mso-wrap-distance-right:8.999863pt;mso-wrap-style:square;">
                <v:stroke color="#000000"/>
                <v:textbox id="849" inset="2.54mm,1.27mm,2.54mm,1.27mm" o:insetmode="custom" style="layout-flow:horizontal;v-text-anchor:top;mso-fit-shape-to-text:t;">
                  <w:txbxContent>
                    <w:p>
                      <w:pPr>
                        <w:jc w:val="center"/>
                        <w:rPr>
                          <w:rFonts w:ascii="等线 Light" w:eastAsia="等线 Light" w:cs="楷体_GB2312"/>
                          <w:color w:val="000000"/>
                          <w:kern w:val="0"/>
                          <w:sz w:val="44"/>
                          <w:szCs w:val="44"/>
                        </w:rPr>
                      </w:pPr>
                      <w:r>
                        <w:rPr>
                          <w:rFonts w:ascii="等线 Light" w:eastAsia="等线 Light" w:cs="楷体_GB2312"/>
                          <w:color w:val="000000"/>
                          <w:kern w:val="0"/>
                          <w:sz w:val="44"/>
                          <w:szCs w:val="44"/>
                        </w:rPr>
                        <w:t>二〇二〇年</w:t>
                      </w:r>
                      <w:r>
                        <w:rPr>
                          <w:rFonts w:ascii="等线 Light" w:eastAsia="等线 Light" w:cs="楷体_GB2312" w:hint="eastAsia"/>
                          <w:color w:val="000000"/>
                          <w:kern w:val="0"/>
                          <w:sz w:val="44"/>
                          <w:szCs w:val="44"/>
                        </w:rPr>
                        <w:t>十一</w:t>
                      </w:r>
                      <w:r>
                        <w:rPr>
                          <w:rFonts w:ascii="等线 Light" w:eastAsia="等线 Light" w:cs="楷体_GB2312"/>
                          <w:color w:val="000000"/>
                          <w:kern w:val="0"/>
                          <w:sz w:val="44"/>
                          <w:szCs w:val="44"/>
                        </w:rPr>
                        <w:t>月</w:t>
                      </w:r>
                    </w:p>
                  </w:txbxContent>
                </v:textbox>
              </v:shape>
            </w:pict>
          </mc:Fallback>
        </mc:AlternateContent>
      </w:r>
      <w:r>
        <w:rPr>
          <w:color w:val="000000"/>
        </w:rPr>
        <mc:AlternateContent>
          <mc:Choice Requires="wps">
            <w:drawing>
              <wp:anchor distT="0" distB="0" distL="114298" distR="114298" simplePos="0" relativeHeight="49" behindDoc="0" locked="0" layoutInCell="1" hidden="0" allowOverlap="1">
                <wp:simplePos x="0" y="0"/>
                <wp:positionH relativeFrom="column">
                  <wp:posOffset>679450</wp:posOffset>
                </wp:positionH>
                <wp:positionV relativeFrom="paragraph">
                  <wp:posOffset>2952115</wp:posOffset>
                </wp:positionV>
                <wp:extent cx="1548765" cy="1548765"/>
                <wp:effectExtent l="0" t="0" r="0" b="0"/>
                <wp:wrapNone/>
                <wp:docPr id="29" name="椭圆"/>
                <wp:cNvGraphicFramePr>
                  <a:graphicFrameLocks noChangeAspect="0"/>
                </wp:cNvGraphicFramePr>
                <a:graphic>
                  <a:graphicData uri="http://schemas.microsoft.com/office/word/2010/wordprocessingShape">
                    <wps:wsp>
                      <wps:cNvSpPr/>
                      <wps:spPr>
                        <a:xfrm rot="0">
                          <a:off x="0" y="0"/>
                          <a:ext cx="1548765" cy="1548765"/>
                        </a:xfrm>
                        <a:prstGeom prst="ellipse"/>
                        <a:solidFill>
                          <a:srgbClr val="FFFFFF"/>
                        </a:solidFill>
                        <a:ln w="9525" cmpd="sng" cap="flat">
                          <a:noFill/>
                          <a:prstDash val="solid"/>
                          <a:miter/>
                        </a:ln>
                      </wps:spPr>
                      <wps:txbx id="30">
                        <w:txbxContent>
                          <w:p>
                            <w:pPr>
                              <w:jc w:val="center"/>
                            </w:pPr>
                          </w:p>
                        </w:txbxContent>
                      </wps:txbx>
                      <wps:bodyPr vert="horz" wrap="square" lIns="91440" tIns="45720" rIns="91440" bIns="45720" anchor="ctr" anchorCtr="0" upright="1">
                        <a:noAutofit/>
                      </wps:bodyPr>
                    </wps:wsp>
                  </a:graphicData>
                </a:graphic>
              </wp:anchor>
            </w:drawing>
          </mc:Choice>
          <mc:Fallback>
            <w:pict>
              <v:oval type="#_x0000_t3" id="椭圆 31" o:spid="_x0000_s31" fillcolor="#FFFFFF" stroked="f" style="position:absolute;margin-left:53.5pt;margin-top:232.45pt;width:121.950005pt;height:121.950005pt;z-index:49;mso-position-horizontal:absolute;mso-position-vertical:absolute;mso-wrap-distance-left:8.999863pt;mso-wrap-distance-right:8.999863pt;mso-wrap-style:square;">
                <v:stroke color="#000000"/>
                <v:textbox id="871" inset="2.54mm,1.27mm,2.54mm,1.27mm" o:insetmode="custom" style="layout-flow:horizontal;v-text-anchor:middle;">
                  <w:txbxContent>
                    <w:p>
                      <w:pPr>
                        <w:jc w:val="center"/>
                      </w:pPr>
                    </w:p>
                  </w:txbxContent>
                </v:textbox>
              </v:oval>
            </w:pict>
          </mc:Fallback>
        </mc:AlternateContent>
      </w:r>
      <w:r>
        <w:rPr>
          <w:color w:val="000000"/>
        </w:rPr>
        <mc:AlternateContent>
          <mc:Choice Requires="wps">
            <w:drawing>
              <wp:anchor distT="0" distB="0" distL="114298" distR="114298" simplePos="0" relativeHeight="54" behindDoc="0" locked="0" layoutInCell="1" hidden="0" allowOverlap="1">
                <wp:simplePos x="0" y="0"/>
                <wp:positionH relativeFrom="column">
                  <wp:posOffset>426720</wp:posOffset>
                </wp:positionH>
                <wp:positionV relativeFrom="paragraph">
                  <wp:posOffset>3260725</wp:posOffset>
                </wp:positionV>
                <wp:extent cx="2040254" cy="685800"/>
                <wp:effectExtent l="0" t="0" r="0" b="0"/>
                <wp:wrapNone/>
                <wp:docPr id="32" name="矩形"/>
                <wp:cNvGraphicFramePr>
                  <a:graphicFrameLocks noChangeAspect="0"/>
                </wp:cNvGraphicFramePr>
                <a:graphic>
                  <a:graphicData uri="http://schemas.microsoft.com/office/word/2010/wordprocessingShape">
                    <wps:wsp>
                      <wps:cNvSpPr/>
                      <wps:spPr>
                        <a:xfrm rot="0">
                          <a:off x="0" y="0"/>
                          <a:ext cx="2040254" cy="685800"/>
                        </a:xfrm>
                        <a:prstGeom prst="rect"/>
                        <a:noFill/>
                        <a:ln w="9525" cmpd="sng" cap="flat">
                          <a:noFill/>
                          <a:prstDash val="solid"/>
                          <a:miter/>
                        </a:ln>
                      </wps:spPr>
                      <wps:txbx id="33">
                        <w:txbxContent>
                          <w:p>
                            <w:pPr>
                              <w:spacing w:line="360" w:lineRule="auto"/>
                              <w:jc w:val="center"/>
                              <w:rPr>
                                <w:kern w:val="0"/>
                                <w:sz w:val="28"/>
                                <w:szCs w:val="28"/>
                              </w:rPr>
                            </w:pPr>
                            <w:r>
                              <w:rPr>
                                <w:rFonts w:ascii="Yu Gothic UI Semibold" w:eastAsia="宋体" w:hAnsi="Yu Gothic UI Semibold" w:hint="eastAsia"/>
                                <w:color w:val="FFFFFF"/>
                                <w:kern w:val="24"/>
                                <w:sz w:val="72"/>
                                <w:szCs w:val="72"/>
                              </w:rPr>
                              <w:t>2019</w:t>
                            </w:r>
                          </w:p>
                        </w:txbxContent>
                      </wps:txbx>
                      <wps:bodyPr vert="horz" wrap="square" lIns="91440" tIns="45720" rIns="91440" bIns="45720" anchor="t" anchorCtr="0" upright="1">
                        <a:spAutoFit/>
                      </wps:bodyPr>
                    </wps:wsp>
                  </a:graphicData>
                </a:graphic>
              </wp:anchor>
            </w:drawing>
          </mc:Choice>
          <mc:Fallback>
            <w:pict>
              <v:rect type="#_x0000_t1" id="矩形 34" o:spid="_x0000_s34" filled="f" stroked="f" style="position:absolute;margin-left:33.6pt;margin-top:256.75pt;width:160.65pt;height:54.0pt;z-index:54;mso-position-horizontal:absolute;mso-position-vertical:absolute;mso-wrap-distance-left:8.999863pt;mso-wrap-distance-right:8.999863pt;mso-wrap-style:square;">
                <v:stroke color="#000000"/>
                <v:textbox id="872" inset="2.54mm,1.27mm,2.54mm,1.27mm" o:insetmode="custom" style="layout-flow:horizontal;v-text-anchor:top;mso-fit-shape-to-text:t;">
                  <w:txbxContent>
                    <w:p>
                      <w:pPr>
                        <w:spacing w:line="360" w:lineRule="auto"/>
                        <w:jc w:val="center"/>
                        <w:rPr>
                          <w:kern w:val="0"/>
                          <w:sz w:val="28"/>
                          <w:szCs w:val="28"/>
                        </w:rPr>
                      </w:pPr>
                      <w:r>
                        <w:rPr>
                          <w:rFonts w:ascii="Yu Gothic UI Semibold" w:eastAsia="宋体" w:hAnsi="Yu Gothic UI Semibold" w:hint="eastAsia"/>
                          <w:color w:val="FFFFFF"/>
                          <w:kern w:val="24"/>
                          <w:sz w:val="72"/>
                          <w:szCs w:val="72"/>
                        </w:rPr>
                        <w:t>2019</w:t>
                      </w:r>
                    </w:p>
                  </w:txbxContent>
                </v:textbox>
              </v:rect>
            </w:pict>
          </mc:Fallback>
        </mc:AlternateContent>
      </w:r>
      <w:r>
        <w:rPr>
          <w:color w:val="000000"/>
        </w:rPr>
        <mc:AlternateContent>
          <mc:Choice Requires="wps">
            <w:drawing>
              <wp:anchor distT="0" distB="0" distL="114298" distR="114298" simplePos="0" relativeHeight="53" behindDoc="0" locked="0" layoutInCell="1" hidden="0" allowOverlap="1">
                <wp:simplePos x="0" y="0"/>
                <wp:positionH relativeFrom="column">
                  <wp:posOffset>789940</wp:posOffset>
                </wp:positionH>
                <wp:positionV relativeFrom="paragraph">
                  <wp:posOffset>3082925</wp:posOffset>
                </wp:positionV>
                <wp:extent cx="1313814" cy="1313814"/>
                <wp:effectExtent l="0" t="0" r="0" b="0"/>
                <wp:wrapNone/>
                <wp:docPr id="35" name="椭圆"/>
                <wp:cNvGraphicFramePr>
                  <a:graphicFrameLocks noChangeAspect="0"/>
                </wp:cNvGraphicFramePr>
                <a:graphic>
                  <a:graphicData uri="http://schemas.microsoft.com/office/word/2010/wordprocessingShape">
                    <wps:wsp>
                      <wps:cNvSpPr/>
                      <wps:spPr>
                        <a:xfrm rot="0">
                          <a:off x="0" y="0"/>
                          <a:ext cx="1313814" cy="1313814"/>
                        </a:xfrm>
                        <a:prstGeom prst="ellipse"/>
                        <a:solidFill>
                          <a:srgbClr val="1F2959"/>
                        </a:solidFill>
                        <a:ln w="9525" cmpd="sng" cap="flat">
                          <a:noFill/>
                          <a:prstDash val="solid"/>
                          <a:miter/>
                        </a:ln>
                      </wps:spPr>
                      <wps:txbx id="36">
                        <w:txbxContent>
                          <w:p>
                            <w:pPr>
                              <w:jc w:val="center"/>
                            </w:pPr>
                          </w:p>
                        </w:txbxContent>
                      </wps:txbx>
                      <wps:bodyPr vert="horz" wrap="square" lIns="91440" tIns="45720" rIns="91440" bIns="45720" anchor="ctr" anchorCtr="0" upright="1">
                        <a:noAutofit/>
                      </wps:bodyPr>
                    </wps:wsp>
                  </a:graphicData>
                </a:graphic>
              </wp:anchor>
            </w:drawing>
          </mc:Choice>
          <mc:Fallback>
            <w:pict>
              <v:oval type="#_x0000_t3" id="椭圆 37" o:spid="_x0000_s37" fillcolor="#1F2959" stroked="f" style="position:absolute;margin-left:62.200005pt;margin-top:242.75pt;width:103.45pt;height:103.45pt;z-index:53;mso-position-horizontal:absolute;mso-position-vertical:absolute;mso-wrap-distance-left:8.999863pt;mso-wrap-distance-right:8.999863pt;mso-wrap-style:square;">
                <v:stroke color="#000000"/>
                <v:textbox id="873" inset="2.54mm,1.27mm,2.54mm,1.27mm" o:insetmode="custom" style="layout-flow:horizontal;v-text-anchor:middle;">
                  <w:txbxContent>
                    <w:p>
                      <w:pPr>
                        <w:jc w:val="center"/>
                      </w:pPr>
                    </w:p>
                  </w:txbxContent>
                </v:textbox>
              </v:oval>
            </w:pict>
          </mc:Fallback>
        </mc:AlternateContent>
      </w:r>
      <w:r>
        <w:rPr>
          <w:color w:val="000000"/>
        </w:rPr>
        <mc:AlternateContent>
          <mc:Choice Requires="wps">
            <w:drawing>
              <wp:anchor distT="0" distB="0" distL="114298" distR="114298" simplePos="0" relativeHeight="50" behindDoc="0" locked="0" layoutInCell="1" hidden="0" allowOverlap="1">
                <wp:simplePos x="0" y="0"/>
                <wp:positionH relativeFrom="column">
                  <wp:posOffset>15874</wp:posOffset>
                </wp:positionH>
                <wp:positionV relativeFrom="paragraph">
                  <wp:posOffset>10435590</wp:posOffset>
                </wp:positionV>
                <wp:extent cx="7560310" cy="5"/>
                <wp:effectExtent l="0" t="0" r="0" b="0"/>
                <wp:wrapNone/>
                <wp:docPr id="38" name="组合"/>
                <wp:cNvGraphicFramePr>
                  <a:graphicFrameLocks noChangeAspect="0"/>
                </wp:cNvGraphicFramePr>
                <a:graphic>
                  <a:graphicData uri="http://schemas.microsoft.com/office/word/2010/wordprocessingGroup">
                    <wpg:wgp>
                      <wpg:cNvPr id="39" name="组合 39"/>
                      <wpg:cNvGrpSpPr/>
                      <wpg:grpSpPr>
                        <a:xfrm rot="0">
                          <a:off x="0" y="0"/>
                          <a:ext cx="7560310" cy="5"/>
                          <a:chOff x="0" y="0"/>
                          <a:chExt cx="7560310" cy="5"/>
                        </a:xfrm>
                        <a:prstGeom prst="rect"/>
                        <a:solidFill>
                          <a:srgbClr val="FFFFFF"/>
                        </a:solidFill>
                        <a:ln w="9525" cmpd="sng" cap="flat">
                          <a:solidFill>
                            <a:srgbClr val="000000"/>
                          </a:solidFill>
                          <a:prstDash val="solid"/>
                          <a:miter/>
                        </a:ln>
                      </wpg:grpSpPr>
                      <wps:wsp>
                        <wps:cNvPr id="40" name="矩形 40"/>
                        <wps:cNvSpPr/>
                        <wps:spPr>
                          <a:xfrm rot="0">
                            <a:off x="0" y="0"/>
                            <a:ext cx="714374" cy="5"/>
                          </a:xfrm>
                          <a:prstGeom prst="rect"/>
                          <a:solidFill>
                            <a:srgbClr val="FDBC11"/>
                          </a:solidFill>
                          <a:ln w="9525" cmpd="sng" cap="flat">
                            <a:noFill/>
                            <a:prstDash val="solid"/>
                            <a:miter/>
                          </a:ln>
                        </wps:spPr>
                        <wps:bodyPr vert="horz" wrap="square" lIns="91440" tIns="45720" rIns="91440" bIns="45720" anchor="t" anchorCtr="0" upright="1">
                          <a:noAutofit/>
                        </wps:bodyPr>
                      </wps:wsp>
                      <wps:wsp>
                        <wps:cNvPr id="41" name="矩形 41"/>
                        <wps:cNvSpPr/>
                        <wps:spPr>
                          <a:xfrm rot="0">
                            <a:off x="715010" y="0"/>
                            <a:ext cx="6845300" cy="5"/>
                          </a:xfrm>
                          <a:prstGeom prst="rect"/>
                          <a:solidFill>
                            <a:srgbClr val="1F2959"/>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42" o:spid="_x0000_s42" coordorigin="24,16434" coordsize="11906,0" style="position:absolute;margin-left:1.25pt;margin-top:821.7pt;width:595.3pt;height:4.577567E-4pt;z-index:50;mso-position-horizontal:absolute;mso-position-vertical:absolute;mso-wrap-distance-left:8.999863pt;mso-wrap-distance-right:8.999863pt;">
                <v:rect type="#_x0000_t1" id="矩形 43" o:spid="_x0000_s43" style="position:absolute;left:24;top:16434;width:1124;height:0;" fillcolor="#FDBC11" stroked="f">
                  <v:stroke color="#000000"/>
                </v:rect>
                <v:rect type="#_x0000_t1" id="矩形 44" o:spid="_x0000_s44" style="position:absolute;left:1151;top:16434;width:10780;height:0;" fillcolor="#1F2959" stroked="f">
                  <v:stroke color="#000000"/>
                </v:rect>
              </v:group>
            </w:pict>
          </mc:Fallback>
        </mc:AlternateContent>
      </w:r>
      <w:r>
        <w:rPr>
          <w:color w:val="000000"/>
        </w:rPr>
        <mc:AlternateContent>
          <mc:Choice Requires="wps">
            <w:drawing>
              <wp:anchor distT="0" distB="0" distL="114298" distR="114298" simplePos="0" relativeHeight="2" behindDoc="1" locked="0" layoutInCell="1" hidden="0" allowOverlap="1">
                <wp:simplePos x="0" y="0"/>
                <wp:positionH relativeFrom="column">
                  <wp:posOffset>-31749</wp:posOffset>
                </wp:positionH>
                <wp:positionV relativeFrom="paragraph">
                  <wp:posOffset>-85723</wp:posOffset>
                </wp:positionV>
                <wp:extent cx="7623175" cy="883920"/>
                <wp:effectExtent l="0" t="0" r="0" b="0"/>
                <wp:wrapNone/>
                <wp:docPr id="45" name="组合"/>
                <wp:cNvGraphicFramePr>
                  <a:graphicFrameLocks noChangeAspect="0"/>
                </wp:cNvGraphicFramePr>
                <a:graphic>
                  <a:graphicData uri="http://schemas.microsoft.com/office/word/2010/wordprocessingGroup">
                    <wpg:wgp>
                      <wpg:cNvPr id="46" name="组合 46"/>
                      <wpg:cNvGrpSpPr/>
                      <wpg:grpSpPr>
                        <a:xfrm rot="0">
                          <a:off x="0" y="0"/>
                          <a:ext cx="7623175" cy="883920"/>
                          <a:chOff x="0" y="0"/>
                          <a:chExt cx="7623175" cy="883920"/>
                        </a:xfrm>
                        <a:prstGeom prst="rect"/>
                        <a:solidFill>
                          <a:srgbClr val="FFFFFF"/>
                        </a:solidFill>
                        <a:ln w="9525" cmpd="sng" cap="flat">
                          <a:solidFill>
                            <a:srgbClr val="000000"/>
                          </a:solidFill>
                          <a:prstDash val="solid"/>
                          <a:miter/>
                        </a:ln>
                      </wpg:grpSpPr>
                      <wps:wsp>
                        <wps:cNvPr id="47" name="矩形 47"/>
                        <wps:cNvSpPr/>
                        <wps:spPr>
                          <a:xfrm rot="0">
                            <a:off x="0" y="44450"/>
                            <a:ext cx="7623175" cy="63"/>
                          </a:xfrm>
                          <a:prstGeom prst="rect"/>
                          <a:solidFill>
                            <a:srgbClr val="FDBC11"/>
                          </a:solidFill>
                          <a:ln w="9525" cmpd="sng" cap="flat">
                            <a:noFill/>
                            <a:prstDash val="solid"/>
                            <a:miter/>
                          </a:ln>
                        </wps:spPr>
                        <wps:bodyPr vert="horz" wrap="square" lIns="91440" tIns="45720" rIns="91440" bIns="45720" anchor="t" anchorCtr="0" upright="1">
                          <a:noAutofit/>
                        </wps:bodyPr>
                      </wps:wsp>
                      <wps:wsp>
                        <wps:cNvPr id="48" name="文本框 48"/>
                        <wps:cNvSpPr/>
                        <wps:spPr>
                          <a:xfrm rot="0">
                            <a:off x="2288540" y="0"/>
                            <a:ext cx="5132705" cy="883920"/>
                          </a:xfrm>
                          <a:prstGeom prst="rect"/>
                          <a:noFill/>
                          <a:ln w="9525" cmpd="sng" cap="flat">
                            <a:noFill/>
                            <a:prstDash val="solid"/>
                            <a:miter/>
                          </a:ln>
                        </wps:spPr>
                        <wps:txbx id="49">
                          <w:txbxContent>
                            <w:p>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wps:txbx>
                        <wps:bodyPr vert="horz" wrap="square" lIns="91440" tIns="45720" rIns="91440" bIns="45720" anchor="t" anchorCtr="0" upright="1">
                          <a:spAutoFit/>
                        </wps:bodyPr>
                      </wps:wsp>
                      <wps:bodyPr vert="horz" wrap="square" lIns="91440" tIns="45720" rIns="91440" bIns="45720" anchor="t" anchorCtr="0" upright="1">
                        <a:noAutofit/>
                      </wps:bodyPr>
                    </wpg:wgp>
                  </a:graphicData>
                </a:graphic>
              </wp:anchor>
            </w:drawing>
          </mc:Choice>
          <mc:Fallback>
            <w:pict>
              <v:group type="#_x0000_t1" id="组合 50" o:spid="_x0000_s50" coordorigin="-49,-134" coordsize="12005,1392" style="position:absolute;margin-left:-2.5pt;margin-top:-6.749897pt;width:600.25pt;height:69.600006pt;z-index:-37;mso-position-horizontal:absolute;mso-position-vertical:absolute;mso-wrap-distance-left:8.999863pt;mso-wrap-distance-right:8.999863pt;">
                <v:rect type="#_x0000_t1" id="矩形 51" o:spid="_x0000_s51" style="position:absolute;left:-49;top:-64;width:12005;height:0;" fillcolor="#FDBC11" stroked="f">
                  <v:stroke color="#000000"/>
                </v:rect>
                <v:shape type="#_x0000_t202" id="文本框 52" o:spid="_x0000_s52" style="position:absolute;left:3554;top:-134;width:8083;height:1392;mso-wrap-style:square;" filled="f" stroked="f">
                  <v:textbox id="850" inset="2.54mm,1.27mm,2.54mm,1.27mm" o:insetmode="custom" style="layout-flow:horizontal;v-text-anchor:top;mso-fit-shape-to-text:t;">
                    <w:txbxContent>
                      <w:p>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troke color="#000000"/>
                </v:shape>
              </v:group>
            </w:pict>
          </mc:Fallback>
        </mc:AlternateContent>
      </w:r>
      <w:r>
        <w:rPr>
          <w:color w:val="000000"/>
        </w:rPr>
        <mc:AlternateContent>
          <mc:Choice Requires="wps">
            <w:drawing>
              <wp:anchor distT="0" distB="0" distL="114298" distR="114298" simplePos="0" relativeHeight="51" behindDoc="0" locked="0" layoutInCell="1" hidden="0" allowOverlap="1">
                <wp:simplePos x="0" y="0"/>
                <wp:positionH relativeFrom="column">
                  <wp:posOffset>2346325</wp:posOffset>
                </wp:positionH>
                <wp:positionV relativeFrom="paragraph">
                  <wp:posOffset>3639820</wp:posOffset>
                </wp:positionV>
                <wp:extent cx="192404" cy="487679"/>
                <wp:effectExtent l="0" t="0" r="0" b="0"/>
                <wp:wrapNone/>
                <wp:docPr id="53" name="矩形"/>
                <wp:cNvGraphicFramePr>
                  <a:graphicFrameLocks noChangeAspect="0"/>
                </wp:cNvGraphicFramePr>
                <a:graphic>
                  <a:graphicData uri="http://schemas.microsoft.com/office/word/2010/wordprocessingShape">
                    <wps:wsp>
                      <wps:cNvSpPr/>
                      <wps:spPr>
                        <a:xfrm rot="0">
                          <a:off x="0" y="0"/>
                          <a:ext cx="192404" cy="487679"/>
                        </a:xfrm>
                        <a:prstGeom prst="rect"/>
                        <a:noFill/>
                        <a:ln w="9525" cmpd="sng" cap="flat">
                          <a:noFill/>
                          <a:prstDash val="solid"/>
                          <a:miter/>
                        </a:ln>
                      </wps:spPr>
                      <wps:txbx id="54">
                        <w:txbxContent>
                          <w:p/>
                        </w:txbxContent>
                      </wps:txbx>
                      <wps:bodyPr vert="horz" wrap="none" lIns="91440" tIns="45720" rIns="91440" bIns="45720" anchor="t" anchorCtr="0" upright="1">
                        <a:spAutoFit/>
                      </wps:bodyPr>
                    </wps:wsp>
                  </a:graphicData>
                </a:graphic>
              </wp:anchor>
            </w:drawing>
          </mc:Choice>
          <mc:Fallback>
            <w:pict>
              <v:rect type="#_x0000_t1" id="矩形 55" o:spid="_x0000_s55" filled="f" stroked="f" style="position:absolute;margin-left:184.75pt;margin-top:286.6pt;width:15.149996pt;height:38.399998pt;z-index:51;mso-position-horizontal:absolute;mso-position-vertical:absolute;mso-wrap-distance-left:8.999863pt;mso-wrap-distance-right:8.999863pt;mso-wrap-style:none;">
                <v:stroke color="#000000"/>
                <v:textbox id="874" inset="2.54mm,1.27mm,2.54mm,1.27mm" o:insetmode="custom" style="layout-flow:horizontal;v-text-anchor:top;mso-fit-shape-to-text:t;">
                  <w:txbxContent>
                    <w:p/>
                  </w:txbxContent>
                </v:textbox>
              </v:rect>
            </w:pict>
          </mc:Fallback>
        </mc:AlternateContent>
      </w:r>
    </w:p>
    <w:p>
      <w:pPr>
        <w:rPr>
          <w:color w:val="000000"/>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rPr>
          <w:rFonts w:ascii="黑体" w:eastAsia="黑体" w:cs="Times New Roman"/>
          <w:color w:val="000000"/>
          <w:sz w:val="48"/>
          <w:szCs w:val="48"/>
        </w:rPr>
      </w:pPr>
      <w:r>
        <w:rPr>
          <w:rFonts w:ascii="黑体" w:eastAsia="黑体" w:cs="Times New Roman" w:hint="eastAsia"/>
          <w:color w:val="000000"/>
          <w:sz w:val="48"/>
          <w:szCs w:val="48"/>
        </w:rPr>
        <w:br w:type="page"/>
      </w:r>
    </w:p>
    <w:p>
      <w:pPr>
        <w:tabs>
          <w:tab w:val="left" w:pos="2728"/>
        </w:tabs>
        <w:rPr>
          <w:rFonts w:ascii="黑体" w:eastAsia="黑体" w:cs="Times New Roman"/>
          <w:color w:val="000000"/>
          <w:sz w:val="48"/>
          <w:szCs w:val="48"/>
        </w:rPr>
      </w:pPr>
      <w:r>
        <w:rPr>
          <w:rFonts w:ascii="黑体" w:eastAsia="黑体" w:cs="Times New Roman" w:hint="eastAsia"/>
          <w:color w:val="000000"/>
          <w:sz w:val="48"/>
          <w:szCs w:val="48"/>
        </w:rPr>
        <w:tab/>
      </w:r>
    </w:p>
    <w:p>
      <w:pPr>
        <w:rPr>
          <w:rFonts w:ascii="黑体" w:eastAsia="黑体" w:cs="黑体"/>
          <w:color w:val="000000"/>
          <w:sz w:val="56"/>
          <w:szCs w:val="72"/>
        </w:rPr>
      </w:pPr>
    </w:p>
    <w:p>
      <w:pPr>
        <w:rPr>
          <w:rFonts w:ascii="黑体" w:eastAsia="黑体" w:cs="黑体"/>
          <w:b/>
          <w:bCs/>
          <w:color w:val="000000"/>
          <w:sz w:val="72"/>
          <w:szCs w:val="96"/>
        </w:rPr>
      </w:pPr>
      <w:r>
        <w:rPr>
          <w:rFonts w:ascii="黑体" w:eastAsia="黑体" w:cs="黑体" w:hint="eastAsia"/>
          <w:b/>
          <w:bCs/>
          <w:color w:val="000000"/>
          <w:sz w:val="72"/>
          <w:szCs w:val="96"/>
        </w:rPr>
        <w:t>2019年度部门决算公开文本</w:t>
      </w:r>
    </w:p>
    <w:p>
      <w:pPr>
        <w:spacing w:line="36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napToGrid w:val="0"/>
        <w:ind w:firstLineChars="100" w:firstLine="440"/>
        <w:rPr>
          <w:rFonts w:ascii="楷体_GB2312" w:eastAsia="楷体_GB2312" w:cs="楷体_GB2312"/>
          <w:color w:val="000000"/>
          <w:kern w:val="0"/>
          <w:sz w:val="44"/>
          <w:szCs w:val="44"/>
          <w:highlight w:val="yellow"/>
        </w:rPr>
      </w:pPr>
    </w:p>
    <w:p>
      <w:pPr>
        <w:snapToGrid w:val="0"/>
        <w:ind w:firstLineChars="100" w:firstLine="440"/>
        <w:jc w:val="center"/>
        <w:rPr>
          <w:rFonts w:ascii="楷体_GB2312" w:eastAsia="楷体_GB2312" w:cs="楷体_GB2312"/>
          <w:color w:val="000000"/>
          <w:kern w:val="0"/>
          <w:sz w:val="44"/>
          <w:szCs w:val="44"/>
        </w:rPr>
      </w:pPr>
      <w:r>
        <w:rPr>
          <w:rFonts w:ascii="楷体_GB2312" w:eastAsia="楷体_GB2312" w:cs="楷体_GB2312" w:hint="eastAsia"/>
          <w:color w:val="000000"/>
          <w:kern w:val="0"/>
          <w:sz w:val="44"/>
          <w:szCs w:val="44"/>
        </w:rPr>
        <w:t>廊坊市广阳区人民检察院</w:t>
      </w:r>
    </w:p>
    <w:p>
      <w:pPr>
        <w:snapToGrid w:val="0"/>
        <w:jc w:val="center"/>
        <w:rPr>
          <w:rFonts w:ascii="楷体_GB2312" w:eastAsia="楷体_GB2312" w:cs="楷体_GB2312"/>
          <w:color w:val="000000"/>
          <w:kern w:val="0"/>
          <w:sz w:val="44"/>
          <w:szCs w:val="44"/>
        </w:rPr>
        <w:sectPr>
          <w:headerReference w:type="default" r:id="rId3"/>
          <w:headerReference w:type="first" r:id="rId4"/>
          <w:footerReference w:type="first" r:id="rId5"/>
          <w:type w:val="continuous"/>
          <w:pgSz w:w="11906" w:h="16838"/>
          <w:pgMar w:top="2041" w:right="1531" w:bottom="2041" w:left="1531" w:header="851" w:footer="992" w:gutter="0"/>
          <w:titlePg/>
          <w:docGrid w:type="lines" w:linePitch="312" w:charSpace="0"/>
        </w:sectPr>
      </w:pPr>
      <w:r>
        <w:rPr>
          <w:rFonts w:ascii="楷体_GB2312" w:eastAsia="楷体_GB2312" w:cs="楷体_GB2312" w:hint="eastAsia"/>
          <w:color w:val="000000"/>
          <w:kern w:val="0"/>
          <w:sz w:val="44"/>
          <w:szCs w:val="44"/>
        </w:rPr>
        <w:t>二〇二〇年十一月</w:t>
      </w:r>
    </w:p>
    <w:p>
      <w:pPr>
        <w:tabs>
          <w:tab w:val="left" w:pos="2728"/>
        </w:tabs>
        <w:rPr>
          <w:rFonts w:ascii="黑体" w:eastAsia="黑体" w:cs="Times New Roman"/>
          <w:color w:val="000000"/>
          <w:sz w:val="48"/>
          <w:szCs w:val="48"/>
        </w:rPr>
      </w:pPr>
    </w:p>
    <w:p>
      <w:pPr>
        <w:tabs>
          <w:tab w:val="left" w:pos="2728"/>
        </w:tabs>
        <w:spacing w:line="584" w:lineRule="exact"/>
        <w:jc w:val="center"/>
        <w:rPr>
          <w:rFonts w:ascii="黑体" w:eastAsia="黑体" w:cs="Times New Roman"/>
          <w:color w:val="000000"/>
          <w:sz w:val="48"/>
          <w:szCs w:val="48"/>
        </w:rPr>
      </w:pPr>
      <w:r>
        <w:rPr>
          <w:rFonts w:ascii="黑体" w:eastAsia="黑体" w:cs="Times New Roman" w:hint="eastAsia"/>
          <w:color w:val="000000"/>
          <w:sz w:val="48"/>
          <w:szCs w:val="48"/>
        </w:rPr>
        <w:t>目    录</w:t>
      </w:r>
    </w:p>
    <w:p>
      <w:pPr>
        <w:widowControl/>
        <w:spacing w:after="160" w:line="584" w:lineRule="exact"/>
        <w:ind w:firstLineChars="200" w:firstLine="640"/>
        <w:rPr>
          <w:rFonts w:ascii="Times New Roman" w:eastAsia="黑体" w:cs="Times New Roman" w:hAnsi="Times New Roman"/>
          <w:color w:val="000000"/>
          <w:sz w:val="32"/>
          <w:szCs w:val="32"/>
        </w:rPr>
      </w:pPr>
    </w:p>
    <w:p>
      <w:pPr>
        <w:widowControl/>
        <w:spacing w:after="160" w:line="584" w:lineRule="exact"/>
        <w:ind w:firstLineChars="200" w:firstLine="640"/>
        <w:rPr>
          <w:rFonts w:ascii="Times New Roman" w:eastAsia="仿宋_GB2312" w:cs="Times New Roman" w:hAnsi="Times New Roman"/>
          <w:color w:val="000000"/>
          <w:sz w:val="24"/>
          <w:szCs w:val="32"/>
        </w:rPr>
      </w:pPr>
      <w:r>
        <w:rPr>
          <w:rFonts w:ascii="Times New Roman" w:eastAsia="黑体" w:cs="Times New Roman" w:hAnsi="Times New Roman"/>
          <w:color w:val="000000"/>
          <w:sz w:val="32"/>
          <w:szCs w:val="32"/>
        </w:rPr>
        <w:t>第一部分   部门概况</w:t>
      </w:r>
    </w:p>
    <w:p>
      <w:pPr>
        <w:widowControl/>
        <w:spacing w:after="160" w:line="584" w:lineRule="exact"/>
        <w:ind w:firstLineChars="398" w:firstLine="1274"/>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一、部门</w:t>
      </w:r>
      <w:r>
        <w:rPr>
          <w:rFonts w:ascii="Times New Roman" w:eastAsia="仿宋_GB2312" w:cs="Times New Roman" w:hAnsi="Times New Roman" w:hint="eastAsia"/>
          <w:color w:val="000000"/>
          <w:sz w:val="32"/>
          <w:szCs w:val="32"/>
        </w:rPr>
        <w:t>职责</w:t>
      </w:r>
    </w:p>
    <w:p>
      <w:pPr>
        <w:widowControl/>
        <w:spacing w:after="160" w:line="584" w:lineRule="exact"/>
        <w:ind w:firstLineChars="398" w:firstLine="1274"/>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二、</w:t>
      </w:r>
      <w:r>
        <w:rPr>
          <w:rFonts w:ascii="Times New Roman" w:eastAsia="仿宋_GB2312" w:cs="Times New Roman" w:hAnsi="Times New Roman" w:hint="eastAsia"/>
          <w:color w:val="000000"/>
          <w:sz w:val="32"/>
          <w:szCs w:val="32"/>
        </w:rPr>
        <w:t>机构设置</w:t>
      </w:r>
    </w:p>
    <w:p>
      <w:pPr>
        <w:widowControl/>
        <w:spacing w:after="160" w:line="584" w:lineRule="exact"/>
        <w:ind w:firstLineChars="200" w:firstLine="640"/>
        <w:rPr>
          <w:rFonts w:ascii="Times New Roman" w:eastAsia="黑体" w:cs="Times New Roman" w:hAnsi="Times New Roman"/>
          <w:color w:val="000000"/>
          <w:sz w:val="32"/>
          <w:szCs w:val="32"/>
        </w:rPr>
      </w:pPr>
      <w:r>
        <w:rPr>
          <w:rFonts w:ascii="Times New Roman" w:eastAsia="黑体" w:cs="Times New Roman" w:hAnsi="Times New Roman"/>
          <w:color w:val="000000"/>
          <w:sz w:val="32"/>
          <w:szCs w:val="32"/>
        </w:rPr>
        <w:t>第二部分   201</w:t>
      </w:r>
      <w:r>
        <w:rPr>
          <w:rFonts w:ascii="Times New Roman" w:eastAsia="黑体" w:cs="Times New Roman" w:hAnsi="Times New Roman" w:hint="eastAsia"/>
          <w:color w:val="000000"/>
          <w:sz w:val="32"/>
          <w:szCs w:val="32"/>
        </w:rPr>
        <w:t>9年度</w:t>
      </w:r>
      <w:r>
        <w:rPr>
          <w:rFonts w:ascii="Times New Roman" w:eastAsia="黑体" w:cs="Times New Roman" w:hAnsi="Times New Roman"/>
          <w:color w:val="000000"/>
          <w:sz w:val="32"/>
          <w:szCs w:val="32"/>
        </w:rPr>
        <w:t>部门决算情况说明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一、收入支出决算总体情况说明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二、收入决算情况说明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三、支出决算情况说明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四、财政拨款收入支出决算总体情况说明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五、一般公共预算</w:t>
      </w:r>
      <w:r>
        <w:rPr>
          <w:rFonts w:ascii="Times New Roman" w:eastAsia="仿宋_GB2312" w:cs="Times New Roman" w:hAnsi="Times New Roman"/>
          <w:color w:val="000000"/>
          <w:sz w:val="32"/>
          <w:szCs w:val="32"/>
        </w:rPr>
        <w:t>“三公”经费支出决算情况说明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六</w:t>
      </w:r>
      <w:r>
        <w:rPr>
          <w:rFonts w:ascii="Times New Roman" w:eastAsia="仿宋_GB2312" w:cs="Times New Roman" w:hAnsi="Times New Roman"/>
          <w:color w:val="000000"/>
          <w:sz w:val="32"/>
          <w:szCs w:val="32"/>
        </w:rPr>
        <w:t>、其他重要事项的说明</w:t>
      </w:r>
    </w:p>
    <w:p>
      <w:pPr>
        <w:widowControl/>
        <w:spacing w:after="160" w:line="584" w:lineRule="exact"/>
        <w:ind w:firstLineChars="200" w:firstLine="640"/>
        <w:rPr>
          <w:rFonts w:ascii="Times New Roman" w:eastAsia="黑体" w:cs="Times New Roman" w:hAnsi="Times New Roman"/>
          <w:color w:val="000000"/>
          <w:sz w:val="32"/>
          <w:szCs w:val="32"/>
        </w:rPr>
      </w:pPr>
      <w:r>
        <w:rPr>
          <w:rFonts w:ascii="Times New Roman" w:eastAsia="黑体" w:cs="Times New Roman" w:hAnsi="Times New Roman"/>
          <w:color w:val="000000"/>
          <w:sz w:val="32"/>
          <w:szCs w:val="32"/>
        </w:rPr>
        <w:t>第三部分</w:t>
      </w:r>
      <w:r>
        <w:rPr>
          <w:rFonts w:ascii="Times New Roman" w:eastAsia="黑体" w:cs="Times New Roman" w:hAnsi="Times New Roman" w:hint="eastAsia"/>
          <w:color w:val="000000"/>
          <w:sz w:val="32"/>
          <w:szCs w:val="32"/>
        </w:rPr>
        <w:t xml:space="preserve">  </w:t>
      </w:r>
      <w:r>
        <w:rPr>
          <w:rFonts w:ascii="Times New Roman" w:eastAsia="黑体" w:cs="Times New Roman" w:hAnsi="Times New Roman"/>
          <w:color w:val="000000"/>
          <w:sz w:val="32"/>
          <w:szCs w:val="32"/>
        </w:rPr>
        <w:t>名词解释</w:t>
      </w:r>
    </w:p>
    <w:p>
      <w:pPr>
        <w:widowControl/>
        <w:spacing w:after="160" w:line="584" w:lineRule="exact"/>
        <w:ind w:firstLineChars="200" w:firstLine="640"/>
        <w:rPr>
          <w:rFonts w:ascii="Times New Roman" w:eastAsia="黑体" w:cs="Times New Roman" w:hAnsi="Times New Roman"/>
          <w:color w:val="000000"/>
          <w:sz w:val="32"/>
          <w:szCs w:val="32"/>
        </w:rPr>
      </w:pPr>
      <w:r>
        <w:rPr>
          <w:rFonts w:ascii="Times New Roman" w:eastAsia="黑体" w:cs="Times New Roman" w:hAnsi="Times New Roman"/>
          <w:color w:val="000000"/>
          <w:sz w:val="32"/>
          <w:szCs w:val="32"/>
        </w:rPr>
        <w:t>第</w:t>
      </w:r>
      <w:r>
        <w:rPr>
          <w:rFonts w:ascii="Times New Roman" w:eastAsia="黑体" w:cs="Times New Roman" w:hAnsi="Times New Roman" w:hint="eastAsia"/>
          <w:color w:val="000000"/>
          <w:sz w:val="32"/>
          <w:szCs w:val="32"/>
        </w:rPr>
        <w:t>四</w:t>
      </w:r>
      <w:r>
        <w:rPr>
          <w:rFonts w:ascii="Times New Roman" w:eastAsia="黑体" w:cs="Times New Roman" w:hAnsi="Times New Roman"/>
          <w:color w:val="000000"/>
          <w:sz w:val="32"/>
          <w:szCs w:val="32"/>
        </w:rPr>
        <w:t>部分</w:t>
      </w:r>
      <w:r>
        <w:rPr>
          <w:rFonts w:ascii="Times New Roman" w:eastAsia="黑体" w:cs="Times New Roman" w:hAnsi="Times New Roman" w:hint="eastAsia"/>
          <w:color w:val="000000"/>
          <w:sz w:val="32"/>
          <w:szCs w:val="32"/>
        </w:rPr>
        <w:t xml:space="preserve">  </w:t>
      </w:r>
      <w:r>
        <w:rPr>
          <w:rFonts w:ascii="Times New Roman" w:eastAsia="黑体" w:cs="Times New Roman" w:hAnsi="Times New Roman"/>
          <w:color w:val="000000"/>
          <w:sz w:val="32"/>
          <w:szCs w:val="32"/>
        </w:rPr>
        <w:t>201</w:t>
      </w:r>
      <w:r>
        <w:rPr>
          <w:rFonts w:ascii="Times New Roman" w:eastAsia="黑体" w:cs="Times New Roman" w:hAnsi="Times New Roman" w:hint="eastAsia"/>
          <w:color w:val="000000"/>
          <w:sz w:val="32"/>
          <w:szCs w:val="32"/>
        </w:rPr>
        <w:t>9</w:t>
      </w:r>
      <w:r>
        <w:rPr>
          <w:rFonts w:ascii="Times New Roman" w:eastAsia="黑体" w:cs="Times New Roman" w:hAnsi="Times New Roman"/>
          <w:color w:val="000000"/>
          <w:sz w:val="32"/>
          <w:szCs w:val="32"/>
        </w:rPr>
        <w:t>年度部门决算报表</w:t>
      </w:r>
    </w:p>
    <w:p>
      <w:pPr>
        <w:widowControl/>
        <w:spacing w:after="160" w:line="584" w:lineRule="exact"/>
        <w:ind w:firstLineChars="200" w:firstLine="640"/>
        <w:rPr>
          <w:rFonts w:ascii="Times New Roman" w:eastAsia="仿宋_GB2312" w:cs="Times New Roman" w:hAnsi="Times New Roman"/>
          <w:color w:val="000000"/>
          <w:sz w:val="20"/>
          <w:szCs w:val="32"/>
        </w:rPr>
      </w:pPr>
      <w:r>
        <w:rPr>
          <w:rFonts w:ascii="Times New Roman" w:eastAsia="黑体" w:cs="Times New Roman" w:hAnsi="Times New Roman" w:hint="eastAsia"/>
          <w:color w:val="000000"/>
          <w:sz w:val="32"/>
          <w:szCs w:val="32"/>
        </w:rPr>
        <w:t>第五</w:t>
      </w:r>
      <w:r>
        <w:rPr>
          <w:rFonts w:ascii="Times New Roman" w:eastAsia="黑体" w:cs="Times New Roman" w:hAnsi="Times New Roman"/>
          <w:color w:val="000000"/>
          <w:sz w:val="32"/>
          <w:szCs w:val="32"/>
        </w:rPr>
        <w:t>部分</w:t>
      </w:r>
      <w:r>
        <w:rPr>
          <w:rFonts w:ascii="Times New Roman" w:eastAsia="黑体" w:cs="Times New Roman" w:hAnsi="Times New Roman" w:hint="eastAsia"/>
          <w:color w:val="000000"/>
          <w:sz w:val="32"/>
          <w:szCs w:val="32"/>
        </w:rPr>
        <w:t xml:space="preserve">  预算绩效</w:t>
      </w:r>
      <w:r>
        <w:rPr>
          <w:rFonts w:ascii="Times New Roman" w:eastAsia="黑体" w:cs="Times New Roman" w:hAnsi="Times New Roman"/>
          <w:color w:val="000000"/>
          <w:sz w:val="32"/>
          <w:szCs w:val="32"/>
        </w:rPr>
        <w:t>公开内容</w:t>
      </w:r>
    </w:p>
    <w:p>
      <w:pPr>
        <w:widowControl/>
        <w:spacing w:after="160" w:line="584" w:lineRule="exact"/>
        <w:ind w:left="640" w:firstLineChars="200" w:firstLine="640"/>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rPr>
        <w:t>一</w:t>
      </w:r>
      <w:r>
        <w:rPr>
          <w:rFonts w:ascii="Times New Roman" w:eastAsia="仿宋_GB2312" w:cs="Times New Roman" w:hAnsi="Times New Roman"/>
          <w:color w:val="000000"/>
          <w:sz w:val="32"/>
          <w:szCs w:val="32"/>
          <w14:textFill>
            <w14:solidFill>
              <w14:srgbClr w14:val="000000"/>
            </w14:solidFill>
          </w14:textFill>
        </w:rPr>
        <w:t>、预算绩效情况说明</w:t>
      </w:r>
    </w:p>
    <w:p>
      <w:pPr>
        <w:widowControl/>
        <w:spacing w:after="160" w:line="584" w:lineRule="exact"/>
        <w:ind w:left="640" w:firstLineChars="200" w:firstLine="640"/>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rPr>
        <w:t>二</w:t>
      </w:r>
      <w:r>
        <w:rPr>
          <w:rFonts w:ascii="Times New Roman" w:eastAsia="仿宋_GB2312" w:cs="Times New Roman" w:hAnsi="Times New Roman"/>
          <w:color w:val="000000"/>
          <w:sz w:val="32"/>
          <w:szCs w:val="32"/>
          <w14:textFill>
            <w14:solidFill>
              <w14:srgbClr w14:val="000000"/>
            </w14:solidFill>
          </w14:textFill>
        </w:rPr>
        <w:t>、</w:t>
      </w:r>
      <w:r>
        <w:rPr>
          <w:rFonts w:ascii="Times New Roman" w:eastAsia="仿宋_GB2312" w:cs="Times New Roman" w:hAnsi="Times New Roman" w:hint="eastAsia"/>
          <w:color w:val="000000"/>
          <w:sz w:val="32"/>
          <w:szCs w:val="32"/>
          <w14:textFill>
            <w14:solidFill>
              <w14:srgbClr w14:val="000000"/>
            </w14:solidFill>
          </w14:textFill>
        </w:rPr>
        <w:t>预算</w:t>
      </w:r>
      <w:r>
        <w:rPr>
          <w:rFonts w:ascii="Times New Roman" w:eastAsia="仿宋_GB2312" w:cs="Times New Roman" w:hAnsi="Times New Roman"/>
          <w:color w:val="000000"/>
          <w:sz w:val="32"/>
          <w:szCs w:val="32"/>
          <w14:textFill>
            <w14:solidFill>
              <w14:srgbClr w14:val="000000"/>
            </w14:solidFill>
          </w14:textFill>
        </w:rPr>
        <w:t>绩效公开表格</w:t>
      </w:r>
    </w:p>
    <w:p>
      <w:pPr>
        <w:widowControl/>
        <w:spacing w:after="160" w:line="580" w:lineRule="exact"/>
        <w:ind w:firstLineChars="200" w:firstLine="640"/>
        <w:rPr>
          <w:rFonts w:ascii="Times New Roman" w:eastAsia="黑体" w:cs="Times New Roman" w:hAnsi="Times New Roman"/>
          <w:color w:val="000000"/>
          <w:sz w:val="32"/>
          <w:szCs w:val="32"/>
        </w:rPr>
        <w:sectPr>
          <w:headerReference w:type="default" r:id="rId6"/>
          <w:headerReference w:type="first" r:id="rId7"/>
          <w:footerReference w:type="default" r:id="rId8"/>
          <w:footerReference w:type="first" r:id="rId9"/>
          <w:type w:val="continuous"/>
          <w:pgSz w:w="11906" w:h="16838"/>
          <w:pgMar w:top="2041" w:right="1531" w:bottom="2041" w:left="1531" w:header="851" w:footer="992" w:gutter="0"/>
          <w:titlePg/>
          <w:docGrid w:type="lines" w:linePitch="312" w:charSpace="0"/>
        </w:sectPr>
      </w:pPr>
    </w:p>
    <w:p>
      <w:pPr>
        <w:rPr>
          <w:color w:val="000000"/>
        </w:rPr>
      </w:pPr>
      <w:r>
        <w:rPr>
          <w:color w:val="000000"/>
          <w:sz w:val="72"/>
        </w:rPr>
        <mc:AlternateContent>
          <mc:Choice Requires="wps">
            <w:drawing>
              <wp:anchor distT="0" distB="0" distL="114298" distR="114298" simplePos="0" relativeHeight="55" behindDoc="0" locked="0" layoutInCell="1" hidden="0" allowOverlap="1">
                <wp:simplePos x="0" y="0"/>
                <wp:positionH relativeFrom="column">
                  <wp:posOffset>-1088390</wp:posOffset>
                </wp:positionH>
                <wp:positionV relativeFrom="paragraph">
                  <wp:posOffset>1024889</wp:posOffset>
                </wp:positionV>
                <wp:extent cx="7793355" cy="3341370"/>
                <wp:effectExtent l="0" t="0" r="0" b="0"/>
                <wp:wrapNone/>
                <wp:docPr id="62" name="文本框"/>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12700" cmpd="sng" cap="flat">
                          <a:solidFill>
                            <a:srgbClr val="FFD966"/>
                          </a:solidFill>
                          <a:prstDash val="solid"/>
                          <a:miter/>
                        </a:ln>
                      </wps:spPr>
                      <wps:txbx id="63">
                        <w:txbxContent>
                          <w:p>
                            <w:pPr>
                              <w:widowControl/>
                              <w:jc w:val="center"/>
                              <w:rPr>
                                <w:rFonts w:ascii="黑体" w:eastAsia="黑体" w:cs="黑体"/>
                                <w:color w:val="000000"/>
                                <w:sz w:val="96"/>
                                <w:szCs w:val="96"/>
                              </w:rPr>
                            </w:pPr>
                            <w:r>
                              <w:rPr>
                                <w:rFonts w:ascii="黑体" w:eastAsia="黑体" w:cs="黑体" w:hint="eastAsia"/>
                                <w:color w:val="000000"/>
                                <w:sz w:val="96"/>
                                <w:szCs w:val="96"/>
                              </w:rPr>
                              <w:t>第一部分  部门概况</w:t>
                            </w:r>
                          </w:p>
                        </w:txbxContent>
                      </wps:txbx>
                      <wps:bodyPr vert="horz" wrap="square" lIns="91440" tIns="45720" rIns="91440" bIns="45720" anchor="ctr" anchorCtr="0" upright="1">
                        <a:noAutofit/>
                      </wps:bodyPr>
                    </wps:wsp>
                  </a:graphicData>
                </a:graphic>
              </wp:anchor>
            </w:drawing>
          </mc:Choice>
          <mc:Fallback>
            <w:pict>
              <v:shape type="#_x0000_t202" id="文本框 64" o:spid="_x0000_s64" fillcolor="#FFD966" stroked="t" strokeweight="1.0pt" style="position:absolute;margin-left:-85.7pt;margin-top:80.7pt;width:613.65pt;height:263.1pt;z-index:55;mso-position-horizontal:absolute;mso-position-vertical:absolute;mso-wrap-distance-left:8.999863pt;mso-wrap-distance-right:8.999863pt;mso-wrap-style:square;">
                <v:fill r:id="rId13" o:title="5%" color2="#FFFFFF" type="pattern"/>
                <v:stroke color="#FFD966"/>
                <v:textbox id="851" inset="2.54mm,1.27mm,2.54mm,1.27mm" o:insetmode="custom" style="layout-flow:horizontal;v-text-anchor:middle;">
                  <w:txbxContent>
                    <w:p>
                      <w:pPr>
                        <w:widowControl/>
                        <w:jc w:val="center"/>
                        <w:rPr>
                          <w:rFonts w:ascii="黑体" w:eastAsia="黑体" w:cs="黑体"/>
                          <w:color w:val="000000"/>
                          <w:sz w:val="96"/>
                          <w:szCs w:val="96"/>
                        </w:rPr>
                      </w:pPr>
                      <w:r>
                        <w:rPr>
                          <w:rFonts w:ascii="黑体" w:eastAsia="黑体" w:cs="黑体" w:hint="eastAsia"/>
                          <w:color w:val="000000"/>
                          <w:sz w:val="96"/>
                          <w:szCs w:val="96"/>
                        </w:rPr>
                        <w:t>第一部分  部门概况</w:t>
                      </w:r>
                    </w:p>
                  </w:txbxContent>
                </v:textbox>
              </v:shape>
            </w:pict>
          </mc:Fallback>
        </mc:AlternateContent>
      </w:r>
      <w:r>
        <w:rPr>
          <w:color w:val="000000"/>
        </w:rPr>
        <w:br w:type="page"/>
      </w:r>
    </w:p>
    <w:p>
      <w:pPr>
        <w:pStyle w:val="1"/>
        <w:spacing w:before="0" w:after="0" w:line="580" w:lineRule="exact"/>
        <w:ind w:firstLineChars="200" w:firstLine="640"/>
        <w:jc w:val="left"/>
        <w:rPr>
          <w:rFonts w:ascii="黑体" w:eastAsia="黑体" w:cs="黑体"/>
          <w:b w:val="0"/>
          <w:bCs w:val="0"/>
          <w:color w:val="000000"/>
          <w:kern w:val="0"/>
          <w:sz w:val="32"/>
          <w:szCs w:val="32"/>
        </w:rPr>
      </w:pPr>
      <w:r>
        <w:rPr>
          <w:rFonts w:ascii="黑体" w:eastAsia="黑体" w:cs="黑体" w:hint="eastAsia"/>
          <w:b w:val="0"/>
          <w:bCs w:val="0"/>
          <w:color w:val="000000"/>
          <w:kern w:val="0"/>
          <w:sz w:val="32"/>
          <w:szCs w:val="32"/>
        </w:rPr>
        <w:t>一、部门职责</w:t>
      </w:r>
    </w:p>
    <w:p>
      <w:pPr>
        <w:spacing w:line="570" w:lineRule="exact"/>
        <w:rPr>
          <w:rFonts w:ascii="仿宋_GB2312" w:eastAsia="仿宋_GB2312" w:cs="Times New Roman"/>
          <w:sz w:val="32"/>
          <w:szCs w:val="32"/>
        </w:rPr>
      </w:pPr>
      <w:r>
        <w:rPr>
          <w:rFonts w:ascii="仿宋_GB2312" w:eastAsia="仿宋_GB2312" w:hint="eastAsia"/>
          <w:sz w:val="32"/>
          <w:szCs w:val="32"/>
        </w:rPr>
        <w:t>1、</w:t>
      </w:r>
      <w:r>
        <w:rPr>
          <w:rFonts w:ascii="仿宋_GB2312" w:eastAsia="仿宋_GB2312" w:cs="微软雅黑" w:hint="eastAsia"/>
          <w:sz w:val="32"/>
          <w:szCs w:val="32"/>
        </w:rPr>
        <w:t>深入贯彻习近平新时代中国特色社会主义思想，深入贯彻党的路线方针和决策部署，坚持党对检察工作的绝对领导，坚决维护习近平总书记的核心地位，坚决维护党中央权威和集中统一领导</w:t>
      </w:r>
      <w:r>
        <w:rPr>
          <w:rFonts w:ascii="仿宋_GB2312" w:eastAsia="仿宋_GB2312" w:cs="Malgun Gothic Semilight" w:hint="eastAsia"/>
          <w:sz w:val="32"/>
          <w:szCs w:val="32"/>
        </w:rPr>
        <w:t>。</w:t>
      </w:r>
    </w:p>
    <w:p>
      <w:pPr>
        <w:spacing w:line="570" w:lineRule="exact"/>
        <w:rPr>
          <w:rFonts w:ascii="仿宋_GB2312" w:eastAsia="仿宋_GB2312"/>
          <w:sz w:val="32"/>
          <w:szCs w:val="32"/>
        </w:rPr>
      </w:pPr>
      <w:r>
        <w:rPr>
          <w:rFonts w:ascii="仿宋_GB2312" w:eastAsia="仿宋_GB2312" w:hint="eastAsia"/>
          <w:sz w:val="32"/>
          <w:szCs w:val="32"/>
        </w:rPr>
        <w:t>2、</w:t>
      </w:r>
      <w:r>
        <w:rPr>
          <w:rFonts w:ascii="仿宋_GB2312" w:eastAsia="仿宋_GB2312" w:cs="微软雅黑" w:hint="eastAsia"/>
          <w:sz w:val="32"/>
          <w:szCs w:val="32"/>
        </w:rPr>
        <w:t>依法向区人民代表大会及其常务委员会提出议案</w:t>
      </w:r>
      <w:r>
        <w:rPr>
          <w:rFonts w:ascii="仿宋_GB2312" w:eastAsia="仿宋_GB2312" w:cs="Malgun Gothic Semilight" w:hint="eastAsia"/>
          <w:sz w:val="32"/>
          <w:szCs w:val="32"/>
        </w:rPr>
        <w:t>。</w:t>
      </w:r>
    </w:p>
    <w:p>
      <w:pPr>
        <w:spacing w:line="570" w:lineRule="exact"/>
        <w:rPr>
          <w:rFonts w:ascii="仿宋_GB2312" w:eastAsia="仿宋_GB2312"/>
          <w:sz w:val="32"/>
          <w:szCs w:val="32"/>
        </w:rPr>
      </w:pPr>
      <w:r>
        <w:rPr>
          <w:rFonts w:ascii="仿宋_GB2312" w:eastAsia="仿宋_GB2312" w:hint="eastAsia"/>
          <w:sz w:val="32"/>
          <w:szCs w:val="32"/>
        </w:rPr>
        <w:t>3、</w:t>
      </w:r>
      <w:r>
        <w:rPr>
          <w:rFonts w:ascii="仿宋_GB2312" w:eastAsia="仿宋_GB2312" w:cs="微软雅黑" w:hint="eastAsia"/>
          <w:sz w:val="32"/>
          <w:szCs w:val="32"/>
        </w:rPr>
        <w:t>贯彻落实检察工作方针、总体规划，研究制定检察工作计划并组织实施</w:t>
      </w:r>
      <w:r>
        <w:rPr>
          <w:rFonts w:ascii="仿宋_GB2312" w:eastAsia="仿宋_GB2312" w:cs="Malgun Gothic Semilight" w:hint="eastAsia"/>
          <w:sz w:val="32"/>
          <w:szCs w:val="32"/>
        </w:rPr>
        <w:t>。</w:t>
      </w:r>
    </w:p>
    <w:p>
      <w:pPr>
        <w:spacing w:line="570" w:lineRule="exact"/>
        <w:rPr>
          <w:rFonts w:ascii="仿宋_GB2312" w:eastAsia="仿宋_GB2312"/>
          <w:sz w:val="32"/>
          <w:szCs w:val="32"/>
        </w:rPr>
      </w:pPr>
      <w:r>
        <w:rPr>
          <w:rFonts w:ascii="仿宋_GB2312" w:eastAsia="仿宋_GB2312" w:hint="eastAsia"/>
          <w:sz w:val="32"/>
          <w:szCs w:val="32"/>
        </w:rPr>
        <w:t>4、</w:t>
      </w:r>
      <w:r>
        <w:rPr>
          <w:rFonts w:ascii="仿宋_GB2312" w:eastAsia="仿宋_GB2312" w:cs="微软雅黑" w:hint="eastAsia"/>
          <w:sz w:val="32"/>
          <w:szCs w:val="32"/>
        </w:rPr>
        <w:t>依照法律规定对直接受理的刑事案件行使侦查权</w:t>
      </w:r>
      <w:r>
        <w:rPr>
          <w:rFonts w:ascii="仿宋_GB2312" w:eastAsia="仿宋_GB2312" w:cs="Malgun Gothic Semilight" w:hint="eastAsia"/>
          <w:sz w:val="32"/>
          <w:szCs w:val="32"/>
        </w:rPr>
        <w:t>。</w:t>
      </w:r>
    </w:p>
    <w:p>
      <w:pPr>
        <w:spacing w:line="570" w:lineRule="exact"/>
        <w:rPr>
          <w:rFonts w:ascii="仿宋_GB2312" w:eastAsia="仿宋_GB2312"/>
          <w:sz w:val="32"/>
          <w:szCs w:val="32"/>
        </w:rPr>
      </w:pPr>
      <w:r>
        <w:rPr>
          <w:rFonts w:ascii="仿宋_GB2312" w:eastAsia="仿宋_GB2312" w:hint="eastAsia"/>
          <w:sz w:val="32"/>
          <w:szCs w:val="32"/>
        </w:rPr>
        <w:t>5、</w:t>
      </w:r>
      <w:r>
        <w:rPr>
          <w:rFonts w:ascii="仿宋_GB2312" w:eastAsia="仿宋_GB2312" w:cs="微软雅黑" w:hint="eastAsia"/>
          <w:sz w:val="32"/>
          <w:szCs w:val="32"/>
        </w:rPr>
        <w:t>负责对管辖的各类刑事案件依法审查批准逮捕、决定逮捕、提起公诉</w:t>
      </w:r>
      <w:r>
        <w:rPr>
          <w:rFonts w:ascii="仿宋_GB2312" w:eastAsia="仿宋_GB2312" w:cs="Malgun Gothic Semilight" w:hint="eastAsia"/>
          <w:sz w:val="32"/>
          <w:szCs w:val="32"/>
        </w:rPr>
        <w:t>。</w:t>
      </w:r>
    </w:p>
    <w:p>
      <w:pPr>
        <w:spacing w:line="570" w:lineRule="exact"/>
        <w:rPr>
          <w:rFonts w:ascii="仿宋_GB2312" w:eastAsia="仿宋_GB2312"/>
          <w:sz w:val="32"/>
          <w:szCs w:val="32"/>
        </w:rPr>
      </w:pPr>
      <w:r>
        <w:rPr>
          <w:rFonts w:ascii="仿宋_GB2312" w:eastAsia="仿宋_GB2312" w:hint="eastAsia"/>
          <w:sz w:val="32"/>
          <w:szCs w:val="32"/>
        </w:rPr>
        <w:t>6</w:t>
      </w:r>
      <w:r>
        <w:rPr>
          <w:rFonts w:ascii="仿宋_GB2312" w:eastAsia="仿宋_GB2312" w:cs="Malgun Gothic Semilight" w:hint="eastAsia"/>
          <w:sz w:val="32"/>
          <w:szCs w:val="32"/>
        </w:rPr>
        <w:t>、</w:t>
      </w:r>
      <w:r>
        <w:rPr>
          <w:rFonts w:ascii="仿宋_GB2312" w:eastAsia="仿宋_GB2312" w:cs="微软雅黑" w:hint="eastAsia"/>
          <w:sz w:val="32"/>
          <w:szCs w:val="32"/>
        </w:rPr>
        <w:t>负责应由本院承办的刑事、民事、行政诉讼活动及刑事、民事、行政判决和裁定等生效法律文书执行的法律监督工作</w:t>
      </w:r>
      <w:r>
        <w:rPr>
          <w:rFonts w:ascii="仿宋_GB2312" w:eastAsia="仿宋_GB2312" w:cs="Malgun Gothic Semilight" w:hint="eastAsia"/>
          <w:sz w:val="32"/>
          <w:szCs w:val="32"/>
        </w:rPr>
        <w:t>。</w:t>
      </w:r>
    </w:p>
    <w:p>
      <w:pPr>
        <w:spacing w:line="570" w:lineRule="exact"/>
        <w:rPr>
          <w:rFonts w:ascii="仿宋_GB2312" w:eastAsia="仿宋_GB2312"/>
          <w:sz w:val="32"/>
          <w:szCs w:val="32"/>
        </w:rPr>
      </w:pPr>
      <w:r>
        <w:rPr>
          <w:rFonts w:ascii="仿宋_GB2312" w:eastAsia="仿宋_GB2312" w:hint="eastAsia"/>
          <w:sz w:val="32"/>
          <w:szCs w:val="32"/>
        </w:rPr>
        <w:t>7、</w:t>
      </w:r>
      <w:r>
        <w:rPr>
          <w:rFonts w:ascii="仿宋_GB2312" w:eastAsia="仿宋_GB2312" w:cs="微软雅黑" w:hint="eastAsia"/>
          <w:sz w:val="32"/>
          <w:szCs w:val="32"/>
        </w:rPr>
        <w:t>负责应由本院承办的提起公益诉讼工作</w:t>
      </w:r>
      <w:r>
        <w:rPr>
          <w:rFonts w:ascii="仿宋_GB2312" w:eastAsia="仿宋_GB2312" w:cs="Malgun Gothic Semilight" w:hint="eastAsia"/>
          <w:sz w:val="32"/>
          <w:szCs w:val="32"/>
        </w:rPr>
        <w:t>。</w:t>
      </w:r>
    </w:p>
    <w:p>
      <w:pPr>
        <w:spacing w:line="570" w:lineRule="exact"/>
        <w:rPr>
          <w:rFonts w:ascii="仿宋_GB2312" w:eastAsia="仿宋_GB2312"/>
          <w:sz w:val="32"/>
          <w:szCs w:val="32"/>
        </w:rPr>
      </w:pPr>
      <w:r>
        <w:rPr>
          <w:rFonts w:ascii="仿宋_GB2312" w:eastAsia="仿宋_GB2312" w:hint="eastAsia"/>
          <w:sz w:val="32"/>
          <w:szCs w:val="32"/>
        </w:rPr>
        <w:t>8、</w:t>
      </w:r>
      <w:r>
        <w:rPr>
          <w:rFonts w:ascii="仿宋_GB2312" w:eastAsia="仿宋_GB2312" w:cs="微软雅黑" w:hint="eastAsia"/>
          <w:sz w:val="32"/>
          <w:szCs w:val="32"/>
        </w:rPr>
        <w:t>依法受理核准追诉案件，审查是否上报</w:t>
      </w:r>
      <w:r>
        <w:rPr>
          <w:rFonts w:ascii="仿宋_GB2312" w:eastAsia="仿宋_GB2312" w:cs="Malgun Gothic Semilight" w:hint="eastAsia"/>
          <w:sz w:val="32"/>
          <w:szCs w:val="32"/>
        </w:rPr>
        <w:t>。</w:t>
      </w:r>
    </w:p>
    <w:p>
      <w:pPr>
        <w:spacing w:line="570" w:lineRule="exact"/>
        <w:rPr>
          <w:rFonts w:ascii="仿宋_GB2312" w:eastAsia="仿宋_GB2312"/>
          <w:sz w:val="32"/>
          <w:szCs w:val="32"/>
        </w:rPr>
      </w:pPr>
      <w:r>
        <w:rPr>
          <w:rFonts w:ascii="仿宋_GB2312" w:eastAsia="仿宋_GB2312" w:hint="eastAsia"/>
          <w:sz w:val="32"/>
          <w:szCs w:val="32"/>
        </w:rPr>
        <w:t>9、</w:t>
      </w:r>
      <w:r>
        <w:rPr>
          <w:rFonts w:ascii="仿宋_GB2312" w:eastAsia="仿宋_GB2312" w:cs="微软雅黑" w:hint="eastAsia"/>
          <w:sz w:val="32"/>
          <w:szCs w:val="32"/>
        </w:rPr>
        <w:t>负责应由本院承办的对社区矫正等执法活动的法律监督工作</w:t>
      </w:r>
      <w:r>
        <w:rPr>
          <w:rFonts w:ascii="仿宋_GB2312" w:eastAsia="仿宋_GB2312" w:cs="Malgun Gothic Semilight" w:hint="eastAsia"/>
          <w:sz w:val="32"/>
          <w:szCs w:val="32"/>
        </w:rPr>
        <w:t>。</w:t>
      </w:r>
    </w:p>
    <w:p>
      <w:pPr>
        <w:spacing w:line="570" w:lineRule="exact"/>
        <w:rPr>
          <w:rFonts w:ascii="仿宋_GB2312" w:eastAsia="仿宋_GB2312"/>
          <w:sz w:val="32"/>
          <w:szCs w:val="32"/>
        </w:rPr>
      </w:pPr>
      <w:r>
        <w:rPr>
          <w:rFonts w:ascii="仿宋_GB2312" w:eastAsia="仿宋_GB2312" w:hint="eastAsia"/>
          <w:sz w:val="32"/>
          <w:szCs w:val="32"/>
        </w:rPr>
        <w:t>10、受理向本院的控告申诉。</w:t>
      </w:r>
    </w:p>
    <w:p>
      <w:pPr>
        <w:spacing w:line="570" w:lineRule="exact"/>
        <w:rPr>
          <w:rFonts w:ascii="仿宋_GB2312" w:eastAsia="仿宋_GB2312" w:cs="微软雅黑"/>
          <w:sz w:val="32"/>
          <w:szCs w:val="32"/>
        </w:rPr>
      </w:pPr>
      <w:r>
        <w:rPr>
          <w:rFonts w:ascii="仿宋_GB2312" w:eastAsia="仿宋_GB2312" w:cs="微软雅黑" w:hint="eastAsia"/>
          <w:sz w:val="32"/>
          <w:szCs w:val="32"/>
        </w:rPr>
        <w:t>11、组织检察工作中法律政策具体应用问题的研究；组织开展检察理论研究工作。</w:t>
      </w:r>
    </w:p>
    <w:p>
      <w:pPr>
        <w:spacing w:line="570" w:lineRule="exact"/>
        <w:rPr>
          <w:rFonts w:ascii="仿宋_GB2312" w:eastAsia="仿宋_GB2312" w:cs="Malgun Gothic Semilight"/>
          <w:sz w:val="32"/>
          <w:szCs w:val="32"/>
        </w:rPr>
      </w:pPr>
      <w:r>
        <w:rPr>
          <w:rFonts w:ascii="仿宋_GB2312" w:eastAsia="仿宋_GB2312" w:cs="微软雅黑" w:hint="eastAsia"/>
          <w:sz w:val="32"/>
          <w:szCs w:val="32"/>
        </w:rPr>
        <w:t>12、负责检察人员思想政治教育和业务培训工作；按照权限管理检察官和其他工作人员。</w:t>
      </w:r>
    </w:p>
    <w:p>
      <w:pPr>
        <w:spacing w:line="570" w:lineRule="exact"/>
        <w:rPr>
          <w:rFonts w:ascii="仿宋_GB2312" w:eastAsia="仿宋_GB2312"/>
          <w:sz w:val="32"/>
          <w:szCs w:val="32"/>
        </w:rPr>
      </w:pPr>
      <w:r>
        <w:rPr>
          <w:rFonts w:ascii="仿宋_GB2312" w:eastAsia="仿宋_GB2312" w:hint="eastAsia"/>
          <w:sz w:val="32"/>
          <w:szCs w:val="32"/>
        </w:rPr>
        <w:t>13、</w:t>
      </w:r>
      <w:r>
        <w:rPr>
          <w:rFonts w:ascii="仿宋_GB2312" w:eastAsia="仿宋_GB2312" w:cs="微软雅黑" w:hint="eastAsia"/>
          <w:sz w:val="32"/>
          <w:szCs w:val="32"/>
        </w:rPr>
        <w:t>负责本院检务督查工作</w:t>
      </w:r>
      <w:r>
        <w:rPr>
          <w:rFonts w:ascii="仿宋_GB2312" w:eastAsia="仿宋_GB2312" w:cs="Malgun Gothic Semilight" w:hint="eastAsia"/>
          <w:sz w:val="32"/>
          <w:szCs w:val="32"/>
        </w:rPr>
        <w:t>。</w:t>
      </w:r>
    </w:p>
    <w:p>
      <w:pPr>
        <w:spacing w:line="570" w:lineRule="exact"/>
        <w:rPr>
          <w:rFonts w:ascii="仿宋_GB2312" w:eastAsia="仿宋_GB2312" w:cs="Malgun Gothic Semilight"/>
          <w:sz w:val="32"/>
          <w:szCs w:val="32"/>
        </w:rPr>
      </w:pPr>
      <w:r>
        <w:rPr>
          <w:rFonts w:ascii="仿宋_GB2312" w:eastAsia="仿宋_GB2312" w:hint="eastAsia"/>
          <w:sz w:val="32"/>
          <w:szCs w:val="32"/>
        </w:rPr>
        <w:t>14、</w:t>
      </w:r>
      <w:r>
        <w:rPr>
          <w:rFonts w:ascii="仿宋_GB2312" w:eastAsia="仿宋_GB2312" w:cs="微软雅黑" w:hint="eastAsia"/>
          <w:sz w:val="32"/>
          <w:szCs w:val="32"/>
        </w:rPr>
        <w:t>负责本院检务保障以及检察技术、信息化建设工作</w:t>
      </w:r>
      <w:r>
        <w:rPr>
          <w:rFonts w:ascii="仿宋_GB2312" w:eastAsia="仿宋_GB2312" w:cs="Malgun Gothic Semilight" w:hint="eastAsia"/>
          <w:sz w:val="32"/>
          <w:szCs w:val="32"/>
        </w:rPr>
        <w:t>。</w:t>
      </w:r>
    </w:p>
    <w:p>
      <w:pPr>
        <w:spacing w:line="570" w:lineRule="exact"/>
        <w:rPr>
          <w:rFonts w:ascii="仿宋_GB2312" w:eastAsia="仿宋_GB2312"/>
          <w:sz w:val="32"/>
          <w:szCs w:val="32"/>
        </w:rPr>
      </w:pPr>
      <w:r>
        <w:rPr>
          <w:rFonts w:ascii="仿宋_GB2312" w:eastAsia="仿宋_GB2312" w:hint="eastAsia"/>
          <w:sz w:val="32"/>
          <w:szCs w:val="32"/>
        </w:rPr>
        <w:t>15、完成其他应当由本院负责的工作。</w:t>
      </w:r>
    </w:p>
    <w:p>
      <w:pPr>
        <w:keepNext/>
        <w:keepLines/>
        <w:widowControl w:val="0"/>
        <w:spacing w:line="580" w:lineRule="exact"/>
        <w:ind w:firstLineChars="200" w:firstLine="640"/>
        <w:jc w:val="left"/>
        <w:outlineLvl w:val="0"/>
        <w:rPr>
          <w:rFonts w:ascii="黑体" w:eastAsia="黑体" w:cs="黑体"/>
          <w:color w:val="000000"/>
          <w:kern w:val="0"/>
          <w:sz w:val="32"/>
          <w:szCs w:val="32"/>
        </w:rPr>
      </w:pPr>
      <w:r>
        <w:rPr>
          <w:rFonts w:ascii="黑体" w:eastAsia="黑体" w:cs="黑体" w:hint="eastAsia"/>
          <w:color w:val="000000"/>
          <w:kern w:val="0"/>
          <w:sz w:val="32"/>
          <w:szCs w:val="32"/>
        </w:rPr>
        <w:t>二、机构设置</w:t>
      </w:r>
    </w:p>
    <w:p>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从决算编报单位构成看，纳入2019 年度本部门决算汇编范围的独立核算单位（以下简称“单位”）共1个，具体情况如下：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985"/>
        <w:gridCol w:w="3485"/>
        <w:gridCol w:w="2445"/>
        <w:gridCol w:w="2665"/>
      </w:tblGrid>
      <w:tr>
        <w:trPr>
          <w:trHeight w:val="811"/>
        </w:trPr>
        <w:tc>
          <w:tcPr>
            <w:tcW w:w="985" w:type="dxa"/>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序号</w:t>
            </w:r>
          </w:p>
        </w:tc>
        <w:tc>
          <w:tcPr>
            <w:tcW w:w="3485" w:type="dxa"/>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单位名称</w:t>
            </w:r>
          </w:p>
        </w:tc>
        <w:tc>
          <w:tcPr>
            <w:tcW w:w="2445" w:type="dxa"/>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单位基本性质</w:t>
            </w:r>
          </w:p>
        </w:tc>
        <w:tc>
          <w:tcPr>
            <w:tcW w:w="2665" w:type="dxa"/>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经费形式</w:t>
            </w:r>
          </w:p>
        </w:tc>
      </w:tr>
      <w:tr>
        <w:trPr>
          <w:trHeight w:val="596"/>
        </w:trPr>
        <w:tc>
          <w:tcPr>
            <w:tcW w:w="985" w:type="dxa"/>
          </w:tcPr>
          <w:p>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1</w:t>
            </w:r>
          </w:p>
        </w:tc>
        <w:tc>
          <w:tcPr>
            <w:tcW w:w="3485" w:type="dxa"/>
          </w:tcPr>
          <w:p>
            <w:pPr>
              <w:spacing w:line="560" w:lineRule="exact"/>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廊坊市广阳区人民检察院(本级)</w:t>
            </w:r>
          </w:p>
        </w:tc>
        <w:tc>
          <w:tcPr>
            <w:tcW w:w="2445" w:type="dxa"/>
          </w:tcPr>
          <w:p>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行政单位</w:t>
            </w:r>
          </w:p>
        </w:tc>
        <w:tc>
          <w:tcPr>
            <w:tcW w:w="2665" w:type="dxa"/>
          </w:tcPr>
          <w:p>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财政拨款</w:t>
            </w:r>
          </w:p>
        </w:tc>
      </w:tr>
    </w:tbl>
    <w:p>
      <w:pPr>
        <w:widowControl/>
        <w:spacing w:after="160" w:line="580" w:lineRule="exact"/>
        <w:ind w:firstLineChars="200" w:firstLine="640"/>
        <w:rPr>
          <w:rFonts w:ascii="Times New Roman" w:eastAsia="黑体" w:cs="Times New Roman" w:hAnsi="Times New Roman"/>
          <w:color w:val="000000"/>
          <w:sz w:val="32"/>
          <w:szCs w:val="32"/>
        </w:rPr>
      </w:pPr>
    </w:p>
    <w:p>
      <w:pPr>
        <w:widowControl/>
        <w:spacing w:after="160" w:line="580" w:lineRule="exact"/>
        <w:ind w:firstLineChars="200" w:firstLine="640"/>
        <w:rPr>
          <w:rFonts w:ascii="Times New Roman" w:eastAsia="黑体" w:cs="Times New Roman" w:hAnsi="Times New Roman"/>
          <w:color w:val="000000"/>
          <w:sz w:val="32"/>
          <w:szCs w:val="32"/>
        </w:rPr>
      </w:pPr>
    </w:p>
    <w:p>
      <w:pPr>
        <w:widowControl/>
        <w:spacing w:after="160" w:line="580" w:lineRule="exact"/>
        <w:ind w:firstLineChars="200" w:firstLine="640"/>
        <w:rPr>
          <w:rFonts w:ascii="Times New Roman" w:eastAsia="黑体" w:cs="Times New Roman" w:hAnsi="Times New Roman"/>
          <w:color w:val="000000"/>
          <w:sz w:val="32"/>
          <w:szCs w:val="32"/>
        </w:rPr>
      </w:pPr>
    </w:p>
    <w:p>
      <w:pPr>
        <w:widowControl/>
        <w:spacing w:after="160" w:line="580" w:lineRule="exact"/>
        <w:ind w:firstLineChars="200" w:firstLine="640"/>
        <w:rPr>
          <w:rFonts w:ascii="Times New Roman" w:eastAsia="黑体" w:cs="Times New Roman" w:hAnsi="Times New Roman"/>
          <w:color w:val="000000"/>
          <w:sz w:val="32"/>
          <w:szCs w:val="32"/>
        </w:rPr>
        <w:sectPr>
          <w:headerReference w:type="default" r:id="rId10"/>
          <w:footerReference w:type="default" r:id="rId11"/>
          <w:footerReference w:type="first" r:id="rId12"/>
          <w:pgSz w:w="11906" w:h="16838"/>
          <w:pgMar w:top="2041" w:right="1531" w:bottom="2041" w:left="1531" w:header="851" w:footer="992" w:gutter="0"/>
          <w:pgNumType w:fmt="numberInDash" w:start="1"/>
          <w:titlePg/>
          <w:docGrid w:type="lines" w:linePitch="312" w:charSpace="0"/>
        </w:sectPr>
      </w:pPr>
    </w:p>
    <w:p>
      <w:pPr>
        <w:widowControl/>
        <w:spacing w:after="160" w:line="580" w:lineRule="exact"/>
        <w:ind w:firstLineChars="200" w:firstLine="640"/>
        <w:rPr>
          <w:rFonts w:ascii="Times New Roman" w:eastAsia="黑体" w:cs="Times New Roman" w:hAnsi="Times New Roman"/>
          <w:color w:val="000000"/>
          <w:sz w:val="32"/>
          <w:szCs w:val="32"/>
        </w:rPr>
        <w:sectPr>
          <w:headerReference w:type="default" r:id="rId14"/>
          <w:type w:val="continuous"/>
          <w:pgSz w:w="11906" w:h="16838"/>
          <w:pgMar w:top="2041" w:right="1531" w:bottom="2041" w:left="1531" w:header="851" w:footer="992" w:gutter="0"/>
          <w:pgNumType w:fmt="numberInDash"/>
          <w:titlePg/>
          <w:docGrid w:type="lines" w:linePitch="312" w:charSpace="0"/>
        </w:sectPr>
      </w:pPr>
    </w:p>
    <w:p>
      <w:pPr>
        <w:widowControl/>
        <w:spacing w:after="160" w:line="580" w:lineRule="exact"/>
        <w:ind w:firstLineChars="200" w:firstLine="1440"/>
        <w:rPr>
          <w:rFonts w:ascii="Times New Roman" w:eastAsia="黑体" w:cs="Times New Roman" w:hAnsi="Times New Roman"/>
          <w:color w:val="000000"/>
          <w:sz w:val="32"/>
          <w:szCs w:val="32"/>
        </w:rPr>
        <w:sectPr>
          <w:pgSz w:w="11906" w:h="16838"/>
          <w:pgMar w:top="2041" w:right="1531" w:bottom="2041" w:left="1531" w:header="851" w:footer="992" w:gutter="0"/>
          <w:pgNumType w:fmt="numberInDash"/>
          <w:titlePg/>
          <w:docGrid w:type="lines" w:linePitch="312" w:charSpace="0"/>
        </w:sectPr>
      </w:pPr>
      <w:r>
        <w:rPr>
          <w:color w:val="000000"/>
          <w:sz w:val="72"/>
        </w:rPr>
        <mc:AlternateContent>
          <mc:Choice Requires="wps">
            <w:drawing>
              <wp:anchor distT="0" distB="0" distL="114298" distR="114298" simplePos="0" relativeHeight="56" behindDoc="0" locked="0" layoutInCell="1" hidden="0" allowOverlap="1">
                <wp:simplePos x="0" y="0"/>
                <wp:positionH relativeFrom="column">
                  <wp:posOffset>-1088390</wp:posOffset>
                </wp:positionH>
                <wp:positionV relativeFrom="paragraph">
                  <wp:posOffset>3024504</wp:posOffset>
                </wp:positionV>
                <wp:extent cx="7793355" cy="2200275"/>
                <wp:effectExtent l="0" t="0" r="0" b="0"/>
                <wp:wrapNone/>
                <wp:docPr id="66" name="文本框"/>
                <wp:cNvGraphicFramePr>
                  <a:graphicFrameLocks noChangeAspect="0"/>
                </wp:cNvGraphicFramePr>
                <a:graphic>
                  <a:graphicData uri="http://schemas.microsoft.com/office/word/2010/wordprocessingShape">
                    <wps:wsp>
                      <wps:cNvSpPr/>
                      <wps:spPr>
                        <a:xfrm rot="0">
                          <a:off x="0" y="0"/>
                          <a:ext cx="7793355" cy="2200275"/>
                        </a:xfrm>
                        <a:prstGeom prst="rect"/>
                        <a:noFill/>
                        <a:ln w="9525" cmpd="sng" cap="flat">
                          <a:noFill/>
                          <a:prstDash val="solid"/>
                          <a:miter/>
                        </a:ln>
                      </wps:spPr>
                      <wps:txbx id="67">
                        <w:txbxContent>
                          <w:p>
                            <w:pPr>
                              <w:widowControl/>
                              <w:jc w:val="center"/>
                              <w:rPr>
                                <w:rFonts w:ascii="黑体" w:eastAsia="黑体" w:cs="黑体"/>
                                <w:color w:val="000000"/>
                                <w:sz w:val="96"/>
                                <w:szCs w:val="96"/>
                              </w:rPr>
                            </w:pPr>
                            <w:r>
                              <w:rPr>
                                <w:rFonts w:ascii="黑体" w:eastAsia="黑体" w:cs="黑体" w:hint="eastAsia"/>
                                <w:color w:val="000000"/>
                                <w:sz w:val="96"/>
                                <w:szCs w:val="96"/>
                              </w:rPr>
                              <w:t xml:space="preserve"> </w:t>
                            </w:r>
                          </w:p>
                          <w:p>
                            <w:pPr>
                              <w:widowControl/>
                              <w:jc w:val="center"/>
                              <w:rPr>
                                <w:rFonts w:ascii="黑体" w:eastAsia="黑体" w:cs="黑体"/>
                                <w:color w:val="000000"/>
                                <w:sz w:val="96"/>
                                <w:szCs w:val="96"/>
                              </w:rPr>
                            </w:pPr>
                          </w:p>
                        </w:txbxContent>
                      </wps:txbx>
                      <wps:bodyPr vert="horz" wrap="square" lIns="91440" tIns="45720" rIns="91440" bIns="45720" anchor="t" anchorCtr="0" upright="1">
                        <a:noAutofit/>
                      </wps:bodyPr>
                    </wps:wsp>
                  </a:graphicData>
                </a:graphic>
              </wp:anchor>
            </w:drawing>
          </mc:Choice>
          <mc:Fallback>
            <w:pict>
              <v:shape type="#_x0000_t202" id="文本框 68" o:spid="_x0000_s68" filled="f" stroked="f" style="position:absolute;margin-left:-85.7pt;margin-top:238.14998pt;width:613.65pt;height:173.25002pt;z-index:56;mso-position-horizontal:absolute;mso-position-vertical:absolute;mso-wrap-distance-left:8.999863pt;mso-wrap-distance-right:8.999863pt;mso-wrap-style:square;">
                <v:stroke color="#000000"/>
                <v:textbox id="852" inset="2.54mm,1.27mm,2.54mm,1.27mm" o:insetmode="custom" style="layout-flow:horizontal;v-text-anchor:top;">
                  <w:txbxContent>
                    <w:p>
                      <w:pPr>
                        <w:widowControl/>
                        <w:jc w:val="center"/>
                        <w:rPr>
                          <w:rFonts w:ascii="黑体" w:eastAsia="黑体" w:cs="黑体"/>
                          <w:color w:val="000000"/>
                          <w:sz w:val="96"/>
                          <w:szCs w:val="96"/>
                        </w:rPr>
                      </w:pPr>
                      <w:r>
                        <w:rPr>
                          <w:rFonts w:ascii="黑体" w:eastAsia="黑体" w:cs="黑体" w:hint="eastAsia"/>
                          <w:color w:val="000000"/>
                          <w:sz w:val="96"/>
                          <w:szCs w:val="96"/>
                        </w:rPr>
                        <w:t xml:space="preserve"> </w:t>
                      </w:r>
                    </w:p>
                    <w:p>
                      <w:pPr>
                        <w:widowControl/>
                        <w:jc w:val="center"/>
                        <w:rPr>
                          <w:rFonts w:ascii="黑体" w:eastAsia="黑体" w:cs="黑体"/>
                          <w:color w:val="000000"/>
                          <w:sz w:val="96"/>
                          <w:szCs w:val="96"/>
                        </w:rPr>
                      </w:pPr>
                    </w:p>
                  </w:txbxContent>
                </v:textbox>
              </v:shape>
            </w:pict>
          </mc:Fallback>
        </mc:AlternateContent>
      </w:r>
    </w:p>
    <w:p>
      <w:pPr>
        <w:widowControl/>
        <w:spacing w:line="580" w:lineRule="exact"/>
        <w:ind w:firstLineChars="200" w:firstLine="640"/>
        <w:rPr>
          <w:rFonts w:eastAsia="黑体"/>
          <w:color w:val="000000"/>
          <w:sz w:val="32"/>
          <w:szCs w:val="3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r>
        <w:rPr>
          <w:color w:val="000000"/>
          <w:sz w:val="72"/>
        </w:rPr>
        <mc:AlternateContent>
          <mc:Choice Requires="wps">
            <w:drawing>
              <wp:anchor distT="0" distB="0" distL="114298" distR="114298" simplePos="0" relativeHeight="57" behindDoc="0" locked="0" layoutInCell="1" hidden="0" allowOverlap="1">
                <wp:simplePos x="0" y="0"/>
                <wp:positionH relativeFrom="column">
                  <wp:posOffset>-1153160</wp:posOffset>
                </wp:positionH>
                <wp:positionV relativeFrom="paragraph">
                  <wp:posOffset>55245</wp:posOffset>
                </wp:positionV>
                <wp:extent cx="7793355" cy="3341370"/>
                <wp:effectExtent l="0" t="0" r="0" b="0"/>
                <wp:wrapNone/>
                <wp:docPr id="69" name="文本框"/>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70">
                        <w:txbxContent>
                          <w:p>
                            <w:pPr>
                              <w:widowControl/>
                              <w:jc w:val="center"/>
                              <w:rPr>
                                <w:rFonts w:ascii="黑体" w:eastAsia="黑体" w:cs="黑体"/>
                                <w:color w:val="000000"/>
                                <w:sz w:val="90"/>
                                <w:szCs w:val="90"/>
                              </w:rPr>
                            </w:pPr>
                            <w:r>
                              <w:rPr>
                                <w:rFonts w:ascii="黑体" w:eastAsia="黑体" w:cs="黑体" w:hint="eastAsia"/>
                                <w:color w:val="000000"/>
                                <w:sz w:val="90"/>
                                <w:szCs w:val="90"/>
                              </w:rPr>
                              <w:t xml:space="preserve">第二部分 </w:t>
                            </w:r>
                          </w:p>
                          <w:p>
                            <w:pPr>
                              <w:widowControl/>
                              <w:jc w:val="center"/>
                              <w:rPr>
                                <w:rFonts w:ascii="黑体" w:eastAsia="黑体" w:cs="黑体"/>
                                <w:color w:val="000000"/>
                                <w:sz w:val="90"/>
                                <w:szCs w:val="90"/>
                              </w:rPr>
                            </w:pPr>
                            <w:r>
                              <w:rPr>
                                <w:rFonts w:ascii="黑体" w:eastAsia="黑体" w:cs="黑体" w:hint="eastAsia"/>
                                <w:color w:val="000000"/>
                                <w:sz w:val="90"/>
                                <w:szCs w:val="90"/>
                              </w:rPr>
                              <w:t>2019年部门决算情况说明</w:t>
                            </w:r>
                          </w:p>
                          <w:p/>
                        </w:txbxContent>
                      </wps:txbx>
                      <wps:bodyPr vert="horz" wrap="square" lIns="91440" tIns="45720" rIns="91440" bIns="45720" anchor="ctr" anchorCtr="0" upright="1">
                        <a:noAutofit/>
                      </wps:bodyPr>
                    </wps:wsp>
                  </a:graphicData>
                </a:graphic>
              </wp:anchor>
            </w:drawing>
          </mc:Choice>
          <mc:Fallback>
            <w:pict>
              <v:shape type="#_x0000_t202" id="文本框 71" o:spid="_x0000_s71" fillcolor="#FFD966" stroked="t" strokeweight="0.5pt" style="position:absolute;margin-left:-90.8pt;margin-top:4.35pt;width:613.64996pt;height:263.1pt;z-index:57;mso-position-horizontal:absolute;mso-position-vertical:absolute;mso-wrap-distance-left:8.999863pt;mso-wrap-distance-right:8.999863pt;mso-wrap-style:square;">
                <v:fill r:id="rId15" o:title="5%" color2="#FFFFFF" type="pattern"/>
                <v:stroke color="#FFD966"/>
                <v:textbox id="853" inset="2.54mm,1.27mm,2.54mm,1.27mm" o:insetmode="custom" style="layout-flow:horizontal;v-text-anchor:middle;">
                  <w:txbxContent>
                    <w:p>
                      <w:pPr>
                        <w:widowControl/>
                        <w:jc w:val="center"/>
                        <w:rPr>
                          <w:rFonts w:ascii="黑体" w:eastAsia="黑体" w:cs="黑体"/>
                          <w:color w:val="000000"/>
                          <w:sz w:val="90"/>
                          <w:szCs w:val="90"/>
                        </w:rPr>
                      </w:pPr>
                      <w:r>
                        <w:rPr>
                          <w:rFonts w:ascii="黑体" w:eastAsia="黑体" w:cs="黑体" w:hint="eastAsia"/>
                          <w:color w:val="000000"/>
                          <w:sz w:val="90"/>
                          <w:szCs w:val="90"/>
                        </w:rPr>
                        <w:t xml:space="preserve">第二部分 </w:t>
                      </w:r>
                    </w:p>
                    <w:p>
                      <w:pPr>
                        <w:widowControl/>
                        <w:jc w:val="center"/>
                        <w:rPr>
                          <w:rFonts w:ascii="黑体" w:eastAsia="黑体" w:cs="黑体"/>
                          <w:color w:val="000000"/>
                          <w:sz w:val="90"/>
                          <w:szCs w:val="90"/>
                        </w:rPr>
                      </w:pPr>
                      <w:r>
                        <w:rPr>
                          <w:rFonts w:ascii="黑体" w:eastAsia="黑体" w:cs="黑体" w:hint="eastAsia"/>
                          <w:color w:val="000000"/>
                          <w:sz w:val="90"/>
                          <w:szCs w:val="90"/>
                        </w:rPr>
                        <w:t>2019年部门决算情况说明</w:t>
                      </w:r>
                    </w:p>
                    <w:p/>
                  </w:txbxContent>
                </v:textbox>
              </v:shape>
            </w:pict>
          </mc:Fallback>
        </mc:AlternateContent>
      </w: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一、收入</w:t>
      </w:r>
      <w:r>
        <w:rPr>
          <w:rFonts w:ascii="黑体" w:eastAsia="黑体" w:cs="黑体" w:hint="eastAsia"/>
          <w:color w:val="000000"/>
          <w:kern w:val="0"/>
          <w:sz w:val="32"/>
          <w:szCs w:val="32"/>
        </w:rPr>
        <w:t>支出</w:t>
      </w:r>
      <w:r>
        <w:rPr>
          <w:rFonts w:ascii="黑体" w:eastAsia="黑体" w:cs="Times New Roman" w:hint="eastAsia"/>
          <w:color w:val="000000"/>
          <w:sz w:val="32"/>
          <w:szCs w:val="32"/>
        </w:rPr>
        <w:t>决算总体情况说明</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收支总计（含结转和结余）4133.02万元与2018年度决算相比，收支各减少994.91万元，下降32.5%，主要原因是我院2018年包含财政拨付偿还政府债务资金、消防建设专项经费、国家赔偿金、养老保险清算资金，上述资金除消防建设经费剩余0.7万元，其余已于2018年全部支出。除此之外，我院转隶监察委人员也相应减少了人员工资和各项保险。</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二、收入决算情况说明</w:t>
      </w:r>
    </w:p>
    <w:p>
      <w:pPr>
        <w:adjustRightInd w:val="0"/>
        <w:snapToGrid w:val="0"/>
        <w:spacing w:line="580" w:lineRule="exact"/>
        <w:ind w:firstLineChars="200" w:firstLine="640"/>
        <w:rPr>
          <w:rFonts w:ascii="黑体" w:eastAsia="黑体" w:cs="Times New Roman"/>
          <w:b/>
          <w:bCs/>
          <w:color w:val="000000"/>
          <w:sz w:val="32"/>
          <w:szCs w:val="32"/>
        </w:rPr>
      </w:pPr>
      <w:r>
        <w:rPr>
          <w:rFonts w:ascii="仿宋_GB2312" w:eastAsia="仿宋_GB2312" w:cs="DengXian-Regular" w:hint="eastAsia"/>
          <w:color w:val="000000"/>
          <w:sz w:val="32"/>
          <w:szCs w:val="32"/>
        </w:rPr>
        <w:t>本部门2019年度本年收入合计1912.63万元，其中：财政拨款收入1799.19万元，占94.07%；事业收入0万元，占0%；经营收入0万元，占0%；其他收入113.44万元，占5.93%。</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三、支出决算情况说明</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本部门2019年度本年支出合计1795.53万元，其中：基本支出1631.90万元，占90.89%；项目支出163.62万元，占9.11%；经营支出0万元，占0%。</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四、</w:t>
      </w:r>
      <w:r>
        <w:rPr>
          <w:rFonts w:ascii="黑体" w:eastAsia="黑体" w:cs="黑体" w:hint="eastAsia"/>
          <w:color w:val="000000"/>
          <w:kern w:val="0"/>
          <w:sz w:val="32"/>
          <w:szCs w:val="32"/>
        </w:rPr>
        <w:t>财政</w:t>
      </w:r>
      <w:r>
        <w:rPr>
          <w:rFonts w:ascii="黑体" w:eastAsia="黑体" w:cs="Times New Roman" w:hint="eastAsia"/>
          <w:color w:val="000000"/>
          <w:sz w:val="32"/>
          <w:szCs w:val="32"/>
        </w:rPr>
        <w:t>拨款收入支出决算总体情况说明</w:t>
      </w:r>
    </w:p>
    <w:p>
      <w:pPr>
        <w:snapToGrid w:val="0"/>
        <w:spacing w:line="580" w:lineRule="exact"/>
        <w:ind w:firstLineChars="200" w:firstLine="64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（一）财政拨款收支与2018 年度决算对比情况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本部门2019年度形成的财政拨款收支均为一般公共预算财政拨款，其中本年收入1799.19万元,比2018年度减</w:t>
      </w:r>
      <w:r>
        <w:rPr>
          <w:rFonts w:ascii="仿宋_GB2312" w:eastAsia="仿宋_GB2312" w:cs="DengXian-Regular" w:hint="eastAsia"/>
          <w:sz w:val="32"/>
          <w:szCs w:val="32"/>
        </w:rPr>
        <w:t>少188.15万元，降低9.47%，主要是2018年包含财政拨付偿还政府债务</w:t>
      </w:r>
      <w:r>
        <w:rPr>
          <w:rFonts w:ascii="仿宋_GB2312" w:eastAsia="仿宋_GB2312" w:cs="DengXian-Regular" w:hint="eastAsia"/>
          <w:color w:val="000000"/>
          <w:sz w:val="32"/>
          <w:szCs w:val="32"/>
        </w:rPr>
        <w:t>资金、消防建设专项经费、国家赔偿金、养老保险清算资金，上述资金除消防建设经费剩余0.7万元，其余已于2018年全部支出。除此之外，我院转隶监察委人员也相应减少了人员工资和各项保险；本年支出1697.80万元，减少242.05万元，降低12.48%，主要是本年度减少了偿还债务资金、消防建设专项资金、养老保险清算等支出。</w:t>
      </w:r>
    </w:p>
    <w:p>
      <w:pPr>
        <w:snapToGrid w:val="0"/>
        <w:spacing w:line="580" w:lineRule="exact"/>
        <w:ind w:firstLineChars="200" w:firstLine="640"/>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（二）财政拨款收支与年初预算数对比情况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一般公共预算财政拨款收入1799.19万元，完成年初预算的118.96%,比年初预算增加286.8万元，决算数大于预算数主要原因是公用经费追加预算以及人员工资及保险上调等原因造成；本年支出1697.80万元，完成年初预算的112.26%,比年初预算增加185.41万元，决算数大于预算数主要原因是主要是涉密信息系统改造工程资金质保金于本年度支出，以及人员工资及保险上调等原因造成。</w:t>
      </w:r>
    </w:p>
    <w:p>
      <w:pPr>
        <w:numPr>
          <w:ilvl w:val="0"/>
          <w:numId w:val="1"/>
        </w:num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财政拨款支出决算结构情况。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2019 年度财政拨款支出1697.80万元，主要用于以下方面：公共安全类（类）支出1317.8万元，占77.62%；社会保障和就业（类）支出 284.23万元，占16.74%；住房保障（类）支出59.85万元，占 3.53%;卫生健康（类）支出35.91万元，占 2.12%。</w:t>
      </w:r>
    </w:p>
    <w:p>
      <w:p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（四）一般公共预算基本支出决算情况说明</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2019 年度财政拨款基本支出1534.17万元，其中：人员经费 1324.44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209.73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五、一般公共预算“三公” 经费支出决算情况说明</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三公”经费支出共计17.94万元，完成预算的63.15%,较预算减少10.47万元，降低36.85%，主要是本年度两辆公车已出现不同程度毁损，不能正常使用，经请示区政府同意后已进行处置，故相应维修保养费用减少；较2018年度减少29.61万元，降低62.27%，主要是2018年度新购置三辆公车。具体情况如下：</w:t>
      </w:r>
    </w:p>
    <w:p>
      <w:pPr>
        <w:adjustRightInd w:val="0"/>
        <w:snapToGrid w:val="0"/>
        <w:spacing w:line="580" w:lineRule="exact"/>
        <w:ind w:firstLineChars="200" w:firstLine="640"/>
        <w:rPr>
          <w:rFonts w:ascii="仿宋_GB2312" w:eastAsia="仿宋_GB2312" w:cs="DengXian-Regular"/>
          <w:color w:val="000000"/>
          <w:sz w:val="32"/>
          <w:szCs w:val="32"/>
        </w:rPr>
      </w:pPr>
      <w:r>
        <w:rPr>
          <w:rFonts w:ascii="楷体_GB2312" w:eastAsia="楷体_GB2312" w:cs="DengXian-Bold" w:hint="eastAsia"/>
          <w:b/>
          <w:bCs/>
          <w:color w:val="000000"/>
          <w:sz w:val="32"/>
          <w:szCs w:val="32"/>
        </w:rPr>
        <w:t>（一）因公出国（境）费支出0万元。</w:t>
      </w:r>
      <w:r>
        <w:rPr>
          <w:rFonts w:ascii="仿宋_GB2312" w:eastAsia="仿宋_GB2312" w:cs="DengXian-Regular" w:hint="eastAsia"/>
          <w:color w:val="000000"/>
          <w:sz w:val="32"/>
          <w:szCs w:val="32"/>
        </w:rPr>
        <w:t>本部门2019年度因公出国（境）团组0个、共0人，参加其他单位组织的因公出国（境）团组0个、共0人，无本单位组织的出国（境）团组。因公出国（境）费支出较预算增加0万元，增长0%,主要是较年初预算无增减变化；较上年增加0万元，增长0%,主要是与2018年度决算支出持平。</w:t>
      </w:r>
    </w:p>
    <w:p>
      <w:pPr>
        <w:adjustRightInd w:val="0"/>
        <w:snapToGrid w:val="0"/>
        <w:spacing w:line="580" w:lineRule="exact"/>
        <w:ind w:firstLineChars="200" w:firstLine="640"/>
        <w:rPr>
          <w:rFonts w:ascii="仿宋_GB2312" w:eastAsia="仿宋_GB2312" w:cs="DengXian-Regular"/>
          <w:color w:val="000000"/>
          <w:sz w:val="32"/>
          <w:szCs w:val="32"/>
        </w:rPr>
      </w:pPr>
      <w:r>
        <w:rPr>
          <w:rFonts w:ascii="楷体_GB2312" w:eastAsia="楷体_GB2312" w:cs="DengXian-Bold" w:hint="eastAsia"/>
          <w:b/>
          <w:bCs/>
          <w:color w:val="000000"/>
          <w:sz w:val="32"/>
          <w:szCs w:val="32"/>
        </w:rPr>
        <w:t>（二）公务用车购置及运行维护费支出17.94万元。</w:t>
      </w:r>
      <w:r>
        <w:rPr>
          <w:rFonts w:ascii="仿宋_GB2312" w:eastAsia="仿宋_GB2312" w:cs="DengXian-Regular" w:hint="eastAsia"/>
          <w:color w:val="000000"/>
          <w:sz w:val="32"/>
          <w:szCs w:val="32"/>
        </w:rPr>
        <w:t>本部门2019年度公务用车购置及运行维护费较预算减少10.47万元，降低36.85%,主要是本年度两辆公车已出现不同程度毁损，不能正常使用，经请示区政府同意后已进行处置，故相应维修保养费用减少；较上年减少29.61万元，降低62.27%,主要是2018年度新购置三辆公车。</w:t>
      </w:r>
    </w:p>
    <w:p>
      <w:pPr>
        <w:adjustRightInd w:val="0"/>
        <w:snapToGrid w:val="0"/>
        <w:spacing w:line="580" w:lineRule="exact"/>
        <w:ind w:firstLineChars="200" w:firstLine="640"/>
        <w:rPr>
          <w:rFonts w:ascii="仿宋_GB2312" w:eastAsia="仿宋_GB2312" w:cs="DengXian-Bold"/>
          <w:b/>
          <w:bCs/>
          <w:color w:val="000000"/>
          <w:sz w:val="32"/>
          <w:szCs w:val="32"/>
        </w:rPr>
      </w:pPr>
      <w:r>
        <w:rPr>
          <w:rFonts w:ascii="仿宋_GB2312" w:eastAsia="仿宋_GB2312" w:cs="DengXian-Bold" w:hint="eastAsia"/>
          <w:b/>
          <w:bCs/>
          <w:color w:val="000000"/>
          <w:sz w:val="32"/>
          <w:szCs w:val="32"/>
        </w:rPr>
        <w:t>其中：</w:t>
      </w:r>
      <w:r>
        <w:rPr>
          <w:rFonts w:ascii="仿宋_GB2312" w:eastAsia="仿宋_GB2312" w:cs="DengXian-Regular" w:hint="eastAsia"/>
          <w:b/>
          <w:color w:val="000000"/>
          <w:sz w:val="32"/>
          <w:szCs w:val="32"/>
        </w:rPr>
        <w:t>公务用车购置费：</w:t>
      </w:r>
      <w:r>
        <w:rPr>
          <w:rFonts w:ascii="仿宋_GB2312" w:eastAsia="仿宋_GB2312" w:cs="DengXian-Regular" w:hint="eastAsia"/>
          <w:color w:val="000000"/>
          <w:sz w:val="32"/>
          <w:szCs w:val="32"/>
        </w:rPr>
        <w:t>本部门2019年度公务用车购置量0辆，发生“公务用车购置”经费支出0万元。公务用车购置费支出较预算增加0万元，增长0%,主要是与年初预算持平；较上年减少18.34万元，降低100%,主要是2018年购置3辆新车，本年度未购置新车。</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公务用车运行维护费：</w:t>
      </w:r>
      <w:r>
        <w:rPr>
          <w:rFonts w:ascii="仿宋_GB2312" w:eastAsia="仿宋_GB2312" w:cs="DengXian-Regular" w:hint="eastAsia"/>
          <w:color w:val="000000"/>
          <w:sz w:val="32"/>
          <w:szCs w:val="32"/>
        </w:rPr>
        <w:t>本部门2019年度单位公务用车保有量15辆。公车运行维护费支出较预算减少10.47万元，降低36.85%,主要是本年度两辆公车已出现不同程度毁损，不能正常使用，经请示区政府同意后已进行处置，故相应维修保养费用减少；较上年减少29.61万元，降低62.27%,主要是2018年度新购置三辆公车。</w:t>
      </w:r>
    </w:p>
    <w:p>
      <w:pPr>
        <w:adjustRightInd w:val="0"/>
        <w:snapToGrid w:val="0"/>
        <w:spacing w:line="580" w:lineRule="exact"/>
        <w:ind w:firstLineChars="200" w:firstLine="640"/>
        <w:rPr>
          <w:rFonts w:ascii="仿宋_GB2312" w:eastAsia="仿宋_GB2312" w:cs="DengXian-Regular"/>
          <w:color w:val="000000"/>
          <w:sz w:val="32"/>
          <w:szCs w:val="32"/>
        </w:rPr>
      </w:pPr>
      <w:r>
        <w:rPr>
          <w:rFonts w:ascii="楷体_GB2312" w:eastAsia="楷体_GB2312" w:cs="DengXian-Bold" w:hint="eastAsia"/>
          <w:b/>
          <w:bCs/>
          <w:color w:val="000000"/>
          <w:sz w:val="32"/>
          <w:szCs w:val="32"/>
        </w:rPr>
        <w:t>（三）公务接待费支出0万元。</w:t>
      </w:r>
      <w:r>
        <w:rPr>
          <w:rFonts w:ascii="仿宋_GB2312" w:eastAsia="仿宋_GB2312" w:cs="DengXian-Regular" w:hint="eastAsia"/>
          <w:color w:val="000000"/>
          <w:sz w:val="32"/>
          <w:szCs w:val="32"/>
        </w:rPr>
        <w:t>本部门2019年度公务接待共0批次、0人次。公务接待费支出较预算减少0万元，降低0%,与年初预算持平；较上年度减少0万元，降低0%,与2018年度决算支出持平。</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六、其他重要事项的说明</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（一）机关运行经费情况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本部门2019年度机关运行经费支出209.73万元，比2018年度增加13.6万元，增加6.93%。主要原因是2018年-2019年度的取暖费36.71万元在2019年列支，2018年未列支取暖费。</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（二）政府采购情况</w:t>
      </w:r>
    </w:p>
    <w:p>
      <w:pPr>
        <w:snapToGrid w:val="0"/>
        <w:spacing w:line="580" w:lineRule="exact"/>
        <w:ind w:firstLineChars="200" w:firstLine="640"/>
        <w:jc w:val="left"/>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本部门2019年度政府采购支出总额26.66万元，从采购类型来看，</w:t>
      </w:r>
      <w:r>
        <w:rPr>
          <w:rFonts w:ascii="仿宋_GB2312" w:eastAsia="仿宋_GB2312" w:cs="仿宋_GB2312"/>
          <w:color w:val="000000"/>
          <w:kern w:val="0"/>
          <w:sz w:val="32"/>
          <w:szCs w:val="32"/>
        </w:rPr>
        <w:t>政府采购货物支出</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 xml:space="preserve"> 万元、政府采购工程支出</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万元、政府采购服务支出</w:t>
      </w:r>
      <w:r>
        <w:rPr>
          <w:rFonts w:ascii="仿宋_GB2312" w:eastAsia="仿宋_GB2312" w:cs="仿宋_GB2312" w:hint="eastAsia"/>
          <w:color w:val="000000"/>
          <w:kern w:val="0"/>
          <w:sz w:val="32"/>
          <w:szCs w:val="32"/>
        </w:rPr>
        <w:t>26.66</w:t>
      </w:r>
      <w:r>
        <w:rPr>
          <w:rFonts w:ascii="仿宋_GB2312" w:eastAsia="仿宋_GB2312" w:cs="仿宋_GB2312"/>
          <w:color w:val="000000"/>
          <w:kern w:val="0"/>
          <w:sz w:val="32"/>
          <w:szCs w:val="32"/>
        </w:rPr>
        <w:t>万元。授予中小企业合同金</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万元，占政府采购支出总额的</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其中授予小微企业合同金额</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 xml:space="preserve">万元，占政府采购支出总额的 </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（三）国有资产占用情况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截至2019年12月31日，本部门共有车辆15辆，比上年减少2辆，主要是报废处置了两辆公车。其中，副部（省）级及以上领导用车0辆，主要领导干部用车0辆，机要通信用车1辆，应急保障用车0辆，执法执勤用车4辆，特种专业技术用车6辆，离退休干部用车0辆，其他用车4辆，其他用车主要是已毁损不能使用车辆；</w:t>
      </w:r>
    </w:p>
    <w:p>
      <w:pPr>
        <w:adjustRightInd w:val="0"/>
        <w:snapToGrid w:val="0"/>
        <w:spacing w:line="580" w:lineRule="exact"/>
        <w:ind w:firstLineChars="200" w:firstLine="640"/>
        <w:rPr>
          <w:rFonts w:ascii="楷体_GB2312" w:eastAsia="楷体_GB2312" w:cs="DengXian-Bold"/>
          <w:b/>
          <w:bCs/>
          <w:color w:val="000000"/>
          <w:sz w:val="32"/>
          <w:szCs w:val="32"/>
        </w:rPr>
      </w:pPr>
      <w:r>
        <w:rPr>
          <w:rFonts w:ascii="仿宋_GB2312" w:eastAsia="仿宋_GB2312" w:cs="DengXian-Regular" w:hint="eastAsia"/>
          <w:color w:val="000000"/>
          <w:sz w:val="32"/>
          <w:szCs w:val="32"/>
        </w:rPr>
        <w:t>单位价值</w:t>
      </w:r>
      <w:r>
        <w:rPr>
          <w:rFonts w:ascii="仿宋_GB2312" w:eastAsia="仿宋_GB2312" w:cs="TimesNewRomanPSMT" w:hint="eastAsia"/>
          <w:color w:val="000000"/>
          <w:sz w:val="32"/>
          <w:szCs w:val="32"/>
        </w:rPr>
        <w:t>50</w:t>
      </w:r>
      <w:r>
        <w:rPr>
          <w:rFonts w:ascii="仿宋_GB2312" w:eastAsia="仿宋_GB2312" w:cs="DengXian-Regular" w:hint="eastAsia"/>
          <w:color w:val="000000"/>
          <w:sz w:val="32"/>
          <w:szCs w:val="32"/>
        </w:rPr>
        <w:t>万元以上通用设备0台（套），比上年增加（减少）0套，主要是2019年未购置单位价值50万元以上的通用设备，单位价值</w:t>
      </w:r>
      <w:r>
        <w:rPr>
          <w:rFonts w:ascii="仿宋_GB2312" w:eastAsia="仿宋_GB2312" w:cs="TimesNewRomanPSMT" w:hint="eastAsia"/>
          <w:color w:val="000000"/>
          <w:sz w:val="32"/>
          <w:szCs w:val="32"/>
        </w:rPr>
        <w:t>100</w:t>
      </w:r>
      <w:r>
        <w:rPr>
          <w:rFonts w:ascii="仿宋_GB2312" w:eastAsia="仿宋_GB2312" w:cs="DengXian-Regular" w:hint="eastAsia"/>
          <w:color w:val="000000"/>
          <w:sz w:val="32"/>
          <w:szCs w:val="32"/>
        </w:rPr>
        <w:t>万元以上专用设备0台（套）比上年增加（减少）0套，主要是本年度未购置单位价值100万元以上的通用设备。</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（四）其他需要说明的情况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1. 本部门2019年度政府性基金预算财政拨款和国有资本经营预算财政拨款无收支及结转结余情况，故政府性基金预算财政拨款和国有资本经营预算财政拨款表以空表列示。</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Chars="200" w:firstLine="880"/>
        <w:jc w:val="left"/>
        <w:rPr>
          <w:rFonts w:ascii="宋体" w:eastAsia="宋体" w:cs="MS-UIGothic,Bold"/>
          <w:b/>
          <w:bCs/>
          <w:color w:val="000000"/>
          <w:kern w:val="0"/>
          <w:sz w:val="44"/>
          <w:szCs w:val="44"/>
        </w:rPr>
        <w:sectPr>
          <w:type w:val="continuous"/>
          <w:pgSz w:w="11906" w:h="16838"/>
          <w:pgMar w:top="2098" w:right="1474" w:bottom="1984" w:left="1588" w:header="851" w:footer="992" w:gutter="0"/>
          <w:pgNumType w:fmt="numberInDash"/>
          <w:docGrid w:type="lines" w:linePitch="312" w:charSpace="0"/>
        </w:sectPr>
      </w:pPr>
    </w:p>
    <w:p>
      <w:pPr>
        <w:jc w:val="center"/>
        <w:rPr>
          <w:rFonts w:ascii="黑体" w:eastAsia="黑体" w:cs="黑体"/>
          <w:color w:val="000000"/>
          <w:sz w:val="56"/>
          <w:szCs w:val="72"/>
        </w:rPr>
      </w:pPr>
    </w:p>
    <w:p>
      <w:pPr>
        <w:jc w:val="center"/>
        <w:rPr>
          <w:rFonts w:ascii="黑体" w:eastAsia="黑体" w:cs="黑体"/>
          <w:color w:val="000000"/>
          <w:sz w:val="56"/>
          <w:szCs w:val="72"/>
        </w:rPr>
        <w:sectPr>
          <w:type w:val="continuous"/>
          <w:pgSz w:w="11906" w:h="16838"/>
          <w:pgMar w:top="2041" w:right="1531" w:bottom="2041" w:left="1531" w:header="851" w:footer="992" w:gutter="0"/>
          <w:pgNumType w:fmt="numberInDash"/>
          <w:titlePg/>
          <w:docGrid w:type="lines" w:linePitch="312" w:charSpace="0"/>
        </w:sectPr>
      </w:pPr>
    </w:p>
    <w:p>
      <w:pPr>
        <w:rPr>
          <w:rFonts w:ascii="黑体" w:eastAsia="黑体" w:cs="黑体"/>
          <w:color w:val="000000"/>
          <w:sz w:val="56"/>
          <w:szCs w:val="72"/>
        </w:rPr>
        <w:sectPr>
          <w:headerReference w:type="default" r:id="rId16"/>
          <w:headerReference w:type="first" r:id="rId17"/>
          <w:footerReference w:type="default" r:id="rId18"/>
          <w:footerReference w:type="first" r:id="rId19"/>
          <w:type w:val="continuous"/>
          <w:pgSz w:w="11906" w:h="16838"/>
          <w:pgMar w:top="2041" w:right="1531" w:bottom="2041" w:left="1531" w:header="851" w:footer="992" w:gutter="0"/>
          <w:pgNumType w:fmt="numberInDash"/>
          <w:titlePg/>
          <w:docGrid w:type="lines" w:linePitch="312" w:charSpace="0"/>
        </w:sectPr>
      </w:pPr>
      <w:r>
        <w:rPr>
          <w:rFonts w:ascii="黑体" w:eastAsia="黑体" w:cs="黑体"/>
          <w:color w:val="000000"/>
          <w:sz w:val="56"/>
          <w:szCs w:val="72"/>
        </w:rPr>
        <w:br w:type="page"/>
      </w:r>
    </w:p>
    <w:p>
      <w:pP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color w:val="000000"/>
          <w:sz w:val="72"/>
        </w:rPr>
      </w:pPr>
      <w:r>
        <w:rPr>
          <w:color w:val="000000"/>
          <w:sz w:val="72"/>
        </w:rPr>
        <mc:AlternateContent>
          <mc:Choice Requires="wps">
            <w:drawing>
              <wp:anchor distT="0" distB="0" distL="114298" distR="114298" simplePos="0" relativeHeight="58" behindDoc="0" locked="0" layoutInCell="1" hidden="0" allowOverlap="1">
                <wp:simplePos x="0" y="0"/>
                <wp:positionH relativeFrom="column">
                  <wp:posOffset>-1021715</wp:posOffset>
                </wp:positionH>
                <wp:positionV relativeFrom="paragraph">
                  <wp:posOffset>441960</wp:posOffset>
                </wp:positionV>
                <wp:extent cx="7793355" cy="3341370"/>
                <wp:effectExtent l="0" t="0" r="0" b="0"/>
                <wp:wrapNone/>
                <wp:docPr id="113" name="文本框"/>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114">
                        <w:txbxContent>
                          <w:p>
                            <w:pPr>
                              <w:widowControl/>
                              <w:jc w:val="center"/>
                            </w:pPr>
                            <w:r>
                              <w:rPr>
                                <w:rFonts w:ascii="黑体" w:eastAsia="黑体" w:cs="黑体" w:hint="eastAsia"/>
                                <w:color w:val="000000"/>
                                <w:sz w:val="90"/>
                                <w:szCs w:val="90"/>
                              </w:rPr>
                              <w:t>第三部分 相关名词解释</w:t>
                            </w:r>
                          </w:p>
                        </w:txbxContent>
                      </wps:txbx>
                      <wps:bodyPr vert="horz" wrap="square" lIns="91440" tIns="45720" rIns="91440" bIns="45720" anchor="ctr" anchorCtr="0" upright="1">
                        <a:noAutofit/>
                      </wps:bodyPr>
                    </wps:wsp>
                  </a:graphicData>
                </a:graphic>
              </wp:anchor>
            </w:drawing>
          </mc:Choice>
          <mc:Fallback>
            <w:pict>
              <v:shape type="#_x0000_t202" id="文本框 115" o:spid="_x0000_s115" fillcolor="#FFD966" stroked="t" strokeweight="0.5pt" style="position:absolute;margin-left:-80.45pt;margin-top:34.8pt;width:613.65pt;height:263.1pt;z-index:58;mso-position-horizontal:absolute;mso-position-vertical:absolute;mso-wrap-distance-left:8.999863pt;mso-wrap-distance-right:8.999863pt;mso-wrap-style:square;">
                <v:fill r:id="rId21" o:title="5%" color2="#FFFFFF" type="pattern"/>
                <v:stroke color="#FFD966"/>
                <v:textbox id="854" inset="2.54mm,1.27mm,2.54mm,1.27mm" o:insetmode="custom" style="layout-flow:horizontal;v-text-anchor:middle;">
                  <w:txbxContent>
                    <w:p>
                      <w:pPr>
                        <w:widowControl/>
                        <w:jc w:val="center"/>
                      </w:pPr>
                      <w:r>
                        <w:rPr>
                          <w:rFonts w:ascii="黑体" w:eastAsia="黑体" w:cs="黑体" w:hint="eastAsia"/>
                          <w:color w:val="000000"/>
                          <w:sz w:val="90"/>
                          <w:szCs w:val="90"/>
                        </w:rPr>
                        <w:t>第三部分 相关名词解释</w:t>
                      </w:r>
                    </w:p>
                  </w:txbxContent>
                </v:textbox>
              </v:shape>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left" w:pos="886"/>
        </w:tabs>
        <w:jc w:val="left"/>
        <w:rPr>
          <w:color w:val="000000"/>
        </w:rPr>
        <w:sectPr>
          <w:headerReference w:type="first" r:id="rId20"/>
          <w:pgSz w:w="11906" w:h="16838"/>
          <w:pgMar w:top="2041" w:right="1531" w:bottom="2041" w:left="1531" w:header="851" w:footer="992" w:gutter="0"/>
          <w:pgNumType w:fmt="numberInDash"/>
          <w:titlePg/>
          <w:docGrid w:type="lines" w:linePitch="312" w:charSpace="0"/>
        </w:sectPr>
      </w:pP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（一）财政拨款收入：</w:t>
      </w:r>
      <w:r>
        <w:rPr>
          <w:rFonts w:ascii="仿宋_GB2312" w:eastAsia="仿宋_GB2312" w:cs="Times New Roman" w:hint="eastAsia"/>
          <w:color w:val="000000"/>
          <w:kern w:val="0"/>
          <w:sz w:val="32"/>
          <w:szCs w:val="32"/>
        </w:rPr>
        <w:t>本年度从本级财政部门取得的财政拨款，包括一般公共预算财政拨款和政府性基金预算财政拨款。</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（二）事业收入：</w:t>
      </w:r>
      <w:r>
        <w:rPr>
          <w:rFonts w:ascii="仿宋_GB2312" w:eastAsia="仿宋_GB2312" w:cs="Times New Roman" w:hint="eastAsia"/>
          <w:color w:val="000000"/>
          <w:kern w:val="0"/>
          <w:sz w:val="32"/>
          <w:szCs w:val="32"/>
        </w:rPr>
        <w:t>指事业单位开展专业业务活动及辅助活动所取得的收入。</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（三）其他收入：</w:t>
      </w:r>
      <w:r>
        <w:rPr>
          <w:rFonts w:ascii="仿宋_GB2312" w:eastAsia="仿宋_GB2312" w:cs="Times New Roman" w:hint="eastAsia"/>
          <w:color w:val="000000"/>
          <w:kern w:val="0"/>
          <w:sz w:val="32"/>
          <w:szCs w:val="32"/>
        </w:rPr>
        <w:t>指除上述“财政拨款收入”“事业收入”“经营收入”等以外的收入。</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（四）用事业基金弥补收支差额：</w:t>
      </w:r>
      <w:r>
        <w:rPr>
          <w:rFonts w:ascii="仿宋_GB2312" w:eastAsia="仿宋_GB2312"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（五）年初结转和结余：</w:t>
      </w:r>
      <w:r>
        <w:rPr>
          <w:rFonts w:ascii="仿宋_GB2312" w:eastAsia="仿宋_GB2312" w:cs="Times New Roman" w:hint="eastAsia"/>
          <w:color w:val="000000"/>
          <w:kern w:val="0"/>
          <w:sz w:val="32"/>
          <w:szCs w:val="32"/>
        </w:rPr>
        <w:t>指以前年度尚未完成、结转到本年仍按原规定用途继续使用的资金，或项目已完成等产生的结余资金。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（六）结余分配：</w:t>
      </w:r>
      <w:r>
        <w:rPr>
          <w:rFonts w:ascii="仿宋_GB2312" w:eastAsia="仿宋_GB2312" w:cs="Times New Roman" w:hint="eastAsia"/>
          <w:color w:val="000000"/>
          <w:kern w:val="0"/>
          <w:sz w:val="32"/>
          <w:szCs w:val="32"/>
        </w:rPr>
        <w:t>指事业单位按照事业单位会计制度的规定从非财政补助结余中分配的事业基金和职工福利基金等。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（七）年末结转和结余：</w:t>
      </w:r>
      <w:r>
        <w:rPr>
          <w:rFonts w:ascii="仿宋_GB2312" w:eastAsia="仿宋_GB2312" w:cs="Times New Roman" w:hint="eastAsia"/>
          <w:color w:val="000000"/>
          <w:kern w:val="0"/>
          <w:sz w:val="32"/>
          <w:szCs w:val="32"/>
        </w:rPr>
        <w:t>指单位按有关规定结转到下年或以后年度继续使用的资金，或项目已完成等产生的结余资金。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（八）基本支出：</w:t>
      </w:r>
      <w:r>
        <w:rPr>
          <w:rFonts w:ascii="仿宋_GB2312" w:eastAsia="仿宋_GB2312" w:cs="Times New Roman" w:hint="eastAsia"/>
          <w:color w:val="000000"/>
          <w:kern w:val="0"/>
          <w:sz w:val="32"/>
          <w:szCs w:val="32"/>
        </w:rPr>
        <w:t>填列单位为保障机构正常运转、完成日常工作任务而发生的各项支出。</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（九）项目支出：</w:t>
      </w:r>
      <w:r>
        <w:rPr>
          <w:rFonts w:ascii="仿宋_GB2312" w:eastAsia="仿宋_GB2312" w:cs="Times New Roman" w:hint="eastAsia"/>
          <w:color w:val="000000"/>
          <w:kern w:val="0"/>
          <w:sz w:val="32"/>
          <w:szCs w:val="32"/>
        </w:rPr>
        <w:t>填列单位为完成特定的行政工作任务或事业发展目标，在基本支出之外发生的各项支出</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（十）基本建设支出：</w:t>
      </w:r>
      <w:r>
        <w:rPr>
          <w:rFonts w:ascii="仿宋_GB2312" w:eastAsia="仿宋_GB2312"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（十一）其他资本性支出：</w:t>
      </w:r>
      <w:r>
        <w:rPr>
          <w:rFonts w:ascii="仿宋_GB2312" w:eastAsia="仿宋_GB2312"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（十二）“三公”经费：</w:t>
      </w:r>
      <w:r>
        <w:rPr>
          <w:rFonts w:ascii="仿宋_GB2312" w:eastAsia="仿宋_GB2312"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（十三）其他交通费用：</w:t>
      </w:r>
      <w:r>
        <w:rPr>
          <w:rFonts w:ascii="仿宋_GB2312" w:eastAsia="仿宋_GB2312" w:cs="Times New Roman" w:hint="eastAsia"/>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（十四）公务用车购置：</w:t>
      </w:r>
      <w:r>
        <w:rPr>
          <w:rFonts w:ascii="仿宋_GB2312" w:eastAsia="仿宋_GB2312" w:cs="Times New Roman" w:hint="eastAsia"/>
          <w:color w:val="000000"/>
          <w:kern w:val="0"/>
          <w:sz w:val="32"/>
          <w:szCs w:val="32"/>
        </w:rPr>
        <w:t>填列单位公务用车车辆购置支出（含车辆购置税、牌照费）。</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（十五）其他交通工具购置：</w:t>
      </w:r>
      <w:r>
        <w:rPr>
          <w:rFonts w:ascii="仿宋_GB2312" w:eastAsia="仿宋_GB2312" w:cs="Times New Roman" w:hint="eastAsia"/>
          <w:color w:val="000000"/>
          <w:kern w:val="0"/>
          <w:sz w:val="32"/>
          <w:szCs w:val="32"/>
        </w:rPr>
        <w:t>填列单位除公务用车外的其他各类交通工具（如船舶、飞机等）购置支出（含车辆购置税、牌照费）。</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（十六）机关运行经费：</w:t>
      </w:r>
      <w:r>
        <w:rPr>
          <w:rFonts w:ascii="仿宋_GB2312" w:eastAsia="仿宋_GB2312"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Chars="200" w:firstLine="640"/>
        <w:jc w:val="left"/>
        <w:rPr>
          <w:rFonts w:ascii="仿宋_GB2312" w:eastAsia="仿宋_GB2312" w:cs="ArialUnicodeMS"/>
          <w:color w:val="000000"/>
          <w:kern w:val="0"/>
          <w:sz w:val="32"/>
          <w:szCs w:val="32"/>
        </w:rPr>
      </w:pPr>
      <w:r>
        <w:rPr>
          <w:rFonts w:ascii="仿宋_GB2312" w:eastAsia="仿宋_GB2312" w:cs="Times New Roman" w:hint="eastAsia"/>
          <w:b/>
          <w:bCs/>
          <w:color w:val="000000"/>
          <w:kern w:val="0"/>
          <w:sz w:val="32"/>
          <w:szCs w:val="32"/>
        </w:rPr>
        <w:t>（十七）经费形式:</w:t>
      </w:r>
      <w:r>
        <w:rPr>
          <w:rFonts w:ascii="仿宋_GB2312" w:eastAsia="仿宋_GB2312" w:cs="Times New Roman" w:hint="eastAsia"/>
          <w:color w:val="000000"/>
          <w:kern w:val="0"/>
          <w:sz w:val="32"/>
          <w:szCs w:val="32"/>
        </w:rPr>
        <w:t>按照经费来源，</w:t>
      </w:r>
      <w:r>
        <w:rPr>
          <w:rFonts w:ascii="仿宋_GB2312" w:eastAsia="仿宋_GB2312" w:cs="ArialUnicodeMS" w:hint="eastAsia"/>
          <w:color w:val="000000"/>
          <w:kern w:val="0"/>
          <w:sz w:val="32"/>
          <w:szCs w:val="32"/>
        </w:rPr>
        <w:t>可分为财政拨款、财政性资金基本保证、财政性资金定额或定项补助、财政性资金零补助四类。</w:t>
      </w:r>
    </w:p>
    <w:p>
      <w:pPr>
        <w:rPr>
          <w:color w:val="000000"/>
        </w:rPr>
      </w:pPr>
    </w:p>
    <w:p>
      <w:pPr>
        <w:rPr>
          <w:color w:val="000000"/>
        </w:rPr>
      </w:pPr>
    </w:p>
    <w:p>
      <w:pPr>
        <w:rPr>
          <w:color w:val="000000"/>
        </w:rPr>
      </w:pPr>
    </w:p>
    <w:p>
      <w:pPr>
        <w:rPr>
          <w:color w:val="000000"/>
        </w:rPr>
      </w:pPr>
    </w:p>
    <w:p>
      <w:pPr>
        <w:tabs>
          <w:tab w:val="left" w:pos="235"/>
        </w:tabs>
        <w:jc w:val="left"/>
        <w:rPr>
          <w:color w:val="000000"/>
        </w:rPr>
      </w:pPr>
    </w:p>
    <w:p>
      <w:pPr>
        <w:tabs>
          <w:tab w:val="left" w:pos="235"/>
        </w:tabs>
        <w:jc w:val="left"/>
        <w:rPr>
          <w:color w:val="000000"/>
        </w:rPr>
        <w:sectPr>
          <w:headerReference w:type="default" r:id="rId22"/>
          <w:pgSz w:w="11906" w:h="16838"/>
          <w:pgMar w:top="2098" w:right="1474" w:bottom="1985" w:left="1588" w:header="851" w:footer="992" w:gutter="0"/>
          <w:pgNumType w:fmt="numberInDash"/>
          <w:docGrid w:type="lines" w:linePitch="312" w:charSpace="0"/>
        </w:sectPr>
      </w:pPr>
    </w:p>
    <w:p>
      <w:pPr>
        <w:tabs>
          <w:tab w:val="left" w:pos="235"/>
        </w:tabs>
        <w:jc w:val="left"/>
        <w:rPr>
          <w:color w:val="000000"/>
        </w:rPr>
        <w:sectPr>
          <w:headerReference w:type="default" r:id="rId23"/>
          <w:pgSz w:w="11906" w:h="16838"/>
          <w:pgMar w:top="2098" w:right="1474" w:bottom="1985" w:left="1588" w:header="851" w:footer="992" w:gutter="0"/>
          <w:pgNumType w:fmt="numberInDash"/>
          <w:docGrid w:type="lines" w:linePitch="312" w:charSpace="0"/>
        </w:sectPr>
      </w:pPr>
      <w:r>
        <w:rPr>
          <w:color w:val="000000"/>
          <w:sz w:val="72"/>
        </w:rPr>
        <mc:AlternateContent>
          <mc:Choice Requires="wps">
            <w:drawing>
              <wp:anchor distT="0" distB="0" distL="114298" distR="114298" simplePos="0" relativeHeight="59" behindDoc="0" locked="0" layoutInCell="1" hidden="0" allowOverlap="1">
                <wp:simplePos x="0" y="0"/>
                <wp:positionH relativeFrom="column">
                  <wp:posOffset>-1042035</wp:posOffset>
                </wp:positionH>
                <wp:positionV relativeFrom="paragraph">
                  <wp:posOffset>1420495</wp:posOffset>
                </wp:positionV>
                <wp:extent cx="7793355" cy="3341370"/>
                <wp:effectExtent l="0" t="0" r="0" b="0"/>
                <wp:wrapNone/>
                <wp:docPr id="117" name="文本框"/>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118">
                        <w:txbxContent>
                          <w:p>
                            <w:pPr>
                              <w:widowControl/>
                              <w:jc w:val="center"/>
                              <w:rPr>
                                <w:rFonts w:ascii="黑体" w:eastAsia="黑体" w:cs="黑体"/>
                                <w:color w:val="000000"/>
                                <w:sz w:val="90"/>
                                <w:szCs w:val="90"/>
                              </w:rPr>
                            </w:pPr>
                            <w:r>
                              <w:rPr>
                                <w:rFonts w:ascii="黑体" w:eastAsia="黑体" w:cs="黑体" w:hint="eastAsia"/>
                                <w:color w:val="000000"/>
                                <w:sz w:val="90"/>
                                <w:szCs w:val="90"/>
                              </w:rPr>
                              <w:t xml:space="preserve">第四部分 </w:t>
                            </w:r>
                          </w:p>
                          <w:p>
                            <w:pPr>
                              <w:widowControl/>
                              <w:jc w:val="center"/>
                            </w:pPr>
                            <w:r>
                              <w:rPr>
                                <w:rFonts w:ascii="黑体" w:eastAsia="黑体" w:cs="黑体" w:hint="eastAsia"/>
                                <w:color w:val="000000"/>
                                <w:sz w:val="90"/>
                                <w:szCs w:val="90"/>
                              </w:rPr>
                              <w:t>2019年度部门决算报表</w:t>
                            </w:r>
                          </w:p>
                        </w:txbxContent>
                      </wps:txbx>
                      <wps:bodyPr vert="horz" wrap="square" lIns="91440" tIns="45720" rIns="91440" bIns="45720" anchor="ctr" anchorCtr="0" upright="1">
                        <a:noAutofit/>
                      </wps:bodyPr>
                    </wps:wsp>
                  </a:graphicData>
                </a:graphic>
              </wp:anchor>
            </w:drawing>
          </mc:Choice>
          <mc:Fallback>
            <w:pict>
              <v:shape type="#_x0000_t202" id="文本框 119" o:spid="_x0000_s119" fillcolor="#FFD966" stroked="t" strokeweight="0.5pt" style="position:absolute;margin-left:-82.05pt;margin-top:111.85pt;width:613.65pt;height:263.1pt;z-index:59;mso-position-horizontal:absolute;mso-position-vertical:absolute;mso-wrap-distance-left:8.999863pt;mso-wrap-distance-right:8.999863pt;mso-wrap-style:square;">
                <v:fill r:id="rId24" o:title="5%" color2="#FFFFFF" type="pattern"/>
                <v:stroke color="#FFD966"/>
                <v:textbox id="855" inset="2.54mm,1.27mm,2.54mm,1.27mm" o:insetmode="custom" style="layout-flow:horizontal;v-text-anchor:middle;">
                  <w:txbxContent>
                    <w:p>
                      <w:pPr>
                        <w:widowControl/>
                        <w:jc w:val="center"/>
                        <w:rPr>
                          <w:rFonts w:ascii="黑体" w:eastAsia="黑体" w:cs="黑体"/>
                          <w:color w:val="000000"/>
                          <w:sz w:val="90"/>
                          <w:szCs w:val="90"/>
                        </w:rPr>
                      </w:pPr>
                      <w:r>
                        <w:rPr>
                          <w:rFonts w:ascii="黑体" w:eastAsia="黑体" w:cs="黑体" w:hint="eastAsia"/>
                          <w:color w:val="000000"/>
                          <w:sz w:val="90"/>
                          <w:szCs w:val="90"/>
                        </w:rPr>
                        <w:t xml:space="preserve">第四部分 </w:t>
                      </w:r>
                    </w:p>
                    <w:p>
                      <w:pPr>
                        <w:widowControl/>
                        <w:jc w:val="center"/>
                      </w:pPr>
                      <w:r>
                        <w:rPr>
                          <w:rFonts w:ascii="黑体" w:eastAsia="黑体" w:cs="黑体" w:hint="eastAsia"/>
                          <w:color w:val="000000"/>
                          <w:sz w:val="90"/>
                          <w:szCs w:val="90"/>
                        </w:rPr>
                        <w:t>2019年度部门决算报表</w:t>
                      </w:r>
                    </w:p>
                  </w:txbxContent>
                </v:textbox>
              </v:shape>
            </w:pict>
          </mc:Fallback>
        </mc:AlternateContent>
      </w:r>
    </w:p>
    <w:tbl>
      <w:tblPr>
        <w:tblpPr w:leftFromText="180" w:rightFromText="180" w:vertAnchor="text" w:horzAnchor="page" w:tblpX="1277" w:tblpY="183"/>
        <w:tblOverlap w:val="never"/>
        <w:tblW w:w="9517"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236"/>
        <w:gridCol w:w="604"/>
        <w:gridCol w:w="818"/>
        <w:gridCol w:w="3474"/>
        <w:gridCol w:w="541"/>
        <w:gridCol w:w="844"/>
      </w:tblGrid>
      <w:tr>
        <w:trPr>
          <w:trHeight w:val="489"/>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eastAsia="黑体" w:cs="黑体"/>
                <w:color w:val="000000"/>
                <w:sz w:val="32"/>
                <w:szCs w:val="32"/>
              </w:rPr>
            </w:pPr>
            <w:r>
              <w:rPr>
                <w:rFonts w:ascii="黑体" w:eastAsia="黑体" w:cs="黑体" w:hint="eastAsia"/>
                <w:color w:val="000000"/>
                <w:kern w:val="0"/>
                <w:sz w:val="32"/>
                <w:szCs w:val="32"/>
              </w:rPr>
              <w:t>收入支出决算总表</w:t>
            </w:r>
          </w:p>
        </w:tc>
      </w:tr>
      <w:tr>
        <w:trPr>
          <w:trHeight w:val="205"/>
        </w:trPr>
        <w:tc>
          <w:tcPr>
            <w:tcW w:w="32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60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81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公开01表</w:t>
            </w:r>
          </w:p>
        </w:tc>
      </w:tr>
      <w:tr>
        <w:trPr>
          <w:trHeight w:val="421"/>
        </w:trPr>
        <w:tc>
          <w:tcPr>
            <w:tcW w:w="323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部门：廊坊市广阳区人民检察院</w:t>
            </w:r>
          </w:p>
        </w:tc>
        <w:tc>
          <w:tcPr>
            <w:tcW w:w="60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81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284"/>
        </w:trPr>
        <w:tc>
          <w:tcPr>
            <w:tcW w:w="465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4859"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trPr>
          <w:trHeight w:val="770"/>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6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6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　</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　</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一、一般公共预算财政拨款收入</w:t>
            </w:r>
          </w:p>
        </w:tc>
        <w:tc>
          <w:tcPr>
            <w:tcW w:w="6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hint="eastAsia"/>
                <w:color w:val="000000"/>
                <w:kern w:val="0"/>
                <w:sz w:val="18"/>
                <w:szCs w:val="18"/>
              </w:rPr>
              <w:t>1,799.19</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二、政府性基金预算财政拨款收入</w:t>
            </w:r>
          </w:p>
        </w:tc>
        <w:tc>
          <w:tcPr>
            <w:tcW w:w="6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p>
        </w:tc>
      </w:tr>
      <w:tr>
        <w:trPr>
          <w:trHeight w:val="182"/>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三、上级补助收入</w:t>
            </w:r>
          </w:p>
        </w:tc>
        <w:tc>
          <w:tcPr>
            <w:tcW w:w="6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四、事业收入</w:t>
            </w:r>
          </w:p>
        </w:tc>
        <w:tc>
          <w:tcPr>
            <w:tcW w:w="6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hint="eastAsia"/>
                <w:color w:val="000000"/>
                <w:kern w:val="0"/>
                <w:sz w:val="18"/>
                <w:szCs w:val="18"/>
              </w:rPr>
              <w:t>1,415.53</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五、经营收入</w:t>
            </w:r>
          </w:p>
        </w:tc>
        <w:tc>
          <w:tcPr>
            <w:tcW w:w="6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六、附属单位上缴收入</w:t>
            </w:r>
          </w:p>
        </w:tc>
        <w:tc>
          <w:tcPr>
            <w:tcW w:w="6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七、其他收入</w:t>
            </w:r>
          </w:p>
        </w:tc>
        <w:tc>
          <w:tcPr>
            <w:tcW w:w="6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hint="eastAsia"/>
                <w:color w:val="000000"/>
                <w:kern w:val="0"/>
                <w:sz w:val="18"/>
                <w:szCs w:val="18"/>
              </w:rPr>
              <w:t>113.44</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6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hint="eastAsia"/>
                <w:color w:val="000000"/>
                <w:kern w:val="0"/>
                <w:sz w:val="18"/>
                <w:szCs w:val="18"/>
              </w:rPr>
              <w:t>284.23</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6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hint="eastAsia"/>
                <w:color w:val="000000"/>
                <w:kern w:val="0"/>
                <w:sz w:val="18"/>
                <w:szCs w:val="18"/>
              </w:rPr>
              <w:t>35.91</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6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6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6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6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13</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6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14</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6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15</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6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16</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6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17</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6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18</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6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19</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hint="eastAsia"/>
                <w:color w:val="000000"/>
                <w:kern w:val="0"/>
                <w:sz w:val="18"/>
                <w:szCs w:val="18"/>
              </w:rPr>
              <w:t>59.85</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6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20</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6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21</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6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22</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6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23</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6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24</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hint="eastAsia"/>
                <w:color w:val="000000"/>
                <w:kern w:val="0"/>
                <w:sz w:val="18"/>
                <w:szCs w:val="18"/>
              </w:rPr>
              <w:t>1,912.63</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hint="eastAsia"/>
                <w:color w:val="000000"/>
                <w:kern w:val="0"/>
                <w:sz w:val="18"/>
                <w:szCs w:val="18"/>
              </w:rPr>
              <w:t>1,795.53</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用事业基金弥补收支差额</w:t>
            </w:r>
          </w:p>
        </w:tc>
        <w:tc>
          <w:tcPr>
            <w:tcW w:w="6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25</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结余分配</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6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26</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hint="eastAsia"/>
                <w:color w:val="000000"/>
                <w:kern w:val="0"/>
                <w:sz w:val="18"/>
                <w:szCs w:val="18"/>
              </w:rPr>
              <w:t>153.88</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hint="eastAsia"/>
                <w:color w:val="000000"/>
                <w:kern w:val="0"/>
                <w:sz w:val="18"/>
                <w:szCs w:val="18"/>
              </w:rPr>
              <w:t>270.98</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6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27</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18"/>
                <w:szCs w:val="18"/>
              </w:rPr>
            </w:pP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6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28</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hint="eastAsia"/>
                <w:color w:val="000000"/>
                <w:kern w:val="0"/>
                <w:sz w:val="18"/>
                <w:szCs w:val="18"/>
              </w:rPr>
              <w:t>2,066.51</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hint="eastAsia"/>
                <w:color w:val="000000"/>
                <w:kern w:val="0"/>
                <w:sz w:val="18"/>
                <w:szCs w:val="18"/>
              </w:rPr>
              <w:t>2,066.51</w:t>
            </w:r>
          </w:p>
        </w:tc>
      </w:tr>
      <w:tr>
        <w:trPr>
          <w:trHeight w:val="213"/>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kern w:val="0"/>
                <w:sz w:val="22"/>
              </w:rPr>
            </w:pPr>
            <w:r>
              <w:rPr>
                <w:rFonts w:ascii="宋体" w:eastAsia="宋体" w:cs="宋体" w:hint="eastAsia"/>
                <w:color w:val="000000"/>
                <w:kern w:val="0"/>
                <w:sz w:val="22"/>
              </w:rPr>
              <w:t>注：本表反映部门本年度的总收支和年末结转结余情况。</w:t>
            </w:r>
          </w:p>
        </w:tc>
      </w:tr>
    </w:tbl>
    <w:p>
      <w:pPr>
        <w:tabs>
          <w:tab w:val="left" w:pos="886"/>
        </w:tabs>
        <w:jc w:val="left"/>
        <w:rPr>
          <w:color w:val="000000"/>
        </w:rPr>
      </w:pPr>
    </w:p>
    <w:p>
      <w:pPr>
        <w:jc w:val="left"/>
        <w:rPr>
          <w:color w:val="000000"/>
        </w:rPr>
      </w:pPr>
    </w:p>
    <w:tbl>
      <w:tblPr>
        <w:tblpPr w:leftFromText="180" w:rightFromText="180" w:vertAnchor="text" w:horzAnchor="page" w:tblpX="954" w:tblpY="627"/>
        <w:tblOverlap w:val="never"/>
        <w:tblW w:w="10251"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612"/>
        <w:gridCol w:w="504"/>
        <w:gridCol w:w="90"/>
        <w:gridCol w:w="1639"/>
        <w:gridCol w:w="90"/>
        <w:gridCol w:w="1010"/>
        <w:gridCol w:w="90"/>
        <w:gridCol w:w="1086"/>
        <w:gridCol w:w="90"/>
        <w:gridCol w:w="966"/>
        <w:gridCol w:w="90"/>
        <w:gridCol w:w="894"/>
        <w:gridCol w:w="90"/>
        <w:gridCol w:w="894"/>
        <w:gridCol w:w="90"/>
        <w:gridCol w:w="978"/>
        <w:gridCol w:w="948"/>
        <w:gridCol w:w="90"/>
      </w:tblGrid>
      <w:tr>
        <w:trPr>
          <w:trHeight w:val="670"/>
          <w:gridAfter w:val="1"/>
          <w:wAfter w:w="90" w:type="dxa"/>
        </w:trPr>
        <w:tc>
          <w:tcPr>
            <w:tcW w:w="10161" w:type="dxa"/>
            <w:gridSpan w:val="17"/>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eastAsia="黑体" w:cs="黑体"/>
                <w:color w:val="000000"/>
                <w:sz w:val="32"/>
                <w:szCs w:val="32"/>
              </w:rPr>
            </w:pPr>
            <w:r>
              <w:rPr>
                <w:rFonts w:ascii="黑体" w:eastAsia="黑体" w:cs="黑体" w:hint="eastAsia"/>
                <w:color w:val="000000"/>
                <w:kern w:val="0"/>
                <w:sz w:val="32"/>
                <w:szCs w:val="32"/>
              </w:rPr>
              <w:t>收入决算表</w:t>
            </w:r>
          </w:p>
        </w:tc>
      </w:tr>
      <w:tr>
        <w:trPr>
          <w:trHeight w:val="357"/>
        </w:trPr>
        <w:tc>
          <w:tcPr>
            <w:tcW w:w="61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50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9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729"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76"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056"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984"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984"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016"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公开02表</w:t>
            </w:r>
          </w:p>
        </w:tc>
      </w:tr>
      <w:tr>
        <w:trPr>
          <w:trHeight w:val="357"/>
          <w:gridAfter w:val="1"/>
          <w:wAfter w:w="90" w:type="dxa"/>
        </w:trPr>
        <w:tc>
          <w:tcPr>
            <w:tcW w:w="2845"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r>
              <w:rPr>
                <w:rFonts w:ascii="宋体" w:eastAsia="宋体" w:cs="宋体" w:hint="eastAsia"/>
                <w:color w:val="000000"/>
                <w:kern w:val="0"/>
                <w:sz w:val="20"/>
                <w:szCs w:val="20"/>
              </w:rPr>
              <w:t>部门：廊坊市广阳区人民检察院</w:t>
            </w:r>
          </w:p>
        </w:tc>
        <w:tc>
          <w:tcPr>
            <w:tcW w:w="11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76"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056"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984"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3000" w:type="dxa"/>
            <w:gridSpan w:val="5"/>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85"/>
          <w:gridAfter w:val="1"/>
          <w:wAfter w:w="90" w:type="dxa"/>
        </w:trPr>
        <w:tc>
          <w:tcPr>
            <w:tcW w:w="2845"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00"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1176"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1056"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984"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984"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1068"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94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trPr>
          <w:trHeight w:val="380"/>
          <w:gridAfter w:val="1"/>
          <w:wAfter w:w="90" w:type="dxa"/>
        </w:trPr>
        <w:tc>
          <w:tcPr>
            <w:tcW w:w="1116"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1729" w:type="dxa"/>
            <w:gridSpan w:val="2"/>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00"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76"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056"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84"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84"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068"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4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gridAfter w:val="1"/>
          <w:wAfter w:w="90" w:type="dxa"/>
        </w:trPr>
        <w:tc>
          <w:tcPr>
            <w:tcW w:w="1116"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729" w:type="dxa"/>
            <w:gridSpan w:val="2"/>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00"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76"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056"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84"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84"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068"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4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gridAfter w:val="1"/>
          <w:wAfter w:w="90" w:type="dxa"/>
        </w:trPr>
        <w:tc>
          <w:tcPr>
            <w:tcW w:w="1116"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729" w:type="dxa"/>
            <w:gridSpan w:val="2"/>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00"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76"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056"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84"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84"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068"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4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85"/>
          <w:gridAfter w:val="1"/>
          <w:wAfter w:w="90" w:type="dxa"/>
        </w:trPr>
        <w:tc>
          <w:tcPr>
            <w:tcW w:w="2845"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10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1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05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98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98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0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9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r>
      <w:tr>
        <w:trPr>
          <w:trHeight w:val="385"/>
          <w:gridAfter w:val="1"/>
          <w:wAfter w:w="90" w:type="dxa"/>
        </w:trPr>
        <w:tc>
          <w:tcPr>
            <w:tcW w:w="2845"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1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b/>
                <w:color w:val="000000"/>
                <w:sz w:val="22"/>
              </w:rPr>
            </w:pPr>
            <w:r>
              <w:rPr>
                <w:rFonts w:ascii="宋体" w:eastAsia="宋体" w:cs="宋体" w:hint="eastAsia"/>
                <w:b/>
                <w:color w:val="000000"/>
                <w:kern w:val="0"/>
                <w:sz w:val="22"/>
              </w:rPr>
              <w:t>1,912.63</w:t>
            </w:r>
          </w:p>
        </w:tc>
        <w:tc>
          <w:tcPr>
            <w:tcW w:w="11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b/>
                <w:color w:val="000000"/>
                <w:sz w:val="22"/>
              </w:rPr>
            </w:pPr>
            <w:r>
              <w:rPr>
                <w:rFonts w:ascii="宋体" w:eastAsia="宋体" w:cs="宋体" w:hint="eastAsia"/>
                <w:b/>
                <w:color w:val="000000"/>
                <w:kern w:val="0"/>
                <w:sz w:val="22"/>
              </w:rPr>
              <w:t>1,799.19</w:t>
            </w:r>
          </w:p>
        </w:tc>
        <w:tc>
          <w:tcPr>
            <w:tcW w:w="105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b/>
                <w:color w:val="000000"/>
                <w:sz w:val="22"/>
              </w:rPr>
            </w:pPr>
          </w:p>
        </w:tc>
        <w:tc>
          <w:tcPr>
            <w:tcW w:w="9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b/>
                <w:color w:val="000000"/>
                <w:sz w:val="22"/>
              </w:rPr>
            </w:pPr>
          </w:p>
        </w:tc>
        <w:tc>
          <w:tcPr>
            <w:tcW w:w="9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b/>
                <w:color w:val="000000"/>
                <w:sz w:val="22"/>
              </w:rPr>
            </w:pPr>
          </w:p>
        </w:tc>
        <w:tc>
          <w:tcPr>
            <w:tcW w:w="10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b/>
                <w:color w:val="000000"/>
                <w:sz w:val="22"/>
              </w:rPr>
            </w:pPr>
          </w:p>
        </w:tc>
        <w:tc>
          <w:tcPr>
            <w:tcW w:w="9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b/>
                <w:color w:val="000000"/>
                <w:sz w:val="22"/>
              </w:rPr>
            </w:pPr>
            <w:r>
              <w:rPr>
                <w:rFonts w:ascii="宋体" w:eastAsia="宋体" w:cs="宋体" w:hint="eastAsia"/>
                <w:b/>
                <w:color w:val="000000"/>
                <w:kern w:val="0"/>
                <w:sz w:val="22"/>
              </w:rPr>
              <w:t>113.44</w:t>
            </w:r>
          </w:p>
        </w:tc>
      </w:tr>
      <w:tr>
        <w:trPr>
          <w:trHeight w:val="385"/>
          <w:gridAfter w:val="1"/>
          <w:wAfter w:w="90" w:type="dxa"/>
        </w:trPr>
        <w:tc>
          <w:tcPr>
            <w:tcW w:w="1116"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204</w:t>
            </w:r>
          </w:p>
        </w:tc>
        <w:tc>
          <w:tcPr>
            <w:tcW w:w="17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公共安全支出</w:t>
            </w:r>
          </w:p>
        </w:tc>
        <w:tc>
          <w:tcPr>
            <w:tcW w:w="11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1,532.63</w:t>
            </w:r>
          </w:p>
        </w:tc>
        <w:tc>
          <w:tcPr>
            <w:tcW w:w="11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1,419.20</w:t>
            </w:r>
          </w:p>
        </w:tc>
        <w:tc>
          <w:tcPr>
            <w:tcW w:w="105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9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9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0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9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113.44</w:t>
            </w:r>
          </w:p>
        </w:tc>
      </w:tr>
      <w:tr>
        <w:trPr>
          <w:trHeight w:val="385"/>
          <w:gridAfter w:val="1"/>
          <w:wAfter w:w="90" w:type="dxa"/>
        </w:trPr>
        <w:tc>
          <w:tcPr>
            <w:tcW w:w="1116"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20404</w:t>
            </w:r>
          </w:p>
        </w:tc>
        <w:tc>
          <w:tcPr>
            <w:tcW w:w="17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检察</w:t>
            </w:r>
          </w:p>
        </w:tc>
        <w:tc>
          <w:tcPr>
            <w:tcW w:w="11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1,532.63</w:t>
            </w:r>
          </w:p>
        </w:tc>
        <w:tc>
          <w:tcPr>
            <w:tcW w:w="11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1,419.20</w:t>
            </w:r>
          </w:p>
        </w:tc>
        <w:tc>
          <w:tcPr>
            <w:tcW w:w="105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9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9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0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9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113.44</w:t>
            </w:r>
          </w:p>
        </w:tc>
      </w:tr>
      <w:tr>
        <w:trPr>
          <w:trHeight w:val="385"/>
          <w:gridAfter w:val="1"/>
          <w:wAfter w:w="90" w:type="dxa"/>
        </w:trPr>
        <w:tc>
          <w:tcPr>
            <w:tcW w:w="1116"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2040401</w:t>
            </w:r>
          </w:p>
        </w:tc>
        <w:tc>
          <w:tcPr>
            <w:tcW w:w="17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行政运行</w:t>
            </w:r>
          </w:p>
        </w:tc>
        <w:tc>
          <w:tcPr>
            <w:tcW w:w="11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1,269.63</w:t>
            </w:r>
          </w:p>
        </w:tc>
        <w:tc>
          <w:tcPr>
            <w:tcW w:w="11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1,186.20</w:t>
            </w:r>
          </w:p>
        </w:tc>
        <w:tc>
          <w:tcPr>
            <w:tcW w:w="105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9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9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0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9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83.44</w:t>
            </w:r>
          </w:p>
        </w:tc>
      </w:tr>
      <w:tr>
        <w:trPr>
          <w:trHeight w:val="385"/>
          <w:gridAfter w:val="1"/>
          <w:wAfter w:w="90" w:type="dxa"/>
        </w:trPr>
        <w:tc>
          <w:tcPr>
            <w:tcW w:w="1116"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2040499</w:t>
            </w:r>
          </w:p>
        </w:tc>
        <w:tc>
          <w:tcPr>
            <w:tcW w:w="17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其他检察支出</w:t>
            </w:r>
          </w:p>
        </w:tc>
        <w:tc>
          <w:tcPr>
            <w:tcW w:w="11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263.00</w:t>
            </w:r>
          </w:p>
        </w:tc>
        <w:tc>
          <w:tcPr>
            <w:tcW w:w="11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233.00</w:t>
            </w:r>
          </w:p>
        </w:tc>
        <w:tc>
          <w:tcPr>
            <w:tcW w:w="105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9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9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0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9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30.00</w:t>
            </w:r>
          </w:p>
        </w:tc>
      </w:tr>
      <w:tr>
        <w:trPr>
          <w:trHeight w:val="385"/>
          <w:gridAfter w:val="1"/>
          <w:wAfter w:w="90" w:type="dxa"/>
        </w:trPr>
        <w:tc>
          <w:tcPr>
            <w:tcW w:w="1116"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208</w:t>
            </w:r>
          </w:p>
        </w:tc>
        <w:tc>
          <w:tcPr>
            <w:tcW w:w="17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社会保障和就业支出</w:t>
            </w:r>
          </w:p>
        </w:tc>
        <w:tc>
          <w:tcPr>
            <w:tcW w:w="11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284.24</w:t>
            </w:r>
          </w:p>
        </w:tc>
        <w:tc>
          <w:tcPr>
            <w:tcW w:w="11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284.24</w:t>
            </w:r>
          </w:p>
        </w:tc>
        <w:tc>
          <w:tcPr>
            <w:tcW w:w="105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9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9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0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9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385"/>
          <w:gridAfter w:val="1"/>
          <w:wAfter w:w="90" w:type="dxa"/>
        </w:trPr>
        <w:tc>
          <w:tcPr>
            <w:tcW w:w="1116" w:type="dxa"/>
            <w:gridSpan w:val="2"/>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20805</w:t>
            </w:r>
          </w:p>
        </w:tc>
        <w:tc>
          <w:tcPr>
            <w:tcW w:w="1729" w:type="dxa"/>
            <w:gridSpan w:val="2"/>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行政事业单位离退休</w:t>
            </w:r>
          </w:p>
        </w:tc>
        <w:tc>
          <w:tcPr>
            <w:tcW w:w="1100" w:type="dxa"/>
            <w:gridSpan w:val="2"/>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284.24</w:t>
            </w:r>
          </w:p>
        </w:tc>
        <w:tc>
          <w:tcPr>
            <w:tcW w:w="1176" w:type="dxa"/>
            <w:gridSpan w:val="2"/>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284.24</w:t>
            </w:r>
          </w:p>
        </w:tc>
        <w:tc>
          <w:tcPr>
            <w:tcW w:w="1056" w:type="dxa"/>
            <w:gridSpan w:val="2"/>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984" w:type="dxa"/>
            <w:gridSpan w:val="2"/>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984" w:type="dxa"/>
            <w:gridSpan w:val="2"/>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068" w:type="dxa"/>
            <w:gridSpan w:val="2"/>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948"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385"/>
          <w:gridAfter w:val="1"/>
          <w:wAfter w:w="90" w:type="dxa"/>
        </w:trPr>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2080501</w:t>
            </w:r>
          </w:p>
        </w:tc>
        <w:tc>
          <w:tcPr>
            <w:tcW w:w="1729"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left"/>
              <w:textAlignment w:val="center"/>
            </w:pPr>
            <w:r>
              <w:rPr>
                <w:rFonts w:ascii="宋体" w:eastAsia="宋体" w:cs="宋体" w:hint="eastAsia"/>
                <w:color w:val="000000"/>
                <w:kern w:val="0"/>
                <w:sz w:val="22"/>
              </w:rPr>
              <w:t xml:space="preserve">  归口管理的行政单位离退休</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right"/>
              <w:textAlignment w:val="center"/>
            </w:pPr>
            <w:r>
              <w:rPr>
                <w:rFonts w:ascii="宋体" w:eastAsia="宋体" w:cs="宋体" w:hint="eastAsia"/>
                <w:color w:val="000000"/>
                <w:kern w:val="0"/>
                <w:sz w:val="22"/>
              </w:rPr>
              <w:t>177.37</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right"/>
              <w:textAlignment w:val="center"/>
            </w:pPr>
            <w:r>
              <w:rPr>
                <w:rFonts w:ascii="宋体" w:eastAsia="宋体" w:cs="宋体" w:hint="eastAsia"/>
                <w:color w:val="000000"/>
                <w:kern w:val="0"/>
                <w:sz w:val="22"/>
              </w:rPr>
              <w:t>177.37</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right"/>
              <w:textAlignment w:val="center"/>
            </w:pPr>
          </w:p>
        </w:tc>
        <w:tc>
          <w:tcPr>
            <w:tcW w:w="98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right"/>
              <w:textAlignment w:val="center"/>
            </w:pPr>
          </w:p>
        </w:tc>
        <w:tc>
          <w:tcPr>
            <w:tcW w:w="98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right"/>
              <w:textAlignment w:val="cente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right"/>
              <w:textAlignment w:val="center"/>
            </w:pPr>
          </w:p>
        </w:tc>
        <w:tc>
          <w:tcPr>
            <w:tcW w:w="9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right"/>
              <w:textAlignment w:val="center"/>
            </w:pPr>
          </w:p>
        </w:tc>
      </w:tr>
    </w:tbl>
    <w:tbl>
      <w:tblPr>
        <w:tblpPr w:leftFromText="180" w:rightFromText="180" w:vertAnchor="text" w:horzAnchor="page" w:tblpX="915" w:tblpY="9195"/>
        <w:tblOverlap w:val="never"/>
        <w:tblW w:w="9738"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9738"/>
      </w:tblGrid>
      <w:tr>
        <w:trPr>
          <w:trHeight w:val="308"/>
        </w:trPr>
        <w:tc>
          <w:tcPr>
            <w:tcW w:w="9738" w:type="dxa"/>
            <w:tcBorders>
              <w:top w:val="nil"/>
              <w:left w:val="nil"/>
              <w:bottom w:val="nil"/>
              <w:right w:val="nil"/>
            </w:tcBorders>
            <w:shd w:val="clear" w:color="auto" w:fill="auto"/>
            <w:noWrap/>
            <w:tcMar>
              <w:top w:w="12" w:type="dxa"/>
              <w:left w:w="12" w:type="dxa"/>
              <w:right w:w="12"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注：本表反映部门本年度取得的各项收入情况。</w:t>
            </w:r>
          </w:p>
        </w:tc>
      </w:tr>
    </w:tbl>
    <w:tbl>
      <w:tblPr>
        <w:jc w:val="center"/>
        <w:tblW w:w="10079"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675"/>
        <w:gridCol w:w="60"/>
        <w:gridCol w:w="206"/>
        <w:gridCol w:w="53"/>
        <w:gridCol w:w="134"/>
        <w:gridCol w:w="106"/>
        <w:gridCol w:w="1230"/>
        <w:gridCol w:w="380"/>
        <w:gridCol w:w="516"/>
        <w:gridCol w:w="265"/>
        <w:gridCol w:w="699"/>
        <w:gridCol w:w="33"/>
        <w:gridCol w:w="429"/>
        <w:gridCol w:w="696"/>
        <w:gridCol w:w="465"/>
        <w:gridCol w:w="592"/>
        <w:gridCol w:w="144"/>
        <w:gridCol w:w="425"/>
        <w:gridCol w:w="103"/>
        <w:gridCol w:w="473"/>
        <w:gridCol w:w="507"/>
        <w:gridCol w:w="78"/>
        <w:gridCol w:w="948"/>
        <w:gridCol w:w="463"/>
        <w:gridCol w:w="399"/>
      </w:tblGrid>
      <w:tr>
        <w:trPr>
          <w:trHeight w:val="612"/>
          <w:gridAfter w:val="1"/>
          <w:wAfter w:w="399" w:type="dxa"/>
        </w:trPr>
        <w:tc>
          <w:tcPr>
            <w:tcW w:w="9680" w:type="dxa"/>
            <w:gridSpan w:val="24"/>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color w:val="000000"/>
              </w:rPr>
            </w:pPr>
            <w:r>
              <w:rPr>
                <w:color w:val="000000"/>
              </w:rPr>
              <w:br w:type="page"/>
            </w:r>
          </w:p>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支出决算表</w:t>
            </w:r>
          </w:p>
        </w:tc>
      </w:tr>
      <w:tr>
        <w:trPr>
          <w:trHeight w:val="313"/>
          <w:gridAfter w:val="1"/>
          <w:wAfter w:w="399" w:type="dxa"/>
        </w:trPr>
        <w:tc>
          <w:tcPr>
            <w:tcW w:w="941"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4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2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61"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61"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61"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61"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61"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411"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公开03表</w:t>
            </w:r>
          </w:p>
        </w:tc>
      </w:tr>
      <w:tr>
        <w:trPr>
          <w:trHeight w:val="313"/>
          <w:gridAfter w:val="1"/>
          <w:wAfter w:w="399" w:type="dxa"/>
        </w:trPr>
        <w:tc>
          <w:tcPr>
            <w:tcW w:w="3625" w:type="dxa"/>
            <w:gridSpan w:val="10"/>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r>
              <w:rPr>
                <w:rFonts w:ascii="宋体" w:eastAsia="宋体" w:cs="宋体" w:hint="eastAsia"/>
                <w:color w:val="000000"/>
                <w:kern w:val="0"/>
                <w:sz w:val="20"/>
                <w:szCs w:val="20"/>
              </w:rPr>
              <w:t>部门：</w:t>
              <w:tab/>
              <w:t>廊坊市广阳区人民检察院</w:t>
            </w:r>
          </w:p>
        </w:tc>
        <w:tc>
          <w:tcPr>
            <w:tcW w:w="1161"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61"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61"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572" w:type="dxa"/>
            <w:gridSpan w:val="6"/>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23"/>
          <w:gridAfter w:val="1"/>
          <w:wAfter w:w="399" w:type="dxa"/>
        </w:trPr>
        <w:tc>
          <w:tcPr>
            <w:tcW w:w="246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61" w:type="dxa"/>
            <w:gridSpan w:val="3"/>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本年支出合计</w:t>
            </w:r>
          </w:p>
        </w:tc>
        <w:tc>
          <w:tcPr>
            <w:tcW w:w="1161" w:type="dxa"/>
            <w:gridSpan w:val="3"/>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61"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61" w:type="dxa"/>
            <w:gridSpan w:val="3"/>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上缴上级支出</w:t>
            </w:r>
          </w:p>
        </w:tc>
        <w:tc>
          <w:tcPr>
            <w:tcW w:w="1161" w:type="dxa"/>
            <w:gridSpan w:val="4"/>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tcW w:w="1411"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trPr>
          <w:trHeight w:val="319"/>
          <w:gridAfter w:val="1"/>
          <w:wAfter w:w="399" w:type="dxa"/>
        </w:trPr>
        <w:tc>
          <w:tcPr>
            <w:tcW w:w="1234" w:type="dxa"/>
            <w:gridSpan w:val="6"/>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1230"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61" w:type="dxa"/>
            <w:gridSpan w:val="3"/>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gridSpan w:val="3"/>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gridSpan w:val="3"/>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gridSpan w:val="4"/>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411"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gridAfter w:val="1"/>
          <w:wAfter w:w="399" w:type="dxa"/>
        </w:trPr>
        <w:tc>
          <w:tcPr>
            <w:tcW w:w="1234" w:type="dxa"/>
            <w:gridSpan w:val="6"/>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230"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61" w:type="dxa"/>
            <w:gridSpan w:val="3"/>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gridSpan w:val="3"/>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gridSpan w:val="3"/>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gridSpan w:val="4"/>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411"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gridAfter w:val="1"/>
          <w:wAfter w:w="399" w:type="dxa"/>
        </w:trPr>
        <w:tc>
          <w:tcPr>
            <w:tcW w:w="1234" w:type="dxa"/>
            <w:gridSpan w:val="6"/>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230"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61" w:type="dxa"/>
            <w:gridSpan w:val="3"/>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gridSpan w:val="3"/>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gridSpan w:val="3"/>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gridSpan w:val="4"/>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411"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23"/>
          <w:gridAfter w:val="1"/>
          <w:wAfter w:w="399" w:type="dxa"/>
        </w:trPr>
        <w:tc>
          <w:tcPr>
            <w:tcW w:w="2464" w:type="dxa"/>
            <w:gridSpan w:val="7"/>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16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16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1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16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161"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41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trPr>
          <w:trHeight w:val="323"/>
          <w:gridAfter w:val="1"/>
          <w:wAfter w:w="399" w:type="dxa"/>
        </w:trPr>
        <w:tc>
          <w:tcPr>
            <w:tcW w:w="2464" w:type="dxa"/>
            <w:gridSpan w:val="7"/>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b/>
                <w:color w:val="000000"/>
                <w:sz w:val="22"/>
              </w:rPr>
            </w:pPr>
            <w:r>
              <w:rPr>
                <w:rFonts w:ascii="宋体" w:eastAsia="宋体" w:cs="宋体" w:hint="eastAsia"/>
                <w:b/>
                <w:color w:val="000000"/>
                <w:kern w:val="0"/>
                <w:sz w:val="22"/>
              </w:rPr>
              <w:t>1,795.53</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b/>
                <w:color w:val="000000"/>
                <w:sz w:val="22"/>
              </w:rPr>
            </w:pPr>
            <w:r>
              <w:rPr>
                <w:rFonts w:ascii="宋体" w:eastAsia="宋体" w:cs="宋体" w:hint="eastAsia"/>
                <w:b/>
                <w:color w:val="000000"/>
                <w:kern w:val="0"/>
                <w:sz w:val="22"/>
              </w:rPr>
              <w:t>1,631.90</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b/>
                <w:color w:val="000000"/>
                <w:sz w:val="22"/>
              </w:rPr>
            </w:pPr>
            <w:r>
              <w:rPr>
                <w:rFonts w:ascii="宋体" w:eastAsia="宋体" w:cs="宋体" w:hint="eastAsia"/>
                <w:b/>
                <w:color w:val="000000"/>
                <w:kern w:val="0"/>
                <w:sz w:val="22"/>
              </w:rPr>
              <w:t>163.62</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b/>
                <w:color w:val="000000"/>
                <w:sz w:val="22"/>
              </w:rPr>
            </w:pPr>
          </w:p>
        </w:tc>
        <w:tc>
          <w:tcPr>
            <w:tcW w:w="116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b/>
                <w:color w:val="000000"/>
                <w:sz w:val="22"/>
              </w:rPr>
            </w:pPr>
          </w:p>
        </w:tc>
        <w:tc>
          <w:tcPr>
            <w:tcW w:w="14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b/>
                <w:color w:val="000000"/>
                <w:sz w:val="22"/>
              </w:rPr>
            </w:pPr>
          </w:p>
        </w:tc>
      </w:tr>
      <w:tr>
        <w:trPr>
          <w:trHeight w:val="323"/>
          <w:gridAfter w:val="1"/>
          <w:wAfter w:w="399" w:type="dxa"/>
        </w:trPr>
        <w:tc>
          <w:tcPr>
            <w:tcW w:w="1234"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204</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公共安全支出</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1,415.53</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1,251.91</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163.62</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16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4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323"/>
          <w:gridAfter w:val="1"/>
          <w:wAfter w:w="399" w:type="dxa"/>
        </w:trPr>
        <w:tc>
          <w:tcPr>
            <w:tcW w:w="1234"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20404</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检察</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1,415.53</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1,251.91</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163.62</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16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4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323"/>
          <w:gridAfter w:val="1"/>
          <w:wAfter w:w="399" w:type="dxa"/>
        </w:trPr>
        <w:tc>
          <w:tcPr>
            <w:tcW w:w="1234"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2040401</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行政运行</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1,254.94</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1,251.91</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3.03</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16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4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323"/>
          <w:gridAfter w:val="1"/>
          <w:wAfter w:w="399" w:type="dxa"/>
        </w:trPr>
        <w:tc>
          <w:tcPr>
            <w:tcW w:w="1234"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2040499</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其他检察支出</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160.59</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160.59</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16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4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323"/>
          <w:gridAfter w:val="1"/>
          <w:wAfter w:w="399" w:type="dxa"/>
        </w:trPr>
        <w:tc>
          <w:tcPr>
            <w:tcW w:w="1234"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208</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社会保障和就业支出</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284.24</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284.24</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16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4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323"/>
          <w:gridAfter w:val="1"/>
          <w:wAfter w:w="399" w:type="dxa"/>
        </w:trPr>
        <w:tc>
          <w:tcPr>
            <w:tcW w:w="1234"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20805</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行政事业单位离退休</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284.24</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284.24</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16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4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323"/>
          <w:gridAfter w:val="1"/>
          <w:wAfter w:w="399" w:type="dxa"/>
        </w:trPr>
        <w:tc>
          <w:tcPr>
            <w:tcW w:w="1234"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kern w:val="0"/>
                <w:sz w:val="22"/>
              </w:rPr>
            </w:pPr>
            <w:r>
              <w:rPr>
                <w:rFonts w:ascii="宋体" w:eastAsia="宋体" w:cs="宋体" w:hint="eastAsia"/>
                <w:color w:val="000000"/>
                <w:kern w:val="0"/>
                <w:sz w:val="22"/>
              </w:rPr>
              <w:t>2080501</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kern w:val="0"/>
                <w:sz w:val="22"/>
              </w:rPr>
            </w:pPr>
            <w:r>
              <w:rPr>
                <w:rFonts w:ascii="宋体" w:eastAsia="宋体" w:cs="宋体" w:hint="eastAsia"/>
                <w:color w:val="000000"/>
                <w:kern w:val="0"/>
                <w:sz w:val="22"/>
              </w:rPr>
              <w:t xml:space="preserve">  归口管理的行政单位离退休</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r>
              <w:rPr>
                <w:rFonts w:ascii="宋体" w:eastAsia="宋体" w:cs="宋体" w:hint="eastAsia"/>
                <w:color w:val="000000"/>
                <w:kern w:val="0"/>
                <w:sz w:val="22"/>
              </w:rPr>
              <w:t>177.37</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r>
              <w:rPr>
                <w:rFonts w:ascii="宋体" w:eastAsia="宋体" w:cs="宋体" w:hint="eastAsia"/>
                <w:color w:val="000000"/>
                <w:kern w:val="0"/>
                <w:sz w:val="22"/>
              </w:rPr>
              <w:t>177.37</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p>
        </w:tc>
        <w:tc>
          <w:tcPr>
            <w:tcW w:w="116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p>
        </w:tc>
        <w:tc>
          <w:tcPr>
            <w:tcW w:w="14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p>
        </w:tc>
      </w:tr>
      <w:tr>
        <w:trPr>
          <w:trHeight w:val="323"/>
          <w:gridAfter w:val="1"/>
          <w:wAfter w:w="399" w:type="dxa"/>
        </w:trPr>
        <w:tc>
          <w:tcPr>
            <w:tcW w:w="1234"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kern w:val="0"/>
                <w:sz w:val="22"/>
              </w:rPr>
            </w:pPr>
            <w:r>
              <w:rPr>
                <w:rFonts w:ascii="宋体" w:eastAsia="宋体" w:cs="宋体" w:hint="eastAsia"/>
                <w:color w:val="000000"/>
                <w:kern w:val="0"/>
                <w:sz w:val="22"/>
              </w:rPr>
              <w:t>2080505</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kern w:val="0"/>
                <w:sz w:val="22"/>
              </w:rPr>
            </w:pPr>
            <w:r>
              <w:rPr>
                <w:rFonts w:ascii="宋体" w:eastAsia="宋体" w:cs="宋体" w:hint="eastAsia"/>
                <w:color w:val="000000"/>
                <w:kern w:val="0"/>
                <w:sz w:val="22"/>
              </w:rPr>
              <w:t xml:space="preserve">  机关事业单位基本养老保险缴费支出</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r>
              <w:rPr>
                <w:rFonts w:ascii="宋体" w:eastAsia="宋体" w:cs="宋体" w:hint="eastAsia"/>
                <w:color w:val="000000"/>
                <w:kern w:val="0"/>
                <w:sz w:val="22"/>
              </w:rPr>
              <w:t>106.87</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r>
              <w:rPr>
                <w:rFonts w:ascii="宋体" w:eastAsia="宋体" w:cs="宋体" w:hint="eastAsia"/>
                <w:color w:val="000000"/>
                <w:kern w:val="0"/>
                <w:sz w:val="22"/>
              </w:rPr>
              <w:t>106.87</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p>
        </w:tc>
        <w:tc>
          <w:tcPr>
            <w:tcW w:w="116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p>
        </w:tc>
        <w:tc>
          <w:tcPr>
            <w:tcW w:w="14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p>
        </w:tc>
      </w:tr>
      <w:tr>
        <w:trPr>
          <w:trHeight w:val="323"/>
          <w:gridAfter w:val="1"/>
          <w:wAfter w:w="399" w:type="dxa"/>
        </w:trPr>
        <w:tc>
          <w:tcPr>
            <w:tcW w:w="1234"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kern w:val="0"/>
                <w:sz w:val="22"/>
              </w:rPr>
            </w:pPr>
            <w:r>
              <w:rPr>
                <w:rFonts w:ascii="宋体" w:eastAsia="宋体" w:cs="宋体" w:hint="eastAsia"/>
                <w:color w:val="000000"/>
                <w:kern w:val="0"/>
                <w:sz w:val="22"/>
              </w:rPr>
              <w:t>210</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kern w:val="0"/>
                <w:sz w:val="22"/>
              </w:rPr>
            </w:pPr>
            <w:r>
              <w:rPr>
                <w:rFonts w:ascii="宋体" w:eastAsia="宋体" w:cs="宋体" w:hint="eastAsia"/>
                <w:color w:val="000000"/>
                <w:kern w:val="0"/>
                <w:sz w:val="22"/>
              </w:rPr>
              <w:t>卫生健康支出</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r>
              <w:rPr>
                <w:rFonts w:ascii="宋体" w:eastAsia="宋体" w:cs="宋体" w:hint="eastAsia"/>
                <w:color w:val="000000"/>
                <w:kern w:val="0"/>
                <w:sz w:val="22"/>
              </w:rPr>
              <w:t>35.91</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r>
              <w:rPr>
                <w:rFonts w:ascii="宋体" w:eastAsia="宋体" w:cs="宋体" w:hint="eastAsia"/>
                <w:color w:val="000000"/>
                <w:kern w:val="0"/>
                <w:sz w:val="22"/>
              </w:rPr>
              <w:t>35.91</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p>
        </w:tc>
        <w:tc>
          <w:tcPr>
            <w:tcW w:w="116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p>
        </w:tc>
        <w:tc>
          <w:tcPr>
            <w:tcW w:w="14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p>
        </w:tc>
      </w:tr>
      <w:tr>
        <w:trPr>
          <w:trHeight w:val="323"/>
          <w:gridAfter w:val="1"/>
          <w:wAfter w:w="399" w:type="dxa"/>
        </w:trPr>
        <w:tc>
          <w:tcPr>
            <w:tcW w:w="1234"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kern w:val="0"/>
                <w:sz w:val="22"/>
              </w:rPr>
            </w:pPr>
            <w:r>
              <w:rPr>
                <w:rFonts w:ascii="宋体" w:eastAsia="宋体" w:cs="宋体" w:hint="eastAsia"/>
                <w:color w:val="000000"/>
                <w:kern w:val="0"/>
                <w:sz w:val="22"/>
              </w:rPr>
              <w:t>21011</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kern w:val="0"/>
                <w:sz w:val="22"/>
              </w:rPr>
            </w:pPr>
            <w:r>
              <w:rPr>
                <w:rFonts w:ascii="宋体" w:eastAsia="宋体" w:cs="宋体" w:hint="eastAsia"/>
                <w:color w:val="000000"/>
                <w:kern w:val="0"/>
                <w:sz w:val="22"/>
              </w:rPr>
              <w:t>行政事业单位医疗</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r>
              <w:rPr>
                <w:rFonts w:ascii="宋体" w:eastAsia="宋体" w:cs="宋体" w:hint="eastAsia"/>
                <w:color w:val="000000"/>
                <w:kern w:val="0"/>
                <w:sz w:val="22"/>
              </w:rPr>
              <w:t>35.91</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r>
              <w:rPr>
                <w:rFonts w:ascii="宋体" w:eastAsia="宋体" w:cs="宋体" w:hint="eastAsia"/>
                <w:color w:val="000000"/>
                <w:kern w:val="0"/>
                <w:sz w:val="22"/>
              </w:rPr>
              <w:t>35.91</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p>
        </w:tc>
        <w:tc>
          <w:tcPr>
            <w:tcW w:w="116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p>
        </w:tc>
        <w:tc>
          <w:tcPr>
            <w:tcW w:w="14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p>
        </w:tc>
      </w:tr>
      <w:tr>
        <w:trPr>
          <w:trHeight w:val="323"/>
          <w:gridAfter w:val="1"/>
          <w:wAfter w:w="399" w:type="dxa"/>
        </w:trPr>
        <w:tc>
          <w:tcPr>
            <w:tcW w:w="1234"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kern w:val="0"/>
                <w:sz w:val="22"/>
              </w:rPr>
            </w:pPr>
            <w:r>
              <w:rPr>
                <w:rFonts w:ascii="宋体" w:eastAsia="宋体" w:cs="宋体" w:hint="eastAsia"/>
                <w:color w:val="000000"/>
                <w:kern w:val="0"/>
                <w:sz w:val="22"/>
              </w:rPr>
              <w:t>2101101</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kern w:val="0"/>
                <w:sz w:val="22"/>
              </w:rPr>
            </w:pPr>
            <w:r>
              <w:rPr>
                <w:rFonts w:ascii="宋体" w:eastAsia="宋体" w:cs="宋体" w:hint="eastAsia"/>
                <w:color w:val="000000"/>
                <w:kern w:val="0"/>
                <w:sz w:val="22"/>
              </w:rPr>
              <w:t xml:space="preserve">  行政单位医疗</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r>
              <w:rPr>
                <w:rFonts w:ascii="宋体" w:eastAsia="宋体" w:cs="宋体" w:hint="eastAsia"/>
                <w:color w:val="000000"/>
                <w:kern w:val="0"/>
                <w:sz w:val="22"/>
              </w:rPr>
              <w:t>35.91</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r>
              <w:rPr>
                <w:rFonts w:ascii="宋体" w:eastAsia="宋体" w:cs="宋体" w:hint="eastAsia"/>
                <w:color w:val="000000"/>
                <w:kern w:val="0"/>
                <w:sz w:val="22"/>
              </w:rPr>
              <w:t>35.91</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p>
        </w:tc>
        <w:tc>
          <w:tcPr>
            <w:tcW w:w="116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p>
        </w:tc>
        <w:tc>
          <w:tcPr>
            <w:tcW w:w="14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p>
        </w:tc>
      </w:tr>
      <w:tr>
        <w:trPr>
          <w:trHeight w:val="323"/>
          <w:gridAfter w:val="1"/>
          <w:wAfter w:w="399" w:type="dxa"/>
        </w:trPr>
        <w:tc>
          <w:tcPr>
            <w:tcW w:w="1234"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kern w:val="0"/>
                <w:sz w:val="22"/>
              </w:rPr>
            </w:pPr>
            <w:r>
              <w:rPr>
                <w:rFonts w:ascii="宋体" w:eastAsia="宋体" w:cs="宋体" w:hint="eastAsia"/>
                <w:color w:val="000000"/>
                <w:kern w:val="0"/>
                <w:sz w:val="22"/>
              </w:rPr>
              <w:t>221</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kern w:val="0"/>
                <w:sz w:val="22"/>
              </w:rPr>
            </w:pPr>
            <w:r>
              <w:rPr>
                <w:rFonts w:ascii="宋体" w:eastAsia="宋体" w:cs="宋体" w:hint="eastAsia"/>
                <w:color w:val="000000"/>
                <w:kern w:val="0"/>
                <w:sz w:val="22"/>
              </w:rPr>
              <w:t>住房保障支出</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r>
              <w:rPr>
                <w:rFonts w:ascii="宋体" w:eastAsia="宋体" w:cs="宋体" w:hint="eastAsia"/>
                <w:color w:val="000000"/>
                <w:kern w:val="0"/>
                <w:sz w:val="22"/>
              </w:rPr>
              <w:t>59.85</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r>
              <w:rPr>
                <w:rFonts w:ascii="宋体" w:eastAsia="宋体" w:cs="宋体" w:hint="eastAsia"/>
                <w:color w:val="000000"/>
                <w:kern w:val="0"/>
                <w:sz w:val="22"/>
              </w:rPr>
              <w:t>59.85</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p>
        </w:tc>
        <w:tc>
          <w:tcPr>
            <w:tcW w:w="116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p>
        </w:tc>
        <w:tc>
          <w:tcPr>
            <w:tcW w:w="14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p>
        </w:tc>
      </w:tr>
      <w:tr>
        <w:trPr>
          <w:trHeight w:val="323"/>
          <w:gridAfter w:val="1"/>
          <w:wAfter w:w="399" w:type="dxa"/>
        </w:trPr>
        <w:tc>
          <w:tcPr>
            <w:tcW w:w="1234"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kern w:val="0"/>
                <w:sz w:val="22"/>
              </w:rPr>
            </w:pPr>
            <w:r>
              <w:rPr>
                <w:rFonts w:ascii="宋体" w:eastAsia="宋体" w:cs="宋体" w:hint="eastAsia"/>
                <w:color w:val="000000"/>
                <w:kern w:val="0"/>
                <w:sz w:val="22"/>
              </w:rPr>
              <w:t>22102</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kern w:val="0"/>
                <w:sz w:val="22"/>
              </w:rPr>
            </w:pPr>
            <w:r>
              <w:rPr>
                <w:rFonts w:ascii="宋体" w:eastAsia="宋体" w:cs="宋体" w:hint="eastAsia"/>
                <w:color w:val="000000"/>
                <w:kern w:val="0"/>
                <w:sz w:val="22"/>
              </w:rPr>
              <w:t>住房改革支出</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r>
              <w:rPr>
                <w:rFonts w:ascii="宋体" w:eastAsia="宋体" w:cs="宋体" w:hint="eastAsia"/>
                <w:color w:val="000000"/>
                <w:kern w:val="0"/>
                <w:sz w:val="22"/>
              </w:rPr>
              <w:t>59.85</w:t>
            </w: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r>
              <w:rPr>
                <w:rFonts w:ascii="宋体" w:eastAsia="宋体" w:cs="宋体" w:hint="eastAsia"/>
                <w:color w:val="000000"/>
                <w:kern w:val="0"/>
                <w:sz w:val="22"/>
              </w:rPr>
              <w:t>59.85</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p>
        </w:tc>
        <w:tc>
          <w:tcPr>
            <w:tcW w:w="116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p>
        </w:tc>
        <w:tc>
          <w:tcPr>
            <w:tcW w:w="116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p>
        </w:tc>
        <w:tc>
          <w:tcPr>
            <w:tcW w:w="14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kern w:val="0"/>
                <w:sz w:val="22"/>
              </w:rPr>
            </w:pPr>
          </w:p>
        </w:tc>
      </w:tr>
      <w:tr>
        <w:trPr>
          <w:trHeight w:val="323"/>
          <w:gridAfter w:val="1"/>
          <w:wAfter w:w="399" w:type="dxa"/>
        </w:trPr>
        <w:tc>
          <w:tcPr>
            <w:tcW w:w="9680" w:type="dxa"/>
            <w:gridSpan w:val="24"/>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注：本表反映部门本年度各项支出情况。</w:t>
            </w:r>
          </w:p>
        </w:tc>
      </w:tr>
      <w:tr>
        <w:trPr>
          <w:trHeight w:val="591"/>
        </w:trPr>
        <w:tc>
          <w:tcPr>
            <w:tcW w:w="10079" w:type="dxa"/>
            <w:gridSpan w:val="25"/>
            <w:tcBorders>
              <w:top w:val="nil"/>
              <w:left w:val="nil"/>
              <w:bottom w:val="nil"/>
              <w:right w:val="nil"/>
            </w:tcBorders>
            <w:shd w:val="clear" w:color="auto" w:fill="auto"/>
            <w:noWrap/>
            <w:tcMar>
              <w:top w:w="15" w:type="dxa"/>
              <w:left w:w="15" w:type="dxa"/>
              <w:right w:w="15" w:type="dxa"/>
            </w:tcMar>
            <w:vAlign w:val="bottom"/>
          </w:tcPr>
          <w:p>
            <w:pPr>
              <w:jc w:val="center"/>
              <w:rPr>
                <w:rFonts w:ascii="黑体" w:eastAsia="黑体" w:cs="黑体"/>
                <w:color w:val="000000"/>
                <w:sz w:val="32"/>
                <w:szCs w:val="32"/>
              </w:rPr>
            </w:pPr>
            <w:r>
              <w:rPr>
                <w:color w:val="000000"/>
              </w:rPr>
              <w:br w:type="page"/>
            </w:r>
            <w:r>
              <w:rPr>
                <w:rFonts w:ascii="黑体" w:eastAsia="黑体" w:cs="黑体" w:hint="eastAsia"/>
                <w:color w:val="000000"/>
                <w:kern w:val="0"/>
                <w:sz w:val="32"/>
                <w:szCs w:val="32"/>
              </w:rPr>
              <w:t>财政拨款收入支出决算总表</w:t>
            </w:r>
          </w:p>
        </w:tc>
      </w:tr>
      <w:tr>
        <w:trPr>
          <w:trHeight w:val="303"/>
        </w:trPr>
        <w:tc>
          <w:tcPr>
            <w:tcW w:w="2844" w:type="dxa"/>
            <w:gridSpan w:val="8"/>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51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964"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359" w:type="dxa"/>
            <w:gridSpan w:val="6"/>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528"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868" w:type="dxa"/>
            <w:gridSpan w:val="6"/>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公开04表</w:t>
            </w:r>
          </w:p>
        </w:tc>
      </w:tr>
      <w:tr>
        <w:trPr>
          <w:trHeight w:val="90"/>
        </w:trPr>
        <w:tc>
          <w:tcPr>
            <w:tcW w:w="3360" w:type="dxa"/>
            <w:gridSpan w:val="9"/>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r>
              <w:rPr>
                <w:rFonts w:ascii="宋体" w:eastAsia="宋体" w:cs="宋体" w:hint="eastAsia"/>
                <w:color w:val="000000"/>
                <w:kern w:val="0"/>
                <w:sz w:val="20"/>
                <w:szCs w:val="20"/>
              </w:rPr>
              <w:t>部门：廊坊市广阳区人民检察院</w:t>
            </w:r>
          </w:p>
        </w:tc>
        <w:tc>
          <w:tcPr>
            <w:tcW w:w="964"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359" w:type="dxa"/>
            <w:gridSpan w:val="6"/>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528"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868" w:type="dxa"/>
            <w:gridSpan w:val="6"/>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90"/>
        </w:trPr>
        <w:tc>
          <w:tcPr>
            <w:tcW w:w="4324"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收     入</w:t>
            </w:r>
          </w:p>
        </w:tc>
        <w:tc>
          <w:tcPr>
            <w:tcW w:w="5755" w:type="dxa"/>
            <w:gridSpan w:val="14"/>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支     出</w:t>
            </w:r>
          </w:p>
        </w:tc>
      </w:tr>
      <w:tr>
        <w:trPr>
          <w:trHeight w:val="312"/>
        </w:trPr>
        <w:tc>
          <w:tcPr>
            <w:tcW w:w="2844" w:type="dxa"/>
            <w:gridSpan w:val="8"/>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1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964"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2359" w:type="dxa"/>
            <w:gridSpan w:val="6"/>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28"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980" w:type="dxa"/>
            <w:gridSpan w:val="2"/>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026"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一般公共预算财政拨款</w:t>
            </w:r>
          </w:p>
        </w:tc>
        <w:tc>
          <w:tcPr>
            <w:tcW w:w="862"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政府性基金预算财政拨款</w:t>
            </w:r>
          </w:p>
        </w:tc>
      </w:tr>
      <w:tr>
        <w:trPr>
          <w:trHeight w:val="624"/>
        </w:trPr>
        <w:tc>
          <w:tcPr>
            <w:tcW w:w="2844" w:type="dxa"/>
            <w:gridSpan w:val="8"/>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51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964"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2359" w:type="dxa"/>
            <w:gridSpan w:val="6"/>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528"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980" w:type="dxa"/>
            <w:gridSpan w:val="2"/>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026"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862"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90"/>
        </w:trPr>
        <w:tc>
          <w:tcPr>
            <w:tcW w:w="2844"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W w:w="9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235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栏次</w:t>
            </w:r>
          </w:p>
        </w:tc>
        <w:tc>
          <w:tcPr>
            <w:tcW w:w="52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W w:w="98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0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8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r>
      <w:tr>
        <w:trPr>
          <w:trHeight w:val="90"/>
        </w:trPr>
        <w:tc>
          <w:tcPr>
            <w:tcW w:w="2844"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5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9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1,799.19</w:t>
            </w:r>
          </w:p>
        </w:tc>
        <w:tc>
          <w:tcPr>
            <w:tcW w:w="235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2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30</w:t>
            </w:r>
          </w:p>
        </w:tc>
        <w:tc>
          <w:tcPr>
            <w:tcW w:w="98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0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8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90"/>
        </w:trPr>
        <w:tc>
          <w:tcPr>
            <w:tcW w:w="2844"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5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9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235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2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31</w:t>
            </w:r>
          </w:p>
        </w:tc>
        <w:tc>
          <w:tcPr>
            <w:tcW w:w="98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0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8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90"/>
        </w:trPr>
        <w:tc>
          <w:tcPr>
            <w:tcW w:w="2844"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9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5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2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32</w:t>
            </w:r>
          </w:p>
        </w:tc>
        <w:tc>
          <w:tcPr>
            <w:tcW w:w="98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0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8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90"/>
        </w:trPr>
        <w:tc>
          <w:tcPr>
            <w:tcW w:w="2844"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9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5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2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33</w:t>
            </w:r>
          </w:p>
        </w:tc>
        <w:tc>
          <w:tcPr>
            <w:tcW w:w="98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1,317.80</w:t>
            </w:r>
          </w:p>
        </w:tc>
        <w:tc>
          <w:tcPr>
            <w:tcW w:w="10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1,317.80</w:t>
            </w:r>
          </w:p>
        </w:tc>
        <w:tc>
          <w:tcPr>
            <w:tcW w:w="8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0.00</w:t>
            </w:r>
          </w:p>
        </w:tc>
      </w:tr>
      <w:tr>
        <w:trPr>
          <w:trHeight w:val="90"/>
        </w:trPr>
        <w:tc>
          <w:tcPr>
            <w:tcW w:w="2844"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9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5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2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34</w:t>
            </w:r>
          </w:p>
        </w:tc>
        <w:tc>
          <w:tcPr>
            <w:tcW w:w="98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0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8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90"/>
        </w:trPr>
        <w:tc>
          <w:tcPr>
            <w:tcW w:w="2844"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9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5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2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35</w:t>
            </w:r>
          </w:p>
        </w:tc>
        <w:tc>
          <w:tcPr>
            <w:tcW w:w="98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0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8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90"/>
        </w:trPr>
        <w:tc>
          <w:tcPr>
            <w:tcW w:w="2844"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9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5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2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36</w:t>
            </w:r>
          </w:p>
        </w:tc>
        <w:tc>
          <w:tcPr>
            <w:tcW w:w="98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0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8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90"/>
        </w:trPr>
        <w:tc>
          <w:tcPr>
            <w:tcW w:w="2844"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9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5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2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37</w:t>
            </w:r>
          </w:p>
        </w:tc>
        <w:tc>
          <w:tcPr>
            <w:tcW w:w="98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284.23</w:t>
            </w:r>
          </w:p>
        </w:tc>
        <w:tc>
          <w:tcPr>
            <w:tcW w:w="10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284.23</w:t>
            </w:r>
          </w:p>
        </w:tc>
        <w:tc>
          <w:tcPr>
            <w:tcW w:w="8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90"/>
        </w:trPr>
        <w:tc>
          <w:tcPr>
            <w:tcW w:w="2844"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9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5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2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38</w:t>
            </w:r>
          </w:p>
        </w:tc>
        <w:tc>
          <w:tcPr>
            <w:tcW w:w="98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35.91</w:t>
            </w:r>
          </w:p>
        </w:tc>
        <w:tc>
          <w:tcPr>
            <w:tcW w:w="10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35.91</w:t>
            </w:r>
          </w:p>
        </w:tc>
        <w:tc>
          <w:tcPr>
            <w:tcW w:w="8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90"/>
        </w:trPr>
        <w:tc>
          <w:tcPr>
            <w:tcW w:w="2844"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9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5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2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39</w:t>
            </w:r>
          </w:p>
        </w:tc>
        <w:tc>
          <w:tcPr>
            <w:tcW w:w="98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0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8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90"/>
        </w:trPr>
        <w:tc>
          <w:tcPr>
            <w:tcW w:w="2844"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9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5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2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40</w:t>
            </w:r>
          </w:p>
        </w:tc>
        <w:tc>
          <w:tcPr>
            <w:tcW w:w="98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0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8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90"/>
        </w:trPr>
        <w:tc>
          <w:tcPr>
            <w:tcW w:w="2844"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c>
          <w:tcPr>
            <w:tcW w:w="9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5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2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41</w:t>
            </w:r>
          </w:p>
        </w:tc>
        <w:tc>
          <w:tcPr>
            <w:tcW w:w="98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0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8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90"/>
        </w:trPr>
        <w:tc>
          <w:tcPr>
            <w:tcW w:w="2844"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13</w:t>
            </w:r>
          </w:p>
        </w:tc>
        <w:tc>
          <w:tcPr>
            <w:tcW w:w="9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5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2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42</w:t>
            </w:r>
          </w:p>
        </w:tc>
        <w:tc>
          <w:tcPr>
            <w:tcW w:w="98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0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8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90"/>
        </w:trPr>
        <w:tc>
          <w:tcPr>
            <w:tcW w:w="2844"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14</w:t>
            </w:r>
          </w:p>
        </w:tc>
        <w:tc>
          <w:tcPr>
            <w:tcW w:w="9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5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18"/>
                <w:szCs w:val="18"/>
              </w:rPr>
              <w:t>十四、资源勘探信息等支出</w:t>
            </w:r>
          </w:p>
        </w:tc>
        <w:tc>
          <w:tcPr>
            <w:tcW w:w="52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43</w:t>
            </w:r>
          </w:p>
        </w:tc>
        <w:tc>
          <w:tcPr>
            <w:tcW w:w="98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0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8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90"/>
        </w:trPr>
        <w:tc>
          <w:tcPr>
            <w:tcW w:w="2844"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15</w:t>
            </w:r>
          </w:p>
        </w:tc>
        <w:tc>
          <w:tcPr>
            <w:tcW w:w="9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5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2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44</w:t>
            </w:r>
          </w:p>
        </w:tc>
        <w:tc>
          <w:tcPr>
            <w:tcW w:w="98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0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8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90"/>
        </w:trPr>
        <w:tc>
          <w:tcPr>
            <w:tcW w:w="2844"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16</w:t>
            </w:r>
          </w:p>
        </w:tc>
        <w:tc>
          <w:tcPr>
            <w:tcW w:w="9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5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2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45</w:t>
            </w:r>
          </w:p>
        </w:tc>
        <w:tc>
          <w:tcPr>
            <w:tcW w:w="98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0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8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90"/>
        </w:trPr>
        <w:tc>
          <w:tcPr>
            <w:tcW w:w="2844"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17</w:t>
            </w:r>
          </w:p>
        </w:tc>
        <w:tc>
          <w:tcPr>
            <w:tcW w:w="9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5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w:t>
            </w:r>
            <w:r>
              <w:rPr>
                <w:rFonts w:ascii="宋体" w:eastAsia="宋体" w:cs="宋体" w:hint="eastAsia"/>
                <w:color w:val="000000"/>
                <w:kern w:val="0"/>
                <w:sz w:val="18"/>
                <w:szCs w:val="18"/>
              </w:rPr>
              <w:t>七、援助其他地区支出</w:t>
            </w:r>
          </w:p>
        </w:tc>
        <w:tc>
          <w:tcPr>
            <w:tcW w:w="52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46</w:t>
            </w:r>
          </w:p>
        </w:tc>
        <w:tc>
          <w:tcPr>
            <w:tcW w:w="98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0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8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90"/>
        </w:trPr>
        <w:tc>
          <w:tcPr>
            <w:tcW w:w="2844"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18</w:t>
            </w:r>
          </w:p>
        </w:tc>
        <w:tc>
          <w:tcPr>
            <w:tcW w:w="9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Cs w:val="21"/>
              </w:rPr>
            </w:pPr>
          </w:p>
        </w:tc>
        <w:tc>
          <w:tcPr>
            <w:tcW w:w="235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Cs w:val="21"/>
              </w:rPr>
            </w:pPr>
            <w:r>
              <w:rPr>
                <w:rFonts w:ascii="宋体" w:eastAsia="宋体" w:cs="宋体" w:hint="eastAsia"/>
                <w:color w:val="000000"/>
                <w:kern w:val="0"/>
                <w:sz w:val="16"/>
                <w:szCs w:val="16"/>
              </w:rPr>
              <w:t>十八、自然资源海洋气象等支出</w:t>
            </w:r>
          </w:p>
        </w:tc>
        <w:tc>
          <w:tcPr>
            <w:tcW w:w="52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47</w:t>
            </w:r>
          </w:p>
        </w:tc>
        <w:tc>
          <w:tcPr>
            <w:tcW w:w="98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0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8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90"/>
        </w:trPr>
        <w:tc>
          <w:tcPr>
            <w:tcW w:w="2844"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19</w:t>
            </w:r>
          </w:p>
        </w:tc>
        <w:tc>
          <w:tcPr>
            <w:tcW w:w="9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5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2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48</w:t>
            </w:r>
          </w:p>
        </w:tc>
        <w:tc>
          <w:tcPr>
            <w:tcW w:w="98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59.85</w:t>
            </w:r>
          </w:p>
        </w:tc>
        <w:tc>
          <w:tcPr>
            <w:tcW w:w="10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59.85</w:t>
            </w:r>
          </w:p>
        </w:tc>
        <w:tc>
          <w:tcPr>
            <w:tcW w:w="8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90"/>
        </w:trPr>
        <w:tc>
          <w:tcPr>
            <w:tcW w:w="2844"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20</w:t>
            </w:r>
          </w:p>
        </w:tc>
        <w:tc>
          <w:tcPr>
            <w:tcW w:w="9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5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2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49</w:t>
            </w:r>
          </w:p>
        </w:tc>
        <w:tc>
          <w:tcPr>
            <w:tcW w:w="98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0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8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90"/>
        </w:trPr>
        <w:tc>
          <w:tcPr>
            <w:tcW w:w="2844"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21</w:t>
            </w:r>
          </w:p>
        </w:tc>
        <w:tc>
          <w:tcPr>
            <w:tcW w:w="9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6"/>
                <w:szCs w:val="16"/>
              </w:rPr>
            </w:pPr>
          </w:p>
        </w:tc>
        <w:tc>
          <w:tcPr>
            <w:tcW w:w="235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二十一、灾害防治及应急管理支出</w:t>
            </w:r>
          </w:p>
        </w:tc>
        <w:tc>
          <w:tcPr>
            <w:tcW w:w="52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50</w:t>
            </w:r>
          </w:p>
        </w:tc>
        <w:tc>
          <w:tcPr>
            <w:tcW w:w="98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0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8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90"/>
        </w:trPr>
        <w:tc>
          <w:tcPr>
            <w:tcW w:w="2844"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22</w:t>
            </w:r>
          </w:p>
        </w:tc>
        <w:tc>
          <w:tcPr>
            <w:tcW w:w="9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5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2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51</w:t>
            </w:r>
          </w:p>
        </w:tc>
        <w:tc>
          <w:tcPr>
            <w:tcW w:w="98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0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8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90"/>
        </w:trPr>
        <w:tc>
          <w:tcPr>
            <w:tcW w:w="2844"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23</w:t>
            </w:r>
          </w:p>
        </w:tc>
        <w:tc>
          <w:tcPr>
            <w:tcW w:w="9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5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2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52</w:t>
            </w:r>
          </w:p>
        </w:tc>
        <w:tc>
          <w:tcPr>
            <w:tcW w:w="98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0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8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90"/>
        </w:trPr>
        <w:tc>
          <w:tcPr>
            <w:tcW w:w="2844"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5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24</w:t>
            </w:r>
          </w:p>
        </w:tc>
        <w:tc>
          <w:tcPr>
            <w:tcW w:w="9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1,799.19</w:t>
            </w:r>
          </w:p>
        </w:tc>
        <w:tc>
          <w:tcPr>
            <w:tcW w:w="235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2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53</w:t>
            </w:r>
          </w:p>
        </w:tc>
        <w:tc>
          <w:tcPr>
            <w:tcW w:w="98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1,697.79</w:t>
            </w:r>
          </w:p>
        </w:tc>
        <w:tc>
          <w:tcPr>
            <w:tcW w:w="10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1,697.79</w:t>
            </w:r>
          </w:p>
        </w:tc>
        <w:tc>
          <w:tcPr>
            <w:tcW w:w="8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90"/>
        </w:trPr>
        <w:tc>
          <w:tcPr>
            <w:tcW w:w="2844"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年初财政拨款结转和结余</w:t>
            </w:r>
          </w:p>
        </w:tc>
        <w:tc>
          <w:tcPr>
            <w:tcW w:w="5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25</w:t>
            </w:r>
          </w:p>
        </w:tc>
        <w:tc>
          <w:tcPr>
            <w:tcW w:w="9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139.58</w:t>
            </w:r>
          </w:p>
        </w:tc>
        <w:tc>
          <w:tcPr>
            <w:tcW w:w="235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kern w:val="0"/>
                <w:sz w:val="18"/>
                <w:szCs w:val="18"/>
              </w:rPr>
            </w:pPr>
            <w:r>
              <w:rPr>
                <w:rFonts w:ascii="宋体" w:eastAsia="宋体" w:cs="宋体" w:hint="eastAsia"/>
                <w:color w:val="000000"/>
                <w:kern w:val="0"/>
                <w:sz w:val="18"/>
                <w:szCs w:val="18"/>
              </w:rPr>
              <w:t>年末财政拨款结转和结余</w:t>
            </w:r>
          </w:p>
        </w:tc>
        <w:tc>
          <w:tcPr>
            <w:tcW w:w="52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54</w:t>
            </w:r>
          </w:p>
        </w:tc>
        <w:tc>
          <w:tcPr>
            <w:tcW w:w="98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240.98</w:t>
            </w:r>
          </w:p>
        </w:tc>
        <w:tc>
          <w:tcPr>
            <w:tcW w:w="10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240.98</w:t>
            </w:r>
          </w:p>
        </w:tc>
        <w:tc>
          <w:tcPr>
            <w:tcW w:w="8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90"/>
        </w:trPr>
        <w:tc>
          <w:tcPr>
            <w:tcW w:w="2844"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5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26</w:t>
            </w:r>
          </w:p>
        </w:tc>
        <w:tc>
          <w:tcPr>
            <w:tcW w:w="9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139.58</w:t>
            </w:r>
          </w:p>
        </w:tc>
        <w:tc>
          <w:tcPr>
            <w:tcW w:w="235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kern w:val="0"/>
                <w:sz w:val="18"/>
                <w:szCs w:val="18"/>
              </w:rPr>
            </w:pPr>
          </w:p>
        </w:tc>
        <w:tc>
          <w:tcPr>
            <w:tcW w:w="52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55</w:t>
            </w:r>
          </w:p>
        </w:tc>
        <w:tc>
          <w:tcPr>
            <w:tcW w:w="98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844"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5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27</w:t>
            </w:r>
          </w:p>
        </w:tc>
        <w:tc>
          <w:tcPr>
            <w:tcW w:w="9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235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2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56</w:t>
            </w:r>
          </w:p>
        </w:tc>
        <w:tc>
          <w:tcPr>
            <w:tcW w:w="98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844"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28</w:t>
            </w:r>
          </w:p>
        </w:tc>
        <w:tc>
          <w:tcPr>
            <w:tcW w:w="9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5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2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57</w:t>
            </w:r>
          </w:p>
        </w:tc>
        <w:tc>
          <w:tcPr>
            <w:tcW w:w="98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844"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29</w:t>
            </w:r>
          </w:p>
        </w:tc>
        <w:tc>
          <w:tcPr>
            <w:tcW w:w="9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1,938.78</w:t>
            </w:r>
          </w:p>
        </w:tc>
        <w:tc>
          <w:tcPr>
            <w:tcW w:w="235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2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58</w:t>
            </w:r>
          </w:p>
        </w:tc>
        <w:tc>
          <w:tcPr>
            <w:tcW w:w="98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1,938.78</w:t>
            </w:r>
          </w:p>
        </w:tc>
        <w:tc>
          <w:tcPr>
            <w:tcW w:w="10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1,938.78</w:t>
            </w:r>
          </w:p>
        </w:tc>
        <w:tc>
          <w:tcPr>
            <w:tcW w:w="8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90"/>
        </w:trPr>
        <w:tc>
          <w:tcPr>
            <w:tcW w:w="10079" w:type="dxa"/>
            <w:gridSpan w:val="25"/>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注：本表反映部门本年度一般公共预算财政拨款和政府性基金预算财政拨款的总收支和年末结转结余情况。</w:t>
            </w:r>
          </w:p>
        </w:tc>
      </w:tr>
      <w:tr>
        <w:trPr>
          <w:trHeight w:val="600"/>
          <w:gridAfter w:val="5"/>
          <w:wAfter w:w="2395" w:type="dxa"/>
        </w:trPr>
        <w:tc>
          <w:tcPr>
            <w:tcW w:w="7684" w:type="dxa"/>
            <w:gridSpan w:val="2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一般公共预算财政拨款支出决算表</w:t>
            </w:r>
          </w:p>
        </w:tc>
      </w:tr>
      <w:tr>
        <w:trPr>
          <w:trHeight w:val="255"/>
          <w:gridAfter w:val="5"/>
          <w:wAfter w:w="2395" w:type="dxa"/>
        </w:trPr>
        <w:tc>
          <w:tcPr>
            <w:tcW w:w="675" w:type="dxa"/>
            <w:tcBorders>
              <w:top w:val="nil"/>
              <w:left w:val="nil"/>
              <w:bottom w:val="nil"/>
              <w:right w:val="nil"/>
            </w:tcBorders>
            <w:shd w:val="clear" w:color="auto" w:fill="auto"/>
            <w:noWrap/>
            <w:tcMar>
              <w:top w:w="15" w:type="dxa"/>
              <w:left w:w="15" w:type="dxa"/>
              <w:right w:w="15" w:type="dxa"/>
            </w:tcMar>
            <w:vAlign w:val="bottom"/>
          </w:tcPr>
          <w:p>
            <w:pPr>
              <w:jc w:val="center"/>
              <w:rPr>
                <w:rFonts w:ascii="Arial" w:hAnsi="Arial"/>
                <w:color w:val="000000"/>
                <w:sz w:val="20"/>
                <w:szCs w:val="20"/>
              </w:rPr>
            </w:pPr>
          </w:p>
        </w:tc>
        <w:tc>
          <w:tcPr>
            <w:tcW w:w="60" w:type="dxa"/>
            <w:tcBorders>
              <w:top w:val="nil"/>
              <w:left w:val="nil"/>
              <w:bottom w:val="nil"/>
              <w:right w:val="nil"/>
            </w:tcBorders>
            <w:shd w:val="clear" w:color="auto" w:fill="auto"/>
            <w:noWrap/>
            <w:tcMar>
              <w:top w:w="15" w:type="dxa"/>
              <w:left w:w="15" w:type="dxa"/>
              <w:right w:w="15" w:type="dxa"/>
            </w:tcMar>
            <w:vAlign w:val="bottom"/>
          </w:tcPr>
          <w:p>
            <w:pPr>
              <w:jc w:val="center"/>
              <w:rPr>
                <w:rFonts w:ascii="Arial" w:hAnsi="Arial"/>
                <w:color w:val="000000"/>
                <w:sz w:val="20"/>
                <w:szCs w:val="20"/>
              </w:rPr>
            </w:pPr>
          </w:p>
        </w:tc>
        <w:tc>
          <w:tcPr>
            <w:tcW w:w="393" w:type="dxa"/>
            <w:gridSpan w:val="3"/>
            <w:tcBorders>
              <w:top w:val="nil"/>
              <w:left w:val="nil"/>
              <w:bottom w:val="nil"/>
              <w:right w:val="nil"/>
            </w:tcBorders>
            <w:shd w:val="clear" w:color="auto" w:fill="auto"/>
            <w:noWrap/>
            <w:tcMar>
              <w:top w:w="15" w:type="dxa"/>
              <w:left w:w="15" w:type="dxa"/>
              <w:right w:w="15" w:type="dxa"/>
            </w:tcMar>
            <w:vAlign w:val="bottom"/>
          </w:tcPr>
          <w:p>
            <w:pPr>
              <w:jc w:val="center"/>
              <w:rPr>
                <w:rFonts w:ascii="Arial" w:hAnsi="Arial"/>
                <w:color w:val="000000"/>
                <w:sz w:val="20"/>
                <w:szCs w:val="20"/>
              </w:rPr>
            </w:pPr>
          </w:p>
        </w:tc>
        <w:tc>
          <w:tcPr>
            <w:tcW w:w="3229" w:type="dxa"/>
            <w:gridSpan w:val="7"/>
            <w:tcBorders>
              <w:top w:val="nil"/>
              <w:left w:val="nil"/>
              <w:bottom w:val="nil"/>
              <w:right w:val="nil"/>
            </w:tcBorders>
            <w:shd w:val="clear" w:color="auto" w:fill="auto"/>
            <w:noWrap/>
            <w:tcMar>
              <w:top w:w="15" w:type="dxa"/>
              <w:left w:w="15" w:type="dxa"/>
              <w:right w:w="15" w:type="dxa"/>
            </w:tcMar>
            <w:vAlign w:val="bottom"/>
          </w:tcPr>
          <w:p>
            <w:pPr>
              <w:jc w:val="center"/>
              <w:rPr>
                <w:rFonts w:ascii="Arial" w:hAnsi="Arial"/>
                <w:color w:val="000000"/>
                <w:sz w:val="20"/>
                <w:szCs w:val="20"/>
              </w:rPr>
            </w:pPr>
          </w:p>
        </w:tc>
        <w:tc>
          <w:tcPr>
            <w:tcW w:w="1125" w:type="dxa"/>
            <w:gridSpan w:val="2"/>
            <w:tcBorders>
              <w:top w:val="nil"/>
              <w:left w:val="nil"/>
              <w:bottom w:val="nil"/>
              <w:right w:val="nil"/>
            </w:tcBorders>
            <w:shd w:val="clear" w:color="auto" w:fill="auto"/>
            <w:noWrap/>
            <w:tcMar>
              <w:top w:w="15" w:type="dxa"/>
              <w:left w:w="15" w:type="dxa"/>
              <w:right w:w="15" w:type="dxa"/>
            </w:tcMar>
            <w:vAlign w:val="bottom"/>
          </w:tcPr>
          <w:p>
            <w:pPr>
              <w:jc w:val="center"/>
              <w:rPr>
                <w:rFonts w:ascii="Arial" w:hAnsi="Arial"/>
                <w:color w:val="000000"/>
                <w:sz w:val="20"/>
                <w:szCs w:val="20"/>
              </w:rPr>
            </w:pPr>
          </w:p>
        </w:tc>
        <w:tc>
          <w:tcPr>
            <w:tcW w:w="2202" w:type="dxa"/>
            <w:gridSpan w:val="6"/>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宋体" w:eastAsia="宋体" w:cs="宋体"/>
                <w:color w:val="000000"/>
                <w:sz w:val="20"/>
                <w:szCs w:val="20"/>
              </w:rPr>
            </w:pPr>
            <w:r>
              <w:rPr>
                <w:rFonts w:ascii="宋体" w:eastAsia="宋体" w:cs="宋体" w:hint="eastAsia"/>
                <w:color w:val="000000"/>
                <w:kern w:val="0"/>
                <w:sz w:val="20"/>
                <w:szCs w:val="20"/>
              </w:rPr>
              <w:t>公开05表</w:t>
            </w:r>
          </w:p>
        </w:tc>
      </w:tr>
      <w:tr>
        <w:trPr>
          <w:trHeight w:val="255"/>
          <w:gridAfter w:val="5"/>
          <w:wAfter w:w="2395" w:type="dxa"/>
        </w:trPr>
        <w:tc>
          <w:tcPr>
            <w:tcW w:w="4357" w:type="dxa"/>
            <w:gridSpan w:val="12"/>
            <w:tcBorders>
              <w:top w:val="nil"/>
              <w:left w:val="nil"/>
              <w:bottom w:val="nil"/>
              <w:right w:val="nil"/>
            </w:tcBorders>
            <w:shd w:val="clear" w:color="auto" w:fill="auto"/>
            <w:noWrap/>
            <w:tcMar>
              <w:top w:w="15" w:type="dxa"/>
              <w:left w:w="15" w:type="dxa"/>
              <w:right w:w="15" w:type="dxa"/>
            </w:tcMar>
            <w:vAlign w:val="bottom"/>
          </w:tcPr>
          <w:p>
            <w:pPr>
              <w:jc w:val="center"/>
              <w:rPr>
                <w:rFonts w:ascii="Arial" w:hAnsi="Arial"/>
                <w:color w:val="000000"/>
                <w:sz w:val="20"/>
                <w:szCs w:val="20"/>
              </w:rPr>
            </w:pPr>
            <w:r>
              <w:rPr>
                <w:rFonts w:ascii="宋体" w:eastAsia="宋体" w:cs="宋体" w:hint="eastAsia"/>
                <w:color w:val="000000"/>
                <w:kern w:val="0"/>
                <w:sz w:val="20"/>
                <w:szCs w:val="20"/>
              </w:rPr>
              <w:t>部门：廊坊市广阳区人民检察院</w:t>
            </w:r>
          </w:p>
        </w:tc>
        <w:tc>
          <w:tcPr>
            <w:tcW w:w="1125" w:type="dxa"/>
            <w:gridSpan w:val="2"/>
            <w:tcBorders>
              <w:top w:val="nil"/>
              <w:left w:val="nil"/>
              <w:bottom w:val="nil"/>
              <w:right w:val="nil"/>
            </w:tcBorders>
            <w:shd w:val="clear" w:color="auto" w:fill="auto"/>
            <w:noWrap/>
            <w:tcMar>
              <w:top w:w="15" w:type="dxa"/>
              <w:left w:w="15" w:type="dxa"/>
              <w:right w:w="15" w:type="dxa"/>
            </w:tcMar>
            <w:vAlign w:val="bottom"/>
          </w:tcPr>
          <w:p>
            <w:pPr>
              <w:jc w:val="center"/>
              <w:rPr>
                <w:rFonts w:ascii="Arial" w:hAnsi="Arial"/>
                <w:color w:val="000000"/>
                <w:sz w:val="20"/>
                <w:szCs w:val="20"/>
              </w:rPr>
            </w:pPr>
          </w:p>
        </w:tc>
        <w:tc>
          <w:tcPr>
            <w:tcW w:w="2202" w:type="dxa"/>
            <w:gridSpan w:val="6"/>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gridAfter w:val="5"/>
          <w:wAfter w:w="2395" w:type="dxa"/>
        </w:trPr>
        <w:tc>
          <w:tcPr>
            <w:tcW w:w="4357" w:type="dxa"/>
            <w:gridSpan w:val="1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3327" w:type="dxa"/>
            <w:gridSpan w:val="8"/>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trPr>
          <w:trHeight w:val="312"/>
          <w:gridAfter w:val="5"/>
          <w:wAfter w:w="2395" w:type="dxa"/>
        </w:trPr>
        <w:tc>
          <w:tcPr>
            <w:tcW w:w="1128" w:type="dxa"/>
            <w:gridSpan w:val="5"/>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229" w:type="dxa"/>
            <w:gridSpan w:val="7"/>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25"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057"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45" w:type="dxa"/>
            <w:gridSpan w:val="4"/>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trPr>
          <w:trHeight w:val="624"/>
          <w:gridAfter w:val="5"/>
          <w:wAfter w:w="2395" w:type="dxa"/>
        </w:trPr>
        <w:tc>
          <w:tcPr>
            <w:tcW w:w="1128" w:type="dxa"/>
            <w:gridSpan w:val="5"/>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3229" w:type="dxa"/>
            <w:gridSpan w:val="7"/>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25"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057"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45" w:type="dxa"/>
            <w:gridSpan w:val="4"/>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gridAfter w:val="5"/>
          <w:wAfter w:w="2395" w:type="dxa"/>
        </w:trPr>
        <w:tc>
          <w:tcPr>
            <w:tcW w:w="1128" w:type="dxa"/>
            <w:gridSpan w:val="5"/>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3229" w:type="dxa"/>
            <w:gridSpan w:val="7"/>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25"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057"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45" w:type="dxa"/>
            <w:gridSpan w:val="4"/>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08"/>
          <w:gridAfter w:val="5"/>
          <w:wAfter w:w="2395" w:type="dxa"/>
        </w:trPr>
        <w:tc>
          <w:tcPr>
            <w:tcW w:w="4357" w:type="dxa"/>
            <w:gridSpan w:val="1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1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0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145"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r>
      <w:tr>
        <w:trPr>
          <w:trHeight w:val="308"/>
          <w:gridAfter w:val="5"/>
          <w:wAfter w:w="2395" w:type="dxa"/>
        </w:trPr>
        <w:tc>
          <w:tcPr>
            <w:tcW w:w="4357" w:type="dxa"/>
            <w:gridSpan w:val="1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1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1,697.79</w:t>
            </w:r>
          </w:p>
        </w:tc>
        <w:tc>
          <w:tcPr>
            <w:tcW w:w="10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1,534.17</w:t>
            </w:r>
          </w:p>
        </w:tc>
        <w:tc>
          <w:tcPr>
            <w:tcW w:w="1145"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163.62</w:t>
            </w:r>
          </w:p>
        </w:tc>
      </w:tr>
      <w:tr>
        <w:trPr>
          <w:trHeight w:val="308"/>
          <w:gridAfter w:val="5"/>
          <w:wAfter w:w="2395" w:type="dxa"/>
        </w:trPr>
        <w:tc>
          <w:tcPr>
            <w:tcW w:w="1128"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204</w:t>
            </w:r>
          </w:p>
        </w:tc>
        <w:tc>
          <w:tcPr>
            <w:tcW w:w="3229"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公共安全支出</w:t>
            </w:r>
          </w:p>
        </w:tc>
        <w:tc>
          <w:tcPr>
            <w:tcW w:w="11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1,317.80</w:t>
            </w:r>
          </w:p>
        </w:tc>
        <w:tc>
          <w:tcPr>
            <w:tcW w:w="10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1,154.18</w:t>
            </w:r>
          </w:p>
        </w:tc>
        <w:tc>
          <w:tcPr>
            <w:tcW w:w="1145"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163.62</w:t>
            </w:r>
          </w:p>
        </w:tc>
      </w:tr>
      <w:tr>
        <w:trPr>
          <w:trHeight w:val="308"/>
          <w:gridAfter w:val="5"/>
          <w:wAfter w:w="2395" w:type="dxa"/>
        </w:trPr>
        <w:tc>
          <w:tcPr>
            <w:tcW w:w="1128" w:type="dxa"/>
            <w:gridSpan w:val="5"/>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20404</w:t>
            </w:r>
          </w:p>
        </w:tc>
        <w:tc>
          <w:tcPr>
            <w:tcW w:w="3229" w:type="dxa"/>
            <w:gridSpan w:val="7"/>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检察</w:t>
            </w:r>
          </w:p>
        </w:tc>
        <w:tc>
          <w:tcPr>
            <w:tcW w:w="1125" w:type="dxa"/>
            <w:gridSpan w:val="2"/>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1,317.80</w:t>
            </w:r>
          </w:p>
        </w:tc>
        <w:tc>
          <w:tcPr>
            <w:tcW w:w="1057" w:type="dxa"/>
            <w:gridSpan w:val="2"/>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1,154.18</w:t>
            </w:r>
          </w:p>
        </w:tc>
        <w:tc>
          <w:tcPr>
            <w:tcW w:w="1145" w:type="dxa"/>
            <w:gridSpan w:val="4"/>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163.62</w:t>
            </w:r>
          </w:p>
        </w:tc>
      </w:tr>
      <w:tr>
        <w:trPr>
          <w:trHeight w:val="308"/>
          <w:gridAfter w:val="5"/>
          <w:wAfter w:w="2395" w:type="dxa"/>
        </w:trPr>
        <w:tc>
          <w:tcPr>
            <w:tcW w:w="1128"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2040401</w:t>
            </w:r>
          </w:p>
        </w:tc>
        <w:tc>
          <w:tcPr>
            <w:tcW w:w="3229"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行政运行</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1,157.21</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1,154.18</w:t>
            </w:r>
          </w:p>
        </w:tc>
        <w:tc>
          <w:tcPr>
            <w:tcW w:w="1145"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3.03</w:t>
            </w:r>
          </w:p>
        </w:tc>
      </w:tr>
      <w:tr>
        <w:trPr>
          <w:trHeight w:val="308"/>
          <w:gridAfter w:val="5"/>
          <w:wAfter w:w="2395" w:type="dxa"/>
        </w:trPr>
        <w:tc>
          <w:tcPr>
            <w:tcW w:w="1128"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2040499</w:t>
            </w:r>
          </w:p>
        </w:tc>
        <w:tc>
          <w:tcPr>
            <w:tcW w:w="3229"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其他检察支出</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160.59</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p>
        </w:tc>
        <w:tc>
          <w:tcPr>
            <w:tcW w:w="1145"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160.59</w:t>
            </w:r>
          </w:p>
        </w:tc>
      </w:tr>
      <w:tr>
        <w:trPr>
          <w:trHeight w:val="308"/>
          <w:gridAfter w:val="5"/>
          <w:wAfter w:w="2395" w:type="dxa"/>
        </w:trPr>
        <w:tc>
          <w:tcPr>
            <w:tcW w:w="1128"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208</w:t>
            </w:r>
          </w:p>
        </w:tc>
        <w:tc>
          <w:tcPr>
            <w:tcW w:w="3229"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社会保障和就业支出</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284.24</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284.24</w:t>
            </w:r>
          </w:p>
        </w:tc>
        <w:tc>
          <w:tcPr>
            <w:tcW w:w="1145"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p>
        </w:tc>
      </w:tr>
      <w:tr>
        <w:trPr>
          <w:trHeight w:val="308"/>
          <w:gridAfter w:val="5"/>
          <w:wAfter w:w="2395" w:type="dxa"/>
        </w:trPr>
        <w:tc>
          <w:tcPr>
            <w:tcW w:w="1128"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20805</w:t>
            </w:r>
          </w:p>
        </w:tc>
        <w:tc>
          <w:tcPr>
            <w:tcW w:w="3229"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行政事业单位离退休</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284.24</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284.24</w:t>
            </w:r>
          </w:p>
        </w:tc>
        <w:tc>
          <w:tcPr>
            <w:tcW w:w="1145"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p>
        </w:tc>
      </w:tr>
      <w:tr>
        <w:trPr>
          <w:trHeight w:val="308"/>
          <w:gridAfter w:val="5"/>
          <w:wAfter w:w="2395" w:type="dxa"/>
        </w:trPr>
        <w:tc>
          <w:tcPr>
            <w:tcW w:w="1128"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2080501</w:t>
            </w:r>
          </w:p>
        </w:tc>
        <w:tc>
          <w:tcPr>
            <w:tcW w:w="3229"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归口管理的行政单位离退休</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177.37</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177.37</w:t>
            </w:r>
          </w:p>
        </w:tc>
        <w:tc>
          <w:tcPr>
            <w:tcW w:w="1145"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p>
        </w:tc>
      </w:tr>
      <w:tr>
        <w:trPr>
          <w:trHeight w:val="308"/>
          <w:gridAfter w:val="5"/>
          <w:wAfter w:w="2395" w:type="dxa"/>
        </w:trPr>
        <w:tc>
          <w:tcPr>
            <w:tcW w:w="1128"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2080505</w:t>
            </w:r>
          </w:p>
        </w:tc>
        <w:tc>
          <w:tcPr>
            <w:tcW w:w="3229"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机关事业单位基本养老保险缴费支出</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106.87</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106.87</w:t>
            </w:r>
          </w:p>
        </w:tc>
        <w:tc>
          <w:tcPr>
            <w:tcW w:w="1145"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p>
        </w:tc>
      </w:tr>
      <w:tr>
        <w:trPr>
          <w:trHeight w:val="308"/>
          <w:gridAfter w:val="5"/>
          <w:wAfter w:w="2395" w:type="dxa"/>
        </w:trPr>
        <w:tc>
          <w:tcPr>
            <w:tcW w:w="1128"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210</w:t>
            </w:r>
          </w:p>
        </w:tc>
        <w:tc>
          <w:tcPr>
            <w:tcW w:w="3229"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卫生健康支出</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35.91</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35.91</w:t>
            </w:r>
          </w:p>
        </w:tc>
        <w:tc>
          <w:tcPr>
            <w:tcW w:w="1145"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p>
        </w:tc>
      </w:tr>
      <w:tr>
        <w:trPr>
          <w:trHeight w:val="308"/>
          <w:gridAfter w:val="5"/>
          <w:wAfter w:w="2395" w:type="dxa"/>
        </w:trPr>
        <w:tc>
          <w:tcPr>
            <w:tcW w:w="1128"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21011</w:t>
            </w:r>
          </w:p>
        </w:tc>
        <w:tc>
          <w:tcPr>
            <w:tcW w:w="3229"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行政事业单位医疗</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35.91</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35.91</w:t>
            </w:r>
          </w:p>
        </w:tc>
        <w:tc>
          <w:tcPr>
            <w:tcW w:w="1145"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p>
        </w:tc>
      </w:tr>
      <w:tr>
        <w:trPr>
          <w:trHeight w:val="308"/>
          <w:gridAfter w:val="5"/>
          <w:wAfter w:w="2395" w:type="dxa"/>
        </w:trPr>
        <w:tc>
          <w:tcPr>
            <w:tcW w:w="1128"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2101101</w:t>
            </w:r>
          </w:p>
        </w:tc>
        <w:tc>
          <w:tcPr>
            <w:tcW w:w="3229"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行政单位医疗</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35.91</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35.91</w:t>
            </w:r>
          </w:p>
        </w:tc>
        <w:tc>
          <w:tcPr>
            <w:tcW w:w="1145"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p>
        </w:tc>
      </w:tr>
      <w:tr>
        <w:trPr>
          <w:trHeight w:val="308"/>
          <w:gridAfter w:val="5"/>
          <w:wAfter w:w="2395" w:type="dxa"/>
        </w:trPr>
        <w:tc>
          <w:tcPr>
            <w:tcW w:w="1128"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221</w:t>
            </w:r>
          </w:p>
        </w:tc>
        <w:tc>
          <w:tcPr>
            <w:tcW w:w="3229"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住房保障支出</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59.85</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59.85</w:t>
            </w:r>
          </w:p>
        </w:tc>
        <w:tc>
          <w:tcPr>
            <w:tcW w:w="1145"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p>
        </w:tc>
      </w:tr>
      <w:tr>
        <w:trPr>
          <w:trHeight w:val="308"/>
          <w:gridAfter w:val="5"/>
          <w:wAfter w:w="2395" w:type="dxa"/>
        </w:trPr>
        <w:tc>
          <w:tcPr>
            <w:tcW w:w="1128"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22102</w:t>
            </w:r>
          </w:p>
        </w:tc>
        <w:tc>
          <w:tcPr>
            <w:tcW w:w="3229"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住房改革支出</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59.85</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59.85</w:t>
            </w:r>
          </w:p>
        </w:tc>
        <w:tc>
          <w:tcPr>
            <w:tcW w:w="1145"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p>
        </w:tc>
      </w:tr>
    </w:tbl>
    <w:p>
      <w:pPr>
        <w:jc w:val="center"/>
        <w:rPr>
          <w:color w:val="000000"/>
        </w:rPr>
      </w:pPr>
      <w:r>
        <w:rPr>
          <w:color w:val="000000"/>
        </w:rPr>
        <w:br w:type="page"/>
      </w:r>
    </w:p>
    <w:tbl>
      <w:tblPr>
        <w:jc w:val="center"/>
        <w:tblW w:w="10088"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896"/>
        <w:gridCol w:w="1824"/>
        <w:gridCol w:w="804"/>
        <w:gridCol w:w="742"/>
        <w:gridCol w:w="1599"/>
        <w:gridCol w:w="768"/>
        <w:gridCol w:w="744"/>
        <w:gridCol w:w="2051"/>
        <w:gridCol w:w="660"/>
      </w:tblGrid>
      <w:tr>
        <w:trPr>
          <w:trHeight w:val="662"/>
        </w:trPr>
        <w:tc>
          <w:tcPr>
            <w:tcW w:w="10088"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一般公共预算财政拨款基本支出决算表</w:t>
            </w:r>
          </w:p>
        </w:tc>
      </w:tr>
      <w:tr>
        <w:trPr>
          <w:trHeight w:val="339"/>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824"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80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4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711"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公开06表</w:t>
            </w:r>
          </w:p>
        </w:tc>
      </w:tr>
      <w:tr>
        <w:trPr>
          <w:trHeight w:val="339"/>
        </w:trPr>
        <w:tc>
          <w:tcPr>
            <w:tcW w:w="3524"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r>
              <w:rPr>
                <w:rFonts w:ascii="宋体" w:eastAsia="宋体" w:cs="宋体" w:hint="eastAsia"/>
                <w:color w:val="000000"/>
                <w:kern w:val="0"/>
                <w:sz w:val="20"/>
                <w:szCs w:val="20"/>
              </w:rPr>
              <w:t>部门：廊坊市广阳区人民检察院</w:t>
            </w:r>
          </w:p>
        </w:tc>
        <w:tc>
          <w:tcPr>
            <w:tcW w:w="74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711"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金额单位：万元</w:t>
            </w:r>
          </w:p>
        </w:tc>
      </w:tr>
      <w:tr>
        <w:trPr>
          <w:trHeight w:val="362"/>
        </w:trPr>
        <w:tc>
          <w:tcPr>
            <w:tcW w:w="352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人员经费</w:t>
            </w:r>
          </w:p>
        </w:tc>
        <w:tc>
          <w:tcPr>
            <w:tcW w:w="6564"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公用经费</w:t>
            </w:r>
          </w:p>
        </w:tc>
      </w:tr>
      <w:tr>
        <w:trPr>
          <w:trHeight w:val="362"/>
        </w:trPr>
        <w:tc>
          <w:tcPr>
            <w:tcW w:w="89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82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80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74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科目编码</w:t>
            </w:r>
          </w:p>
        </w:tc>
        <w:tc>
          <w:tcPr>
            <w:tcW w:w="159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6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205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66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trPr>
          <w:trHeight w:val="624"/>
        </w:trPr>
        <w:tc>
          <w:tcPr>
            <w:tcW w:w="89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82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80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4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5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4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205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66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301</w:t>
            </w:r>
          </w:p>
        </w:tc>
        <w:tc>
          <w:tcPr>
            <w:tcW w:w="18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工资福利支出</w:t>
            </w:r>
          </w:p>
        </w:tc>
        <w:tc>
          <w:tcPr>
            <w:tcW w:w="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hint="eastAsia"/>
                <w:color w:val="000000"/>
                <w:kern w:val="0"/>
                <w:sz w:val="16"/>
                <w:szCs w:val="16"/>
              </w:rPr>
              <w:t>1,128.58</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hint="eastAsia"/>
                <w:color w:val="000000"/>
                <w:kern w:val="0"/>
                <w:sz w:val="16"/>
                <w:szCs w:val="16"/>
              </w:rPr>
              <w:t>209.73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307</w:t>
            </w:r>
          </w:p>
        </w:tc>
        <w:tc>
          <w:tcPr>
            <w:tcW w:w="20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债务利息及费用支出</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30101</w:t>
            </w:r>
          </w:p>
        </w:tc>
        <w:tc>
          <w:tcPr>
            <w:tcW w:w="18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基本工资</w:t>
            </w:r>
          </w:p>
        </w:tc>
        <w:tc>
          <w:tcPr>
            <w:tcW w:w="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hint="eastAsia"/>
                <w:color w:val="000000"/>
                <w:kern w:val="0"/>
                <w:sz w:val="16"/>
                <w:szCs w:val="16"/>
              </w:rPr>
              <w:t>473.94</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30201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办公费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hint="eastAsia"/>
                <w:color w:val="000000"/>
                <w:kern w:val="0"/>
                <w:sz w:val="16"/>
                <w:szCs w:val="16"/>
              </w:rPr>
              <w:t>6.63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30701</w:t>
            </w:r>
          </w:p>
        </w:tc>
        <w:tc>
          <w:tcPr>
            <w:tcW w:w="20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国内债务付息</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30102</w:t>
            </w:r>
          </w:p>
        </w:tc>
        <w:tc>
          <w:tcPr>
            <w:tcW w:w="18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津贴补贴</w:t>
            </w:r>
          </w:p>
        </w:tc>
        <w:tc>
          <w:tcPr>
            <w:tcW w:w="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hint="eastAsia"/>
                <w:color w:val="000000"/>
                <w:kern w:val="0"/>
                <w:sz w:val="16"/>
                <w:szCs w:val="16"/>
              </w:rPr>
              <w:t>134.31</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30202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印刷费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30702</w:t>
            </w:r>
          </w:p>
        </w:tc>
        <w:tc>
          <w:tcPr>
            <w:tcW w:w="20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国外债务付息</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30103</w:t>
            </w:r>
          </w:p>
        </w:tc>
        <w:tc>
          <w:tcPr>
            <w:tcW w:w="18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奖金</w:t>
            </w:r>
          </w:p>
        </w:tc>
        <w:tc>
          <w:tcPr>
            <w:tcW w:w="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hint="eastAsia"/>
                <w:color w:val="000000"/>
                <w:kern w:val="0"/>
                <w:sz w:val="16"/>
                <w:szCs w:val="16"/>
              </w:rPr>
              <w:t>112.06</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30203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咨询费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310</w:t>
            </w:r>
          </w:p>
        </w:tc>
        <w:tc>
          <w:tcPr>
            <w:tcW w:w="20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资本性支出</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30106</w:t>
            </w:r>
          </w:p>
        </w:tc>
        <w:tc>
          <w:tcPr>
            <w:tcW w:w="18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伙食补助费</w:t>
            </w:r>
          </w:p>
        </w:tc>
        <w:tc>
          <w:tcPr>
            <w:tcW w:w="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30204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手续费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hint="eastAsia"/>
                <w:color w:val="000000"/>
                <w:kern w:val="0"/>
                <w:sz w:val="16"/>
                <w:szCs w:val="16"/>
              </w:rPr>
              <w:t>0.04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31001</w:t>
            </w:r>
          </w:p>
        </w:tc>
        <w:tc>
          <w:tcPr>
            <w:tcW w:w="20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房屋建筑物购建</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30107</w:t>
            </w:r>
          </w:p>
        </w:tc>
        <w:tc>
          <w:tcPr>
            <w:tcW w:w="18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绩效工资</w:t>
            </w:r>
          </w:p>
        </w:tc>
        <w:tc>
          <w:tcPr>
            <w:tcW w:w="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hint="eastAsia"/>
                <w:color w:val="000000"/>
                <w:kern w:val="0"/>
                <w:sz w:val="16"/>
                <w:szCs w:val="16"/>
              </w:rPr>
              <w:t>153.19</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30205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水费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hint="eastAsia"/>
                <w:color w:val="000000"/>
                <w:kern w:val="0"/>
                <w:sz w:val="16"/>
                <w:szCs w:val="16"/>
              </w:rPr>
              <w:t>2.42</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31002</w:t>
            </w:r>
          </w:p>
        </w:tc>
        <w:tc>
          <w:tcPr>
            <w:tcW w:w="20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办公设备购置</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30108</w:t>
            </w:r>
          </w:p>
        </w:tc>
        <w:tc>
          <w:tcPr>
            <w:tcW w:w="18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机关事业单位基本养老保险缴费</w:t>
            </w:r>
          </w:p>
        </w:tc>
        <w:tc>
          <w:tcPr>
            <w:tcW w:w="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hint="eastAsia"/>
                <w:color w:val="000000"/>
                <w:kern w:val="0"/>
                <w:sz w:val="16"/>
                <w:szCs w:val="16"/>
              </w:rPr>
              <w:t>139.11</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30206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hint="eastAsia"/>
                <w:color w:val="000000"/>
                <w:kern w:val="0"/>
                <w:sz w:val="16"/>
                <w:szCs w:val="16"/>
              </w:rPr>
              <w:t>22.83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31003</w:t>
            </w:r>
          </w:p>
        </w:tc>
        <w:tc>
          <w:tcPr>
            <w:tcW w:w="20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专用设备购置</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30109</w:t>
            </w:r>
          </w:p>
        </w:tc>
        <w:tc>
          <w:tcPr>
            <w:tcW w:w="18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职业年金缴费</w:t>
            </w:r>
          </w:p>
        </w:tc>
        <w:tc>
          <w:tcPr>
            <w:tcW w:w="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hint="eastAsia"/>
                <w:color w:val="000000"/>
                <w:kern w:val="0"/>
                <w:sz w:val="16"/>
                <w:szCs w:val="16"/>
              </w:rPr>
              <w:t>17.77</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30207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邮电费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hint="eastAsia"/>
                <w:color w:val="000000"/>
                <w:kern w:val="0"/>
                <w:sz w:val="16"/>
                <w:szCs w:val="16"/>
              </w:rPr>
              <w:t>31.73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31005</w:t>
            </w:r>
          </w:p>
        </w:tc>
        <w:tc>
          <w:tcPr>
            <w:tcW w:w="20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基础设施建设</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356"/>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30110</w:t>
            </w:r>
          </w:p>
        </w:tc>
        <w:tc>
          <w:tcPr>
            <w:tcW w:w="18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职工基本医疗保险缴费</w:t>
            </w:r>
          </w:p>
        </w:tc>
        <w:tc>
          <w:tcPr>
            <w:tcW w:w="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hint="eastAsia"/>
                <w:color w:val="000000"/>
                <w:kern w:val="0"/>
                <w:sz w:val="16"/>
                <w:szCs w:val="16"/>
              </w:rPr>
              <w:t>35.91</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30208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取暖费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hint="eastAsia"/>
                <w:color w:val="000000"/>
                <w:kern w:val="0"/>
                <w:sz w:val="16"/>
                <w:szCs w:val="16"/>
              </w:rPr>
              <w:t>36.71</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31006</w:t>
            </w:r>
          </w:p>
        </w:tc>
        <w:tc>
          <w:tcPr>
            <w:tcW w:w="20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大型修缮</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308"/>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30111</w:t>
            </w:r>
          </w:p>
        </w:tc>
        <w:tc>
          <w:tcPr>
            <w:tcW w:w="18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公务员医疗补助缴费</w:t>
            </w:r>
          </w:p>
        </w:tc>
        <w:tc>
          <w:tcPr>
            <w:tcW w:w="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30209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物业管理费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hint="eastAsia"/>
                <w:color w:val="000000"/>
                <w:kern w:val="0"/>
                <w:sz w:val="16"/>
                <w:szCs w:val="16"/>
              </w:rPr>
              <w:t>24.45</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31007</w:t>
            </w:r>
          </w:p>
        </w:tc>
        <w:tc>
          <w:tcPr>
            <w:tcW w:w="20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信息网络及软件购置更新</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30112</w:t>
            </w:r>
          </w:p>
        </w:tc>
        <w:tc>
          <w:tcPr>
            <w:tcW w:w="18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其他社会保障缴费</w:t>
            </w:r>
          </w:p>
        </w:tc>
        <w:tc>
          <w:tcPr>
            <w:tcW w:w="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hint="eastAsia"/>
                <w:color w:val="000000"/>
                <w:kern w:val="0"/>
                <w:sz w:val="16"/>
                <w:szCs w:val="16"/>
              </w:rPr>
              <w:t>2.43</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30211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差旅费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hint="eastAsia"/>
                <w:color w:val="000000"/>
                <w:kern w:val="0"/>
                <w:sz w:val="16"/>
                <w:szCs w:val="16"/>
              </w:rPr>
              <w:t>0.39</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31008</w:t>
            </w:r>
          </w:p>
        </w:tc>
        <w:tc>
          <w:tcPr>
            <w:tcW w:w="20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物资储备</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4"/>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30113</w:t>
            </w:r>
          </w:p>
        </w:tc>
        <w:tc>
          <w:tcPr>
            <w:tcW w:w="18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住房公积金</w:t>
            </w:r>
          </w:p>
        </w:tc>
        <w:tc>
          <w:tcPr>
            <w:tcW w:w="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hint="eastAsia"/>
                <w:color w:val="000000"/>
                <w:kern w:val="0"/>
                <w:sz w:val="16"/>
                <w:szCs w:val="16"/>
              </w:rPr>
              <w:t>59.85</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30212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因公出国（境）费用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31009</w:t>
            </w:r>
          </w:p>
        </w:tc>
        <w:tc>
          <w:tcPr>
            <w:tcW w:w="20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土地补偿</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30114</w:t>
            </w:r>
          </w:p>
        </w:tc>
        <w:tc>
          <w:tcPr>
            <w:tcW w:w="18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医疗费</w:t>
            </w:r>
          </w:p>
        </w:tc>
        <w:tc>
          <w:tcPr>
            <w:tcW w:w="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30213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维修（护）费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hint="eastAsia"/>
                <w:color w:val="000000"/>
                <w:kern w:val="0"/>
                <w:sz w:val="16"/>
                <w:szCs w:val="16"/>
              </w:rPr>
              <w:t>8.23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31010</w:t>
            </w:r>
          </w:p>
        </w:tc>
        <w:tc>
          <w:tcPr>
            <w:tcW w:w="20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安置补助</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425"/>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30199</w:t>
            </w:r>
          </w:p>
        </w:tc>
        <w:tc>
          <w:tcPr>
            <w:tcW w:w="18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其他工资福利支出</w:t>
            </w:r>
          </w:p>
        </w:tc>
        <w:tc>
          <w:tcPr>
            <w:tcW w:w="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30214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租赁费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31011</w:t>
            </w:r>
          </w:p>
        </w:tc>
        <w:tc>
          <w:tcPr>
            <w:tcW w:w="20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地上附着物和青苗补偿</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303</w:t>
            </w:r>
          </w:p>
        </w:tc>
        <w:tc>
          <w:tcPr>
            <w:tcW w:w="18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对个人和家庭的补助</w:t>
            </w:r>
          </w:p>
        </w:tc>
        <w:tc>
          <w:tcPr>
            <w:tcW w:w="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hint="eastAsia"/>
                <w:color w:val="000000"/>
                <w:kern w:val="0"/>
                <w:sz w:val="16"/>
                <w:szCs w:val="16"/>
              </w:rPr>
              <w:t>195.86</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30215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会议费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31012</w:t>
            </w:r>
          </w:p>
        </w:tc>
        <w:tc>
          <w:tcPr>
            <w:tcW w:w="20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拆迁补偿</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30301</w:t>
            </w:r>
          </w:p>
        </w:tc>
        <w:tc>
          <w:tcPr>
            <w:tcW w:w="18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离休费</w:t>
            </w:r>
          </w:p>
        </w:tc>
        <w:tc>
          <w:tcPr>
            <w:tcW w:w="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30216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培训费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31013</w:t>
            </w:r>
          </w:p>
        </w:tc>
        <w:tc>
          <w:tcPr>
            <w:tcW w:w="20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公务用车购置</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30302</w:t>
            </w:r>
          </w:p>
        </w:tc>
        <w:tc>
          <w:tcPr>
            <w:tcW w:w="18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退休费</w:t>
            </w:r>
          </w:p>
        </w:tc>
        <w:tc>
          <w:tcPr>
            <w:tcW w:w="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hint="eastAsia"/>
                <w:color w:val="000000"/>
                <w:kern w:val="0"/>
                <w:sz w:val="16"/>
                <w:szCs w:val="16"/>
              </w:rPr>
              <w:t>177.37</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center"/>
              <w:rPr>
                <w:rFonts w:ascii="宋体" w:eastAsia="宋体" w:cs="宋体"/>
                <w:color w:val="000000"/>
                <w:sz w:val="16"/>
                <w:szCs w:val="16"/>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公务接待费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31019</w:t>
            </w:r>
          </w:p>
        </w:tc>
        <w:tc>
          <w:tcPr>
            <w:tcW w:w="20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其他交通工具购置</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30303</w:t>
            </w:r>
          </w:p>
        </w:tc>
        <w:tc>
          <w:tcPr>
            <w:tcW w:w="18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退职（役）费</w:t>
            </w:r>
          </w:p>
        </w:tc>
        <w:tc>
          <w:tcPr>
            <w:tcW w:w="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30218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专用材料费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31021</w:t>
            </w:r>
          </w:p>
        </w:tc>
        <w:tc>
          <w:tcPr>
            <w:tcW w:w="20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文物和陈列品购置</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30304</w:t>
            </w:r>
          </w:p>
        </w:tc>
        <w:tc>
          <w:tcPr>
            <w:tcW w:w="18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抚恤金</w:t>
            </w:r>
          </w:p>
        </w:tc>
        <w:tc>
          <w:tcPr>
            <w:tcW w:w="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hint="eastAsia"/>
                <w:color w:val="000000"/>
                <w:kern w:val="0"/>
                <w:sz w:val="16"/>
                <w:szCs w:val="16"/>
              </w:rPr>
              <w:t>17.50</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30224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被装购置费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31022</w:t>
            </w:r>
          </w:p>
        </w:tc>
        <w:tc>
          <w:tcPr>
            <w:tcW w:w="20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无形资产购置</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30305</w:t>
            </w:r>
          </w:p>
        </w:tc>
        <w:tc>
          <w:tcPr>
            <w:tcW w:w="18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生活补助</w:t>
            </w:r>
          </w:p>
        </w:tc>
        <w:tc>
          <w:tcPr>
            <w:tcW w:w="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hint="eastAsia"/>
                <w:color w:val="000000"/>
                <w:kern w:val="0"/>
                <w:sz w:val="16"/>
                <w:szCs w:val="16"/>
              </w:rPr>
              <w:t>0.99</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30225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专用燃料费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31099</w:t>
            </w:r>
          </w:p>
        </w:tc>
        <w:tc>
          <w:tcPr>
            <w:tcW w:w="20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其他资本性支出</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30306</w:t>
            </w:r>
          </w:p>
        </w:tc>
        <w:tc>
          <w:tcPr>
            <w:tcW w:w="18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救济费</w:t>
            </w:r>
          </w:p>
        </w:tc>
        <w:tc>
          <w:tcPr>
            <w:tcW w:w="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30226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劳务费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399</w:t>
            </w:r>
          </w:p>
        </w:tc>
        <w:tc>
          <w:tcPr>
            <w:tcW w:w="20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其他支出</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30307</w:t>
            </w:r>
          </w:p>
        </w:tc>
        <w:tc>
          <w:tcPr>
            <w:tcW w:w="18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医疗费补助</w:t>
            </w:r>
          </w:p>
        </w:tc>
        <w:tc>
          <w:tcPr>
            <w:tcW w:w="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30227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委托业务费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hint="eastAsia"/>
                <w:color w:val="000000"/>
                <w:kern w:val="0"/>
                <w:sz w:val="16"/>
                <w:szCs w:val="16"/>
              </w:rPr>
              <w:t>1.51</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39906</w:t>
            </w:r>
          </w:p>
        </w:tc>
        <w:tc>
          <w:tcPr>
            <w:tcW w:w="20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赠与</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30308</w:t>
            </w:r>
          </w:p>
        </w:tc>
        <w:tc>
          <w:tcPr>
            <w:tcW w:w="18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助学金</w:t>
            </w:r>
          </w:p>
        </w:tc>
        <w:tc>
          <w:tcPr>
            <w:tcW w:w="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30228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工会经费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hint="eastAsia"/>
                <w:color w:val="000000"/>
                <w:kern w:val="0"/>
                <w:sz w:val="16"/>
                <w:szCs w:val="16"/>
              </w:rPr>
              <w:t>6.27</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39907</w:t>
            </w:r>
          </w:p>
        </w:tc>
        <w:tc>
          <w:tcPr>
            <w:tcW w:w="20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国家赔偿费用支出</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30309</w:t>
            </w:r>
          </w:p>
        </w:tc>
        <w:tc>
          <w:tcPr>
            <w:tcW w:w="18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奖励金</w:t>
            </w:r>
          </w:p>
        </w:tc>
        <w:tc>
          <w:tcPr>
            <w:tcW w:w="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30229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福利费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hint="eastAsia"/>
                <w:color w:val="000000"/>
                <w:kern w:val="0"/>
                <w:sz w:val="16"/>
                <w:szCs w:val="16"/>
              </w:rPr>
              <w:t>16.49</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39908</w:t>
            </w:r>
          </w:p>
        </w:tc>
        <w:tc>
          <w:tcPr>
            <w:tcW w:w="20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w:t>
            </w:r>
            <w:r>
              <w:rPr>
                <w:rFonts w:ascii="宋体" w:eastAsia="宋体" w:cs="宋体" w:hint="eastAsia"/>
                <w:color w:val="000000"/>
                <w:kern w:val="0"/>
                <w:sz w:val="15"/>
                <w:szCs w:val="15"/>
              </w:rPr>
              <w:t>对民间非营利组织和群众性自治组织补贴</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329"/>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30310</w:t>
            </w:r>
          </w:p>
        </w:tc>
        <w:tc>
          <w:tcPr>
            <w:tcW w:w="18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个人农业生产补贴</w:t>
            </w:r>
          </w:p>
        </w:tc>
        <w:tc>
          <w:tcPr>
            <w:tcW w:w="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30231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5"/>
                <w:szCs w:val="15"/>
              </w:rPr>
              <w:t xml:space="preserve">  公务用车运行维护费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hint="eastAsia"/>
                <w:color w:val="000000"/>
                <w:kern w:val="0"/>
                <w:sz w:val="16"/>
                <w:szCs w:val="16"/>
              </w:rPr>
              <w:t>14.59</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39999</w:t>
            </w:r>
          </w:p>
        </w:tc>
        <w:tc>
          <w:tcPr>
            <w:tcW w:w="20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其他支出</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r>
      <w:tr>
        <w:trPr>
          <w:trHeight w:val="377"/>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30399</w:t>
            </w:r>
          </w:p>
        </w:tc>
        <w:tc>
          <w:tcPr>
            <w:tcW w:w="18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w:t>
            </w:r>
            <w:r>
              <w:rPr>
                <w:rFonts w:ascii="宋体" w:eastAsia="宋体" w:cs="宋体" w:hint="eastAsia"/>
                <w:color w:val="000000"/>
                <w:kern w:val="0"/>
                <w:sz w:val="15"/>
                <w:szCs w:val="15"/>
              </w:rPr>
              <w:t xml:space="preserve"> 其他对个人和家庭的补助</w:t>
            </w:r>
          </w:p>
        </w:tc>
        <w:tc>
          <w:tcPr>
            <w:tcW w:w="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30239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其他交通费用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hint="eastAsia"/>
                <w:color w:val="000000"/>
                <w:kern w:val="0"/>
                <w:sz w:val="16"/>
                <w:szCs w:val="16"/>
              </w:rPr>
              <w:t>34.64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center"/>
              <w:rPr>
                <w:rFonts w:ascii="宋体" w:eastAsia="宋体" w:cs="宋体"/>
                <w:color w:val="000000"/>
                <w:sz w:val="16"/>
                <w:szCs w:val="16"/>
              </w:rPr>
            </w:pPr>
          </w:p>
        </w:tc>
        <w:tc>
          <w:tcPr>
            <w:tcW w:w="20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16"/>
                <w:szCs w:val="16"/>
              </w:rPr>
            </w:pP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6"/>
                <w:szCs w:val="16"/>
              </w:rPr>
            </w:pPr>
          </w:p>
        </w:tc>
      </w:tr>
      <w:tr>
        <w:trPr>
          <w:trHeight w:val="329"/>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center"/>
              <w:rPr>
                <w:rFonts w:ascii="宋体" w:eastAsia="宋体" w:cs="宋体"/>
                <w:color w:val="000000"/>
                <w:sz w:val="20"/>
                <w:szCs w:val="20"/>
              </w:rPr>
            </w:pPr>
          </w:p>
        </w:tc>
        <w:tc>
          <w:tcPr>
            <w:tcW w:w="18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16"/>
                <w:szCs w:val="16"/>
              </w:rPr>
            </w:pPr>
          </w:p>
        </w:tc>
        <w:tc>
          <w:tcPr>
            <w:tcW w:w="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6"/>
                <w:szCs w:val="16"/>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30240</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税金及附加费用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center"/>
              <w:rPr>
                <w:rFonts w:ascii="宋体" w:eastAsia="宋体" w:cs="宋体"/>
                <w:color w:val="000000"/>
                <w:sz w:val="16"/>
                <w:szCs w:val="16"/>
              </w:rPr>
            </w:pPr>
          </w:p>
        </w:tc>
        <w:tc>
          <w:tcPr>
            <w:tcW w:w="20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16"/>
                <w:szCs w:val="16"/>
              </w:rPr>
            </w:pP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6"/>
                <w:szCs w:val="16"/>
              </w:rPr>
            </w:pPr>
          </w:p>
        </w:tc>
      </w:tr>
      <w:tr>
        <w:trPr>
          <w:trHeight w:val="401"/>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16"/>
                <w:szCs w:val="16"/>
              </w:rPr>
            </w:pPr>
          </w:p>
        </w:tc>
        <w:tc>
          <w:tcPr>
            <w:tcW w:w="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6"/>
                <w:szCs w:val="16"/>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30299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其他商品和服务支出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hint="eastAsia"/>
                <w:color w:val="000000"/>
                <w:kern w:val="0"/>
                <w:sz w:val="16"/>
                <w:szCs w:val="16"/>
              </w:rPr>
              <w:t>2.80</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16"/>
                <w:szCs w:val="16"/>
              </w:rPr>
            </w:pPr>
          </w:p>
        </w:tc>
        <w:tc>
          <w:tcPr>
            <w:tcW w:w="20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16"/>
                <w:szCs w:val="16"/>
              </w:rPr>
            </w:pP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6"/>
                <w:szCs w:val="16"/>
              </w:rPr>
            </w:pPr>
          </w:p>
        </w:tc>
      </w:tr>
      <w:tr>
        <w:trPr>
          <w:trHeight w:val="317"/>
        </w:trPr>
        <w:tc>
          <w:tcPr>
            <w:tcW w:w="2720"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人员经费合计</w:t>
            </w:r>
          </w:p>
        </w:tc>
        <w:tc>
          <w:tcPr>
            <w:tcW w:w="8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hint="eastAsia"/>
                <w:color w:val="000000"/>
                <w:kern w:val="0"/>
                <w:sz w:val="16"/>
                <w:szCs w:val="16"/>
              </w:rPr>
              <w:t>1,324.44</w:t>
            </w:r>
          </w:p>
        </w:tc>
        <w:tc>
          <w:tcPr>
            <w:tcW w:w="5904"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公用经费合计</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6"/>
                <w:szCs w:val="16"/>
              </w:rPr>
            </w:pPr>
            <w:r>
              <w:rPr>
                <w:rFonts w:ascii="宋体" w:eastAsia="宋体" w:cs="宋体" w:hint="eastAsia"/>
                <w:color w:val="000000"/>
                <w:kern w:val="0"/>
                <w:sz w:val="16"/>
                <w:szCs w:val="16"/>
              </w:rPr>
              <w:t>209.73</w:t>
            </w:r>
          </w:p>
        </w:tc>
      </w:tr>
    </w:tbl>
    <w:p>
      <w:pPr>
        <w:rPr>
          <w:color w:val="000000"/>
        </w:rPr>
      </w:pPr>
      <w:r>
        <w:rPr>
          <w:color w:val="000000"/>
        </w:rPr>
        <w:br w:type="page"/>
      </w:r>
    </w:p>
    <w:tbl>
      <w:tblPr>
        <w:jc w:val="center"/>
        <w:tblW w:w="922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1267"/>
        <w:gridCol w:w="1686"/>
        <w:gridCol w:w="1565"/>
        <w:gridCol w:w="1565"/>
        <w:gridCol w:w="1565"/>
        <w:gridCol w:w="1572"/>
      </w:tblGrid>
      <w:tr>
        <w:trPr>
          <w:trHeight w:val="638"/>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一般公共预算财政拨款“三公”经费支出决算表</w:t>
            </w:r>
          </w:p>
        </w:tc>
      </w:tr>
      <w:tr>
        <w:trPr>
          <w:trHeight w:val="360"/>
        </w:trPr>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公开07表</w:t>
            </w:r>
          </w:p>
        </w:tc>
      </w:tr>
      <w:tr>
        <w:trPr>
          <w:trHeight w:val="360"/>
        </w:trPr>
        <w:tc>
          <w:tcPr>
            <w:tcW w:w="2953"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r>
              <w:rPr>
                <w:rFonts w:ascii="宋体" w:eastAsia="宋体" w:cs="宋体" w:hint="eastAsia"/>
                <w:color w:val="000000"/>
                <w:kern w:val="0"/>
                <w:sz w:val="20"/>
                <w:szCs w:val="20"/>
              </w:rPr>
              <w:t>部门：廊坊市广阳区人民检察院</w:t>
            </w: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417"/>
        </w:trPr>
        <w:tc>
          <w:tcPr>
            <w:tcW w:w="9220" w:type="dxa"/>
            <w:gridSpan w:val="6"/>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预算数</w:t>
            </w:r>
          </w:p>
        </w:tc>
      </w:tr>
      <w:tr>
        <w:trPr>
          <w:trHeight w:val="417"/>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trPr>
          <w:trHeight w:val="417"/>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tc>
      </w:tr>
      <w:tr>
        <w:trPr>
          <w:trHeight w:val="417"/>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trPr>
          <w:trHeight w:val="417"/>
        </w:trPr>
        <w:tc>
          <w:tcPr>
            <w:tcW w:w="1267"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28.41</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5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28.41</w:t>
            </w:r>
          </w:p>
        </w:tc>
        <w:tc>
          <w:tcPr>
            <w:tcW w:w="15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5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28.41</w:t>
            </w:r>
          </w:p>
        </w:tc>
        <w:tc>
          <w:tcPr>
            <w:tcW w:w="1572"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r>
        <w:trPr>
          <w:trHeight w:val="417"/>
        </w:trPr>
        <w:tc>
          <w:tcPr>
            <w:tcW w:w="9220" w:type="dxa"/>
            <w:gridSpan w:val="6"/>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trPr>
          <w:trHeight w:val="417"/>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trPr>
          <w:trHeight w:val="417"/>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tc>
      </w:tr>
      <w:tr>
        <w:trPr>
          <w:trHeight w:val="417"/>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r>
      <w:tr>
        <w:trPr>
          <w:trHeight w:val="447"/>
        </w:trPr>
        <w:tc>
          <w:tcPr>
            <w:tcW w:w="1267" w:type="dxa"/>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17.94</w:t>
            </w:r>
          </w:p>
        </w:tc>
        <w:tc>
          <w:tcPr>
            <w:tcW w:w="1686"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565"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17.94</w:t>
            </w:r>
          </w:p>
        </w:tc>
        <w:tc>
          <w:tcPr>
            <w:tcW w:w="1565"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c>
          <w:tcPr>
            <w:tcW w:w="1565"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17.94</w:t>
            </w:r>
          </w:p>
        </w:tc>
        <w:tc>
          <w:tcPr>
            <w:tcW w:w="157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p>
        </w:tc>
      </w:tr>
    </w:tbl>
    <w:p>
      <w:pPr>
        <w:rPr>
          <w:color w:val="000000"/>
        </w:rPr>
      </w:pPr>
      <w:r>
        <w:rPr>
          <w:rFonts w:ascii="宋体" w:eastAsia="宋体" w:cs="宋体" w:hint="eastAsia"/>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hint="eastAsia"/>
          <w:color w:val="000000"/>
        </w:rPr>
        <w:tab/>
      </w:r>
      <w:r>
        <w:rPr>
          <w:color w:val="000000"/>
        </w:rPr>
        <w:tab/>
        <w:tab/>
        <w:tab/>
        <w:tab/>
        <w:tab/>
        <w:tab/>
        <w:tab/>
        <w:tab/>
        <w:tab/>
        <w:tab/>
        <w:br w:type="page"/>
      </w:r>
    </w:p>
    <w:tbl>
      <w:tblPr>
        <w:jc w:val="center"/>
        <w:tblW w:w="951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2830"/>
        <w:gridCol w:w="50"/>
        <w:gridCol w:w="50"/>
        <w:gridCol w:w="910"/>
        <w:gridCol w:w="945"/>
        <w:gridCol w:w="945"/>
        <w:gridCol w:w="945"/>
        <w:gridCol w:w="945"/>
        <w:gridCol w:w="945"/>
        <w:gridCol w:w="945"/>
      </w:tblGrid>
      <w:tr>
        <w:trPr>
          <w:trHeight w:val="780"/>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政府性基金预算财政拨款收入支出决算表</w:t>
            </w:r>
          </w:p>
        </w:tc>
      </w:tr>
      <w:tr>
        <w:trPr>
          <w:trHeight w:val="255"/>
        </w:trPr>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公开08表</w:t>
            </w:r>
          </w:p>
        </w:tc>
      </w:tr>
      <w:tr>
        <w:trPr>
          <w:trHeight w:val="255"/>
        </w:trPr>
        <w:tc>
          <w:tcPr>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部门：廊坊市广阳区人民检察院</w:t>
            </w: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7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117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w:t>
            </w:r>
          </w:p>
        </w:tc>
        <w:tc>
          <w:tcPr>
            <w:tcW w:w="3510"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117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trPr>
          <w:trHeight w:val="312"/>
        </w:trPr>
        <w:tc>
          <w:tcPr>
            <w:tcW w:w="99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1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trPr>
        <w:tc>
          <w:tcPr>
            <w:tcW w:w="99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trPr>
        <w:tc>
          <w:tcPr>
            <w:tcW w:w="99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08"/>
        </w:trPr>
        <w:tc>
          <w:tcPr>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trPr>
          <w:trHeight w:val="308"/>
        </w:trPr>
        <w:tc>
          <w:tcPr>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pPr>
        <w:rPr>
          <w:color w:val="000000"/>
        </w:rPr>
      </w:pPr>
      <w:r>
        <w:rPr>
          <w:rFonts w:hint="eastAsia"/>
          <w:color w:val="000000"/>
        </w:rPr>
        <w:t>本部门本年度无相关收入（或支出、收支及结转结余等）情况，按要求空表列示。</w:t>
      </w:r>
      <w:r>
        <w:rPr>
          <w:color w:val="000000"/>
        </w:rPr>
        <w:br w:type="page"/>
      </w:r>
    </w:p>
    <w:tbl>
      <w:tblPr>
        <w:jc w:val="center"/>
        <w:tblW w:w="991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3763"/>
        <w:gridCol w:w="67"/>
        <w:gridCol w:w="67"/>
        <w:gridCol w:w="3729"/>
        <w:gridCol w:w="470"/>
        <w:gridCol w:w="910"/>
        <w:gridCol w:w="910"/>
      </w:tblGrid>
      <w:tr>
        <w:trPr>
          <w:trHeight w:val="840"/>
        </w:trPr>
        <w:tc>
          <w:tcPr>
            <w:tcW w:w="9915"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国有资本经营预算财政拨款支出决算表</w:t>
            </w:r>
          </w:p>
        </w:tc>
      </w:tr>
      <w:tr>
        <w:trPr>
          <w:trHeight w:val="255"/>
        </w:trPr>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公开09表</w:t>
            </w:r>
          </w:p>
        </w:tc>
      </w:tr>
      <w:tr>
        <w:trPr>
          <w:trHeight w:val="255"/>
        </w:trPr>
        <w:tc>
          <w:tcPr>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部门：廊坊市广阳区人民检察院</w:t>
            </w: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trPr>
          <w:trHeight w:val="615"/>
        </w:trPr>
        <w:tc>
          <w:tcPr>
            <w:tcW w:w="171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trPr>
          <w:trHeight w:val="308"/>
        </w:trPr>
        <w:tc>
          <w:tcPr>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r>
      <w:tr>
        <w:trPr>
          <w:trHeight w:val="308"/>
        </w:trPr>
        <w:tc>
          <w:tcPr>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8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8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8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8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8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pPr>
        <w:rPr>
          <w:color w:val="000000"/>
        </w:rPr>
        <w:sectPr>
          <w:headerReference w:type="default" r:id="rId25"/>
          <w:headerReference w:type="first" r:id="rId26"/>
          <w:footerReference w:type="default" r:id="rId27"/>
          <w:pgSz w:w="11906" w:h="16838"/>
          <w:pgMar w:top="1701" w:right="1417" w:bottom="1281" w:left="1417" w:header="851" w:footer="992" w:gutter="0"/>
          <w:pgNumType w:fmt="numberInDash"/>
          <w:docGrid w:type="lines" w:linePitch="312" w:charSpace="0"/>
        </w:sectPr>
      </w:pPr>
      <w:r>
        <w:rPr>
          <w:rFonts w:hint="eastAsia"/>
          <w:color w:val="000000"/>
        </w:rPr>
        <w:t>本部门本年度无相关收入（或支出、收支及结转结余等）情况，按要求空表列示。</w:t>
      </w:r>
      <w:r>
        <w:rPr>
          <w:color w:val="000000"/>
        </w:rPr>
        <w:br w:type="page"/>
      </w:r>
    </w:p>
    <w:p>
      <w:pPr>
        <w:rPr>
          <w:color w:val="000000"/>
        </w:rPr>
      </w:pPr>
    </w:p>
    <w:p>
      <w:pPr>
        <w:rPr>
          <w:color w:val="000000"/>
        </w:rPr>
      </w:pPr>
    </w:p>
    <w:p>
      <w:pP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color w:val="000000"/>
          <w:sz w:val="72"/>
        </w:rPr>
      </w:pPr>
      <w:r>
        <w:rPr>
          <w:color w:val="000000"/>
          <w:sz w:val="72"/>
        </w:rPr>
        <mc:AlternateContent>
          <mc:Choice Requires="wps">
            <w:drawing>
              <wp:anchor distT="0" distB="0" distL="114298" distR="114298" simplePos="0" relativeHeight="60" behindDoc="0" locked="0" layoutInCell="1" hidden="0" allowOverlap="1">
                <wp:simplePos x="0" y="0"/>
                <wp:positionH relativeFrom="column">
                  <wp:posOffset>-1021715</wp:posOffset>
                </wp:positionH>
                <wp:positionV relativeFrom="paragraph">
                  <wp:posOffset>441960</wp:posOffset>
                </wp:positionV>
                <wp:extent cx="7793355" cy="3341370"/>
                <wp:effectExtent l="0" t="0" r="0" b="0"/>
                <wp:wrapNone/>
                <wp:docPr id="133" name="文本框"/>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134">
                        <w:txbxContent>
                          <w:p>
                            <w:pPr>
                              <w:widowControl/>
                              <w:jc w:val="center"/>
                            </w:pPr>
                            <w:r>
                              <w:rPr>
                                <w:rFonts w:ascii="黑体" w:eastAsia="黑体" w:cs="黑体" w:hint="eastAsia"/>
                                <w:color w:val="000000"/>
                                <w:sz w:val="90"/>
                                <w:szCs w:val="90"/>
                              </w:rPr>
                              <w:t>第五部分 预算绩效公开内容</w:t>
                            </w:r>
                          </w:p>
                        </w:txbxContent>
                      </wps:txbx>
                      <wps:bodyPr vert="horz" wrap="square" lIns="91440" tIns="45720" rIns="91440" bIns="45720" anchor="ctr" anchorCtr="0" upright="1">
                        <a:noAutofit/>
                      </wps:bodyPr>
                    </wps:wsp>
                  </a:graphicData>
                </a:graphic>
              </wp:anchor>
            </w:drawing>
          </mc:Choice>
          <mc:Fallback>
            <w:pict>
              <v:shape type="#_x0000_t202" id="文本框 135" o:spid="_x0000_s135" fillcolor="#FFD966" stroked="t" strokeweight="0.5pt" style="position:absolute;margin-left:-80.45pt;margin-top:34.8pt;width:613.65pt;height:263.1pt;z-index:60;mso-position-horizontal:absolute;mso-position-vertical:absolute;mso-wrap-distance-left:8.999863pt;mso-wrap-distance-right:8.999863pt;mso-wrap-style:square;">
                <v:fill r:id="rId29" o:title="5%" color2="#FFFFFF" type="pattern"/>
                <v:stroke color="#FFD966"/>
                <v:textbox id="856" inset="2.54mm,1.27mm,2.54mm,1.27mm" o:insetmode="custom" style="layout-flow:horizontal;v-text-anchor:middle;">
                  <w:txbxContent>
                    <w:p>
                      <w:pPr>
                        <w:widowControl/>
                        <w:jc w:val="center"/>
                      </w:pPr>
                      <w:r>
                        <w:rPr>
                          <w:rFonts w:ascii="黑体" w:eastAsia="黑体" w:cs="黑体" w:hint="eastAsia"/>
                          <w:color w:val="000000"/>
                          <w:sz w:val="90"/>
                          <w:szCs w:val="90"/>
                        </w:rPr>
                        <w:t>第五部分 预算绩效公开内容</w:t>
                      </w:r>
                    </w:p>
                  </w:txbxContent>
                </v:textbox>
              </v:shape>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widowControl/>
        <w:jc w:val="left"/>
        <w:rPr>
          <w:color w:val="000000"/>
        </w:rPr>
        <w:sectPr>
          <w:headerReference w:type="default" r:id="rId28"/>
          <w:pgSz w:w="11906" w:h="16838"/>
          <w:pgMar w:top="1701" w:right="1417" w:bottom="1281" w:left="1417" w:header="851" w:footer="992" w:gutter="0"/>
          <w:pgNumType w:fmt="numberInDash"/>
          <w:docGrid w:type="lines" w:linePitch="312" w:charSpace="0"/>
        </w:sectPr>
      </w:pPr>
      <w:r>
        <w:rPr>
          <w:color w:val="000000"/>
        </w:rPr>
        <w:br w:type="page"/>
      </w:r>
    </w:p>
    <w:p>
      <w:pPr>
        <w:spacing w:line="584" w:lineRule="exact"/>
        <w:ind w:firstLineChars="200" w:firstLine="640"/>
        <w:rPr>
          <w:rFonts w:ascii="Times New Roman" w:eastAsia="仿宋_GB2312" w:cs="Times New Roman" w:hAnsi="Times New Roman"/>
          <w:color w:val="000000"/>
          <w:sz w:val="32"/>
          <w:szCs w:val="32"/>
        </w:rPr>
      </w:pPr>
      <w:r>
        <w:rPr>
          <w:rFonts w:ascii="Times New Roman" w:eastAsia="黑体" w:cs="Times New Roman" w:hAnsi="Times New Roman"/>
          <w:color w:val="000000"/>
          <w:sz w:val="32"/>
          <w:szCs w:val="40"/>
        </w:rPr>
        <w:t>一、预算绩效情况说明</w:t>
      </w:r>
    </w:p>
    <w:p>
      <w:pPr>
        <w:spacing w:line="584" w:lineRule="exact"/>
        <w:ind w:firstLineChars="200" w:firstLine="640"/>
        <w:rPr>
          <w:rFonts w:ascii="Times New Roman" w:eastAsia="楷体_GB2312" w:cs="Times New Roman" w:hAnsi="Times New Roman"/>
          <w:b/>
          <w:bCs/>
          <w:color w:val="000000"/>
          <w:sz w:val="32"/>
          <w:szCs w:val="32"/>
        </w:rPr>
      </w:pPr>
      <w:r>
        <w:rPr>
          <w:rFonts w:ascii="Times New Roman" w:eastAsia="楷体_GB2312" w:cs="Times New Roman" w:hAnsi="Times New Roman"/>
          <w:b/>
          <w:bCs/>
          <w:color w:val="000000"/>
          <w:sz w:val="32"/>
          <w:szCs w:val="32"/>
        </w:rPr>
        <w:t>（一）预算绩效管理工作开展情况</w:t>
      </w:r>
    </w:p>
    <w:p>
      <w:pPr>
        <w:adjustRightInd w:val="0"/>
        <w:snapToGrid w:val="0"/>
        <w:spacing w:line="58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根据预算绩效管理要求，本部门对2019年度整体绩效实现情况和项目支出情况开展绩效评价。组织对2019年度一般公共预算项目支出全面开展绩效自评，项目</w:t>
      </w:r>
      <w:r>
        <w:rPr>
          <w:rFonts w:ascii="Times New Roman" w:eastAsia="仿宋_GB2312" w:cs="Times New Roman" w:hAnsi="Times New Roman" w:hint="eastAsia"/>
          <w:color w:val="000000"/>
          <w:sz w:val="32"/>
          <w:szCs w:val="32"/>
        </w:rPr>
        <w:t>4</w:t>
      </w:r>
      <w:r>
        <w:rPr>
          <w:rFonts w:ascii="Times New Roman" w:eastAsia="仿宋_GB2312" w:cs="Times New Roman" w:hAnsi="Times New Roman"/>
          <w:color w:val="000000"/>
          <w:sz w:val="32"/>
          <w:szCs w:val="32"/>
        </w:rPr>
        <w:t>个，涉及资金</w:t>
      </w:r>
      <w:r>
        <w:rPr>
          <w:rFonts w:ascii="Times New Roman" w:eastAsia="仿宋_GB2312" w:cs="Times New Roman" w:hAnsi="Times New Roman" w:hint="eastAsia"/>
          <w:color w:val="000000"/>
          <w:sz w:val="32"/>
          <w:szCs w:val="32"/>
        </w:rPr>
        <w:t>290.6</w:t>
      </w:r>
      <w:r>
        <w:rPr>
          <w:rFonts w:ascii="Times New Roman" w:eastAsia="仿宋_GB2312" w:cs="Times New Roman" w:hAnsi="Times New Roman"/>
          <w:color w:val="000000"/>
          <w:sz w:val="32"/>
          <w:szCs w:val="32"/>
        </w:rPr>
        <w:t>万元，占一般公共预算项目支出总额的</w:t>
      </w:r>
      <w:r>
        <w:rPr>
          <w:rFonts w:ascii="Times New Roman" w:eastAsia="仿宋_GB2312" w:cs="Times New Roman" w:hAnsi="Times New Roman" w:hint="eastAsia"/>
          <w:color w:val="000000"/>
          <w:sz w:val="32"/>
          <w:szCs w:val="32"/>
        </w:rPr>
        <w:t>1.78</w:t>
      </w:r>
      <w:r>
        <w:rPr>
          <w:rFonts w:ascii="Times New Roman" w:eastAsia="仿宋_GB2312" w:cs="Times New Roman" w:hAnsi="Times New Roman"/>
          <w:color w:val="000000"/>
          <w:sz w:val="32"/>
          <w:szCs w:val="32"/>
        </w:rPr>
        <w:t>。组织对“</w:t>
      </w:r>
      <w:r>
        <w:rPr>
          <w:rFonts w:ascii="Times New Roman" w:eastAsia="仿宋_GB2312" w:cs="Times New Roman" w:hAnsi="Times New Roman" w:hint="eastAsia"/>
          <w:color w:val="000000"/>
          <w:sz w:val="32"/>
          <w:szCs w:val="32"/>
        </w:rPr>
        <w:t>2019年中央政法转移支付资金</w:t>
      </w:r>
      <w:r>
        <w:rPr>
          <w:rFonts w:ascii="Times New Roman" w:eastAsia="仿宋_GB2312" w:cs="Times New Roman" w:hAnsi="Times New Roman"/>
          <w:color w:val="000000"/>
          <w:sz w:val="32"/>
          <w:szCs w:val="32"/>
        </w:rPr>
        <w:t>”“</w:t>
      </w:r>
      <w:r>
        <w:rPr>
          <w:rFonts w:ascii="Times New Roman" w:eastAsia="仿宋_GB2312" w:cs="Times New Roman" w:hAnsi="Times New Roman" w:hint="eastAsia"/>
          <w:color w:val="000000"/>
          <w:sz w:val="32"/>
          <w:szCs w:val="32"/>
        </w:rPr>
        <w:t>2019年省级公检法司转移支付资金</w:t>
      </w:r>
      <w:r>
        <w:rPr>
          <w:rFonts w:ascii="Times New Roman" w:eastAsia="仿宋_GB2312" w:cs="Times New Roman" w:hAnsi="Times New Roman"/>
          <w:color w:val="000000"/>
          <w:sz w:val="32"/>
          <w:szCs w:val="32"/>
        </w:rPr>
        <w:t>”等</w:t>
      </w:r>
      <w:r>
        <w:rPr>
          <w:rFonts w:ascii="Times New Roman" w:eastAsia="仿宋_GB2312" w:cs="Times New Roman" w:hAnsi="Times New Roman" w:hint="eastAsia"/>
          <w:color w:val="000000"/>
          <w:sz w:val="32"/>
          <w:szCs w:val="32"/>
        </w:rPr>
        <w:t>4</w:t>
      </w:r>
      <w:r>
        <w:rPr>
          <w:rFonts w:ascii="Times New Roman" w:eastAsia="仿宋_GB2312" w:cs="Times New Roman" w:hAnsi="Times New Roman"/>
          <w:color w:val="000000"/>
          <w:sz w:val="32"/>
          <w:szCs w:val="32"/>
        </w:rPr>
        <w:t>个项目开展了部门评价，涉及一般公共预算支出</w:t>
      </w:r>
      <w:r>
        <w:rPr>
          <w:rFonts w:ascii="Times New Roman" w:eastAsia="仿宋_GB2312" w:cs="Times New Roman" w:hAnsi="Times New Roman" w:hint="eastAsia"/>
          <w:color w:val="000000"/>
          <w:sz w:val="32"/>
          <w:szCs w:val="32"/>
        </w:rPr>
        <w:t>290.6</w:t>
      </w:r>
      <w:r>
        <w:rPr>
          <w:rFonts w:ascii="Times New Roman" w:eastAsia="仿宋_GB2312" w:cs="Times New Roman" w:hAnsi="Times New Roman"/>
          <w:color w:val="000000"/>
          <w:sz w:val="32"/>
          <w:szCs w:val="32"/>
        </w:rPr>
        <w:t>万元，政府性基金预算支出</w:t>
      </w:r>
      <w:r>
        <w:rPr>
          <w:rFonts w:ascii="Times New Roman" w:eastAsia="仿宋_GB2312" w:cs="Times New Roman" w:hAnsi="Times New Roman" w:hint="eastAsia"/>
          <w:color w:val="000000"/>
          <w:sz w:val="32"/>
          <w:szCs w:val="32"/>
        </w:rPr>
        <w:t>0</w:t>
      </w:r>
      <w:r>
        <w:rPr>
          <w:rFonts w:ascii="Times New Roman" w:eastAsia="仿宋_GB2312" w:cs="Times New Roman" w:hAnsi="Times New Roman"/>
          <w:color w:val="000000"/>
          <w:sz w:val="32"/>
          <w:szCs w:val="32"/>
        </w:rPr>
        <w:t>万元。</w:t>
      </w:r>
    </w:p>
    <w:p>
      <w:pPr>
        <w:spacing w:line="584" w:lineRule="exact"/>
        <w:ind w:firstLineChars="200" w:firstLine="640"/>
        <w:rPr>
          <w:rFonts w:ascii="Times New Roman" w:eastAsia="楷体_GB2312" w:cs="Times New Roman" w:hAnsi="Times New Roman"/>
          <w:b/>
          <w:bCs/>
          <w:color w:val="000000"/>
          <w:sz w:val="32"/>
          <w:szCs w:val="32"/>
        </w:rPr>
      </w:pPr>
      <w:r>
        <w:rPr>
          <w:rFonts w:ascii="Times New Roman" w:eastAsia="楷体_GB2312" w:cs="Times New Roman" w:hAnsi="Times New Roman"/>
          <w:b/>
          <w:bCs/>
          <w:color w:val="000000"/>
          <w:sz w:val="32"/>
          <w:szCs w:val="32"/>
        </w:rPr>
        <w:t>（二）部门绩效评价结果</w:t>
      </w:r>
    </w:p>
    <w:p>
      <w:pPr>
        <w:spacing w:line="584"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b/>
          <w:bCs/>
          <w:color w:val="000000"/>
          <w:sz w:val="32"/>
          <w:szCs w:val="32"/>
        </w:rPr>
        <w:t>1.项目绩效自评结果。</w:t>
      </w:r>
      <w:bookmarkStart w:id="0" w:name="_GoBack"/>
      <w:bookmarkEnd w:id="0"/>
      <w:r>
        <w:rPr>
          <w:rFonts w:ascii="Times New Roman" w:eastAsia="仿宋_GB2312" w:cs="Times New Roman" w:hAnsi="Times New Roman"/>
          <w:color w:val="000000"/>
          <w:sz w:val="32"/>
          <w:szCs w:val="32"/>
        </w:rPr>
        <w:t>本部门2019 年度对</w:t>
      </w:r>
      <w:r>
        <w:rPr>
          <w:rFonts w:ascii="Times New Roman" w:eastAsia="仿宋_GB2312" w:cs="Times New Roman" w:hAnsi="Times New Roman" w:hint="eastAsia"/>
          <w:color w:val="000000"/>
          <w:sz w:val="32"/>
          <w:szCs w:val="32"/>
        </w:rPr>
        <w:t>4</w:t>
      </w:r>
      <w:r>
        <w:rPr>
          <w:rFonts w:ascii="Times New Roman" w:eastAsia="仿宋_GB2312" w:cs="Times New Roman" w:hAnsi="Times New Roman"/>
          <w:color w:val="000000"/>
          <w:sz w:val="32"/>
          <w:szCs w:val="32"/>
        </w:rPr>
        <w:t>个项目进行了绩效自评，项目自评结果90 分以上的</w:t>
      </w:r>
      <w:r>
        <w:rPr>
          <w:rFonts w:ascii="Times New Roman" w:eastAsia="仿宋_GB2312" w:cs="Times New Roman" w:hAnsi="Times New Roman" w:hint="eastAsia"/>
          <w:color w:val="000000"/>
          <w:sz w:val="32"/>
          <w:szCs w:val="32"/>
        </w:rPr>
        <w:t>4</w:t>
      </w:r>
      <w:r>
        <w:rPr>
          <w:rFonts w:ascii="Times New Roman" w:eastAsia="仿宋_GB2312" w:cs="Times New Roman" w:hAnsi="Times New Roman"/>
          <w:color w:val="000000"/>
          <w:sz w:val="32"/>
          <w:szCs w:val="32"/>
        </w:rPr>
        <w:t xml:space="preserve"> 项，80 -90分的</w:t>
      </w:r>
      <w:r>
        <w:rPr>
          <w:rFonts w:ascii="Times New Roman" w:eastAsia="仿宋_GB2312" w:cs="Times New Roman" w:hAnsi="Times New Roman" w:hint="eastAsia"/>
          <w:color w:val="000000"/>
          <w:sz w:val="32"/>
          <w:szCs w:val="32"/>
        </w:rPr>
        <w:t>0</w:t>
      </w:r>
      <w:r>
        <w:rPr>
          <w:rFonts w:ascii="Times New Roman" w:eastAsia="仿宋_GB2312" w:cs="Times New Roman" w:hAnsi="Times New Roman"/>
          <w:color w:val="000000"/>
          <w:sz w:val="32"/>
          <w:szCs w:val="32"/>
        </w:rPr>
        <w:t>项，80分以下的</w:t>
      </w:r>
      <w:r>
        <w:rPr>
          <w:rFonts w:ascii="Times New Roman" w:eastAsia="仿宋_GB2312" w:cs="Times New Roman" w:hAnsi="Times New Roman" w:hint="eastAsia"/>
          <w:color w:val="000000"/>
          <w:sz w:val="32"/>
          <w:szCs w:val="32"/>
        </w:rPr>
        <w:t>0</w:t>
      </w:r>
      <w:r>
        <w:rPr>
          <w:rFonts w:ascii="Times New Roman" w:eastAsia="仿宋_GB2312" w:cs="Times New Roman" w:hAnsi="Times New Roman"/>
          <w:color w:val="000000"/>
          <w:sz w:val="32"/>
          <w:szCs w:val="32"/>
        </w:rPr>
        <w:t xml:space="preserve">项。在部门决算公开中反映 </w:t>
      </w:r>
      <w:r>
        <w:rPr>
          <w:rFonts w:ascii="Times New Roman" w:eastAsia="仿宋_GB2312" w:cs="Times New Roman" w:hAnsi="Times New Roman" w:hint="eastAsia"/>
          <w:color w:val="000000"/>
          <w:sz w:val="32"/>
          <w:szCs w:val="32"/>
        </w:rPr>
        <w:t>2019年中央政法转移支付资金</w:t>
      </w:r>
      <w:r>
        <w:rPr>
          <w:rFonts w:ascii="Times New Roman" w:eastAsia="仿宋_GB2312" w:cs="Times New Roman" w:hAnsi="Times New Roman"/>
          <w:color w:val="000000"/>
          <w:sz w:val="32"/>
          <w:szCs w:val="32"/>
        </w:rPr>
        <w:t xml:space="preserve">项目及 </w:t>
      </w:r>
      <w:r>
        <w:rPr>
          <w:rFonts w:ascii="Times New Roman" w:eastAsia="仿宋_GB2312" w:cs="Times New Roman" w:hAnsi="Times New Roman" w:hint="eastAsia"/>
          <w:color w:val="000000"/>
          <w:sz w:val="32"/>
          <w:szCs w:val="32"/>
        </w:rPr>
        <w:t>2019年省级公检法司转移支付资金</w:t>
      </w:r>
      <w:r>
        <w:rPr>
          <w:rFonts w:ascii="Times New Roman" w:eastAsia="仿宋_GB2312" w:cs="Times New Roman" w:hAnsi="Times New Roman"/>
          <w:color w:val="000000"/>
          <w:sz w:val="32"/>
          <w:szCs w:val="32"/>
        </w:rPr>
        <w:t>项目等</w:t>
      </w:r>
      <w:r>
        <w:rPr>
          <w:rFonts w:ascii="Times New Roman" w:eastAsia="仿宋_GB2312" w:cs="Times New Roman" w:hAnsi="Times New Roman" w:hint="eastAsia"/>
          <w:color w:val="000000"/>
          <w:sz w:val="32"/>
          <w:szCs w:val="32"/>
        </w:rPr>
        <w:t>4</w:t>
      </w:r>
      <w:r>
        <w:rPr>
          <w:rFonts w:ascii="Times New Roman" w:eastAsia="仿宋_GB2312" w:cs="Times New Roman" w:hAnsi="Times New Roman"/>
          <w:color w:val="000000"/>
          <w:sz w:val="32"/>
          <w:szCs w:val="32"/>
        </w:rPr>
        <w:t>个项目绩效自评结果。</w:t>
      </w:r>
    </w:p>
    <w:p>
      <w:pPr>
        <w:widowControl/>
        <w:numPr>
          <w:ilvl w:val="0"/>
          <w:numId w:val="2"/>
        </w:numPr>
        <w:adjustRightInd w:val="0"/>
        <w:snapToGrid w:val="0"/>
        <w:spacing w:line="580" w:lineRule="exact"/>
        <w:ind w:left="0" w:firstLineChars="200" w:firstLine="640"/>
        <w:jc w:val="left"/>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2019年中央政法转移支付资金</w:t>
      </w:r>
      <w:r>
        <w:rPr>
          <w:rFonts w:ascii="Times New Roman" w:eastAsia="仿宋_GB2312" w:cs="Times New Roman" w:hAnsi="Times New Roman"/>
          <w:color w:val="000000"/>
          <w:sz w:val="32"/>
          <w:szCs w:val="32"/>
        </w:rPr>
        <w:t>项目综述：根据年初设定的绩效目标，</w:t>
      </w:r>
      <w:r>
        <w:rPr>
          <w:rFonts w:ascii="Times New Roman" w:eastAsia="仿宋_GB2312" w:cs="Times New Roman" w:hAnsi="Times New Roman" w:hint="eastAsia"/>
          <w:color w:val="000000"/>
          <w:sz w:val="32"/>
          <w:szCs w:val="32"/>
        </w:rPr>
        <w:t>2019年中央政法转移支付资金</w:t>
      </w:r>
      <w:r>
        <w:rPr>
          <w:rFonts w:ascii="Times New Roman" w:eastAsia="仿宋_GB2312" w:cs="Times New Roman" w:hAnsi="Times New Roman"/>
          <w:color w:val="000000"/>
          <w:sz w:val="32"/>
          <w:szCs w:val="32"/>
        </w:rPr>
        <w:t>项目绩效自评得分为</w:t>
      </w:r>
      <w:r>
        <w:rPr>
          <w:rFonts w:ascii="Times New Roman" w:eastAsia="仿宋_GB2312" w:cs="Times New Roman" w:hAnsi="Times New Roman" w:hint="eastAsia"/>
          <w:color w:val="000000"/>
          <w:sz w:val="32"/>
          <w:szCs w:val="32"/>
        </w:rPr>
        <w:t>95</w:t>
      </w:r>
      <w:r>
        <w:rPr>
          <w:rFonts w:ascii="Times New Roman" w:eastAsia="仿宋_GB2312" w:cs="Times New Roman" w:hAnsi="Times New Roman"/>
          <w:color w:val="000000"/>
          <w:sz w:val="32"/>
          <w:szCs w:val="32"/>
        </w:rPr>
        <w:t>分（绩效自评表附后）。全年预算数为</w:t>
      </w:r>
      <w:r>
        <w:rPr>
          <w:rFonts w:ascii="Times New Roman" w:eastAsia="仿宋_GB2312" w:cs="Times New Roman" w:hAnsi="Times New Roman" w:hint="eastAsia"/>
          <w:color w:val="000000"/>
          <w:sz w:val="32"/>
          <w:szCs w:val="32"/>
        </w:rPr>
        <w:t>112</w:t>
      </w:r>
      <w:r>
        <w:rPr>
          <w:rFonts w:ascii="Times New Roman" w:eastAsia="仿宋_GB2312" w:cs="Times New Roman" w:hAnsi="Times New Roman"/>
          <w:color w:val="000000"/>
          <w:sz w:val="32"/>
          <w:szCs w:val="32"/>
        </w:rPr>
        <w:t>万元，执行数为</w:t>
      </w:r>
      <w:r>
        <w:rPr>
          <w:rFonts w:ascii="Times New Roman" w:eastAsia="仿宋_GB2312" w:cs="Times New Roman" w:hAnsi="Times New Roman" w:hint="eastAsia"/>
          <w:color w:val="000000"/>
          <w:sz w:val="32"/>
          <w:szCs w:val="32"/>
        </w:rPr>
        <w:t>112</w:t>
      </w:r>
      <w:r>
        <w:rPr>
          <w:rFonts w:ascii="Times New Roman" w:eastAsia="仿宋_GB2312" w:cs="Times New Roman" w:hAnsi="Times New Roman"/>
          <w:color w:val="000000"/>
          <w:sz w:val="32"/>
          <w:szCs w:val="32"/>
        </w:rPr>
        <w:t>万元，完成预算的</w:t>
      </w:r>
      <w:r>
        <w:rPr>
          <w:rFonts w:ascii="Times New Roman" w:eastAsia="仿宋_GB2312" w:cs="Times New Roman" w:hAnsi="Times New Roman" w:hint="eastAsia"/>
          <w:color w:val="000000"/>
          <w:sz w:val="32"/>
          <w:szCs w:val="32"/>
        </w:rPr>
        <w:t>100%</w:t>
      </w:r>
      <w:r>
        <w:rPr>
          <w:rFonts w:ascii="Times New Roman" w:eastAsia="仿宋_GB2312" w:cs="Times New Roman" w:hAnsi="Times New Roman"/>
          <w:color w:val="000000"/>
          <w:sz w:val="32"/>
          <w:szCs w:val="32"/>
        </w:rPr>
        <w:t>。项目绩效目标完成情况：一是</w:t>
      </w:r>
      <w:r>
        <w:rPr>
          <w:rFonts w:ascii="Times New Roman" w:eastAsia="仿宋_GB2312" w:cs="Times New Roman" w:hAnsi="Times New Roman" w:hint="eastAsia"/>
          <w:color w:val="000000"/>
          <w:sz w:val="32"/>
          <w:szCs w:val="32"/>
        </w:rPr>
        <w:t>用于保障检察业务办案费支出</w:t>
      </w:r>
      <w:r>
        <w:rPr>
          <w:rFonts w:ascii="Times New Roman" w:eastAsia="仿宋_GB2312" w:cs="Times New Roman" w:hAnsi="Times New Roman"/>
          <w:color w:val="000000"/>
          <w:sz w:val="32"/>
          <w:szCs w:val="32"/>
        </w:rPr>
        <w:t>；二是</w:t>
      </w:r>
      <w:r>
        <w:rPr>
          <w:rFonts w:ascii="Times New Roman" w:eastAsia="仿宋_GB2312" w:cs="Times New Roman" w:hAnsi="Times New Roman" w:hint="eastAsia"/>
          <w:color w:val="000000"/>
          <w:sz w:val="32"/>
          <w:szCs w:val="32"/>
        </w:rPr>
        <w:t>用于采购检察装备支出</w:t>
      </w:r>
      <w:r>
        <w:rPr>
          <w:rFonts w:ascii="Times New Roman" w:eastAsia="仿宋_GB2312" w:cs="Times New Roman" w:hAnsi="Times New Roman"/>
          <w:color w:val="000000"/>
          <w:sz w:val="32"/>
          <w:szCs w:val="32"/>
        </w:rPr>
        <w:t>。发现的主要问题及原因：</w:t>
      </w:r>
      <w:r>
        <w:rPr>
          <w:rFonts w:ascii="Times New Roman" w:eastAsia="仿宋_GB2312" w:cs="Times New Roman" w:hAnsi="Times New Roman" w:hint="eastAsia"/>
          <w:color w:val="000000"/>
          <w:sz w:val="32"/>
          <w:szCs w:val="32"/>
        </w:rPr>
        <w:t>一些采购项目于年度终了未能完成，项目款项于下年度支出</w:t>
      </w:r>
      <w:r>
        <w:rPr>
          <w:rFonts w:ascii="Times New Roman" w:eastAsia="仿宋_GB2312" w:cs="Times New Roman" w:hAnsi="Times New Roman"/>
          <w:color w:val="000000"/>
          <w:sz w:val="32"/>
          <w:szCs w:val="32"/>
        </w:rPr>
        <w:t>。下一步改进措施：</w:t>
      </w:r>
      <w:r>
        <w:rPr>
          <w:rFonts w:ascii="Times New Roman" w:eastAsia="仿宋_GB2312" w:cs="Times New Roman" w:hAnsi="Times New Roman" w:hint="eastAsia"/>
          <w:color w:val="000000"/>
          <w:sz w:val="32"/>
          <w:szCs w:val="32"/>
        </w:rPr>
        <w:t>较早计划安排采购检察装备</w:t>
      </w:r>
      <w:r>
        <w:rPr>
          <w:rFonts w:ascii="Times New Roman" w:eastAsia="仿宋_GB2312" w:cs="Times New Roman" w:hAnsi="Times New Roman"/>
          <w:color w:val="000000"/>
          <w:sz w:val="32"/>
          <w:szCs w:val="32"/>
        </w:rPr>
        <w:t>。</w:t>
      </w:r>
    </w:p>
    <w:p>
      <w:pPr>
        <w:widowControl/>
        <w:numPr>
          <w:ilvl w:val="0"/>
          <w:numId w:val="2"/>
        </w:numPr>
        <w:adjustRightInd w:val="0"/>
        <w:snapToGrid w:val="0"/>
        <w:spacing w:line="580" w:lineRule="exact"/>
        <w:ind w:left="0" w:firstLineChars="200" w:firstLine="640"/>
        <w:jc w:val="left"/>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2019年省级公检法司转移支付资金</w:t>
      </w:r>
      <w:r>
        <w:rPr>
          <w:rFonts w:ascii="Times New Roman" w:eastAsia="仿宋_GB2312" w:cs="Times New Roman" w:hAnsi="Times New Roman"/>
          <w:color w:val="000000"/>
          <w:sz w:val="32"/>
          <w:szCs w:val="32"/>
        </w:rPr>
        <w:t>项目绩效自评综述：</w:t>
      </w:r>
      <w:r>
        <w:rPr>
          <w:rFonts w:ascii="Times New Roman" w:eastAsia="仿宋_GB2312" w:cs="Times New Roman" w:hAnsi="Times New Roman" w:hint="eastAsia"/>
          <w:color w:val="000000"/>
          <w:sz w:val="32"/>
          <w:szCs w:val="32"/>
        </w:rPr>
        <w:t>2019年省级公检法司转移支付资金</w:t>
      </w:r>
      <w:r>
        <w:rPr>
          <w:rFonts w:ascii="Times New Roman" w:eastAsia="仿宋_GB2312" w:cs="Times New Roman" w:hAnsi="Times New Roman"/>
          <w:color w:val="000000"/>
          <w:sz w:val="32"/>
          <w:szCs w:val="32"/>
        </w:rPr>
        <w:t>项目绩效自评得分为</w:t>
      </w:r>
      <w:r>
        <w:rPr>
          <w:rFonts w:ascii="Times New Roman" w:eastAsia="仿宋_GB2312" w:cs="Times New Roman" w:hAnsi="Times New Roman" w:hint="eastAsia"/>
          <w:color w:val="000000"/>
          <w:sz w:val="32"/>
          <w:szCs w:val="32"/>
        </w:rPr>
        <w:t>95</w:t>
      </w:r>
      <w:r>
        <w:rPr>
          <w:rFonts w:ascii="Times New Roman" w:eastAsia="仿宋_GB2312" w:cs="Times New Roman" w:hAnsi="Times New Roman"/>
          <w:color w:val="000000"/>
          <w:sz w:val="32"/>
          <w:szCs w:val="32"/>
        </w:rPr>
        <w:t>分（绩效自评表附后）。全年预算数为</w:t>
      </w:r>
      <w:r>
        <w:rPr>
          <w:rFonts w:ascii="Times New Roman" w:eastAsia="仿宋_GB2312" w:cs="Times New Roman" w:hAnsi="Times New Roman" w:hint="eastAsia"/>
          <w:color w:val="000000"/>
          <w:sz w:val="32"/>
          <w:szCs w:val="32"/>
        </w:rPr>
        <w:t>97</w:t>
      </w:r>
      <w:r>
        <w:rPr>
          <w:rFonts w:ascii="Times New Roman" w:eastAsia="仿宋_GB2312" w:cs="Times New Roman" w:hAnsi="Times New Roman"/>
          <w:color w:val="000000"/>
          <w:sz w:val="32"/>
          <w:szCs w:val="32"/>
        </w:rPr>
        <w:t>万元，执行数为</w:t>
      </w:r>
      <w:r>
        <w:rPr>
          <w:rFonts w:ascii="Times New Roman" w:eastAsia="仿宋_GB2312" w:cs="Times New Roman" w:hAnsi="Times New Roman" w:hint="eastAsia"/>
          <w:color w:val="000000"/>
          <w:sz w:val="32"/>
          <w:szCs w:val="32"/>
        </w:rPr>
        <w:t>97</w:t>
      </w:r>
      <w:r>
        <w:rPr>
          <w:rFonts w:ascii="Times New Roman" w:eastAsia="仿宋_GB2312" w:cs="Times New Roman" w:hAnsi="Times New Roman"/>
          <w:color w:val="000000"/>
          <w:sz w:val="32"/>
          <w:szCs w:val="32"/>
        </w:rPr>
        <w:t>万元，完成预算的</w:t>
      </w:r>
      <w:r>
        <w:rPr>
          <w:rFonts w:ascii="Times New Roman" w:eastAsia="仿宋_GB2312" w:cs="Times New Roman" w:hAnsi="Times New Roman" w:hint="eastAsia"/>
          <w:color w:val="000000"/>
          <w:sz w:val="32"/>
          <w:szCs w:val="32"/>
        </w:rPr>
        <w:t>100%</w:t>
      </w:r>
      <w:r>
        <w:rPr>
          <w:rFonts w:ascii="Times New Roman" w:eastAsia="仿宋_GB2312" w:cs="Times New Roman" w:hAnsi="Times New Roman"/>
          <w:color w:val="000000"/>
          <w:sz w:val="32"/>
          <w:szCs w:val="32"/>
        </w:rPr>
        <w:t>。项目绩效目标完成情况：一是</w:t>
      </w:r>
      <w:r>
        <w:rPr>
          <w:rFonts w:ascii="Times New Roman" w:eastAsia="仿宋_GB2312" w:cs="Times New Roman" w:hAnsi="Times New Roman" w:hint="eastAsia"/>
          <w:color w:val="000000"/>
          <w:sz w:val="32"/>
          <w:szCs w:val="32"/>
        </w:rPr>
        <w:t>用于保障检察业务办案费支出</w:t>
      </w:r>
      <w:r>
        <w:rPr>
          <w:rFonts w:ascii="Times New Roman" w:eastAsia="仿宋_GB2312" w:cs="Times New Roman" w:hAnsi="Times New Roman"/>
          <w:color w:val="000000"/>
          <w:sz w:val="32"/>
          <w:szCs w:val="32"/>
        </w:rPr>
        <w:t>；二是</w:t>
      </w:r>
      <w:r>
        <w:rPr>
          <w:rFonts w:ascii="Times New Roman" w:eastAsia="仿宋_GB2312" w:cs="Times New Roman" w:hAnsi="Times New Roman" w:hint="eastAsia"/>
          <w:color w:val="000000"/>
          <w:sz w:val="32"/>
          <w:szCs w:val="32"/>
        </w:rPr>
        <w:t>用于采购检察装备支出</w:t>
      </w:r>
      <w:r>
        <w:rPr>
          <w:rFonts w:ascii="Times New Roman" w:eastAsia="仿宋_GB2312" w:cs="Times New Roman" w:hAnsi="Times New Roman"/>
          <w:color w:val="000000"/>
          <w:sz w:val="32"/>
          <w:szCs w:val="32"/>
        </w:rPr>
        <w:t>。发现的主要问题及原因：</w:t>
      </w:r>
      <w:r>
        <w:rPr>
          <w:rFonts w:ascii="Times New Roman" w:eastAsia="仿宋_GB2312" w:cs="Times New Roman" w:hAnsi="Times New Roman" w:hint="eastAsia"/>
          <w:color w:val="000000"/>
          <w:sz w:val="32"/>
          <w:szCs w:val="32"/>
        </w:rPr>
        <w:t>一些采购项目于年度终了未能完成，项目款项于下年度支出</w:t>
      </w:r>
      <w:r>
        <w:rPr>
          <w:rFonts w:ascii="Times New Roman" w:eastAsia="仿宋_GB2312" w:cs="Times New Roman" w:hAnsi="Times New Roman"/>
          <w:color w:val="000000"/>
          <w:sz w:val="32"/>
          <w:szCs w:val="32"/>
        </w:rPr>
        <w:t>。下一步改进措施：</w:t>
      </w:r>
      <w:r>
        <w:rPr>
          <w:rFonts w:ascii="Times New Roman" w:eastAsia="仿宋_GB2312" w:cs="Times New Roman" w:hAnsi="Times New Roman" w:hint="eastAsia"/>
          <w:color w:val="000000"/>
          <w:sz w:val="32"/>
          <w:szCs w:val="32"/>
        </w:rPr>
        <w:t>较早计划安排采购检察装备，支出相关款项</w:t>
      </w:r>
      <w:r>
        <w:rPr>
          <w:rFonts w:ascii="Times New Roman" w:eastAsia="仿宋_GB2312" w:cs="Times New Roman" w:hAnsi="Times New Roman"/>
          <w:color w:val="000000"/>
          <w:sz w:val="32"/>
          <w:szCs w:val="32"/>
        </w:rPr>
        <w:t>。</w:t>
      </w:r>
    </w:p>
    <w:p>
      <w:pPr>
        <w:widowControl/>
        <w:numPr>
          <w:ilvl w:val="0"/>
          <w:numId w:val="2"/>
        </w:numPr>
        <w:adjustRightInd w:val="0"/>
        <w:snapToGrid w:val="0"/>
        <w:spacing w:line="580" w:lineRule="exact"/>
        <w:ind w:left="0" w:firstLineChars="200" w:firstLine="640"/>
        <w:jc w:val="left"/>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2019年中央政法纪检监察转移至资金</w:t>
      </w:r>
      <w:r>
        <w:rPr>
          <w:rFonts w:ascii="Times New Roman" w:eastAsia="仿宋_GB2312" w:cs="Times New Roman" w:hAnsi="Times New Roman"/>
          <w:color w:val="000000"/>
          <w:sz w:val="32"/>
          <w:szCs w:val="32"/>
        </w:rPr>
        <w:t>项目绩效自评综述：</w:t>
      </w:r>
      <w:r>
        <w:rPr>
          <w:rFonts w:ascii="Times New Roman" w:eastAsia="仿宋_GB2312" w:cs="Times New Roman" w:hAnsi="Times New Roman" w:hint="eastAsia"/>
          <w:color w:val="000000"/>
          <w:sz w:val="32"/>
          <w:szCs w:val="32"/>
        </w:rPr>
        <w:t>2019年中央政法纪检监察转移至资金</w:t>
      </w:r>
      <w:r>
        <w:rPr>
          <w:rFonts w:ascii="Times New Roman" w:eastAsia="仿宋_GB2312" w:cs="Times New Roman" w:hAnsi="Times New Roman"/>
          <w:color w:val="000000"/>
          <w:sz w:val="32"/>
          <w:szCs w:val="32"/>
        </w:rPr>
        <w:t>项目绩效自评得分为</w:t>
      </w:r>
      <w:r>
        <w:rPr>
          <w:rFonts w:ascii="Times New Roman" w:eastAsia="仿宋_GB2312" w:cs="Times New Roman" w:hAnsi="Times New Roman" w:hint="eastAsia"/>
          <w:color w:val="000000"/>
          <w:sz w:val="32"/>
          <w:szCs w:val="32"/>
        </w:rPr>
        <w:t>95</w:t>
      </w:r>
      <w:r>
        <w:rPr>
          <w:rFonts w:ascii="Times New Roman" w:eastAsia="仿宋_GB2312" w:cs="Times New Roman" w:hAnsi="Times New Roman"/>
          <w:color w:val="000000"/>
          <w:sz w:val="32"/>
          <w:szCs w:val="32"/>
        </w:rPr>
        <w:t>分。全年预算数为</w:t>
      </w:r>
      <w:r>
        <w:rPr>
          <w:rFonts w:ascii="Times New Roman" w:eastAsia="仿宋_GB2312" w:cs="Times New Roman" w:hAnsi="Times New Roman" w:hint="eastAsia"/>
          <w:color w:val="000000"/>
          <w:sz w:val="32"/>
          <w:szCs w:val="32"/>
        </w:rPr>
        <w:t>24</w:t>
      </w:r>
      <w:r>
        <w:rPr>
          <w:rFonts w:ascii="Times New Roman" w:eastAsia="仿宋_GB2312" w:cs="Times New Roman" w:hAnsi="Times New Roman"/>
          <w:color w:val="000000"/>
          <w:sz w:val="32"/>
          <w:szCs w:val="32"/>
        </w:rPr>
        <w:t>万元，执行数为</w:t>
      </w:r>
      <w:r>
        <w:rPr>
          <w:rFonts w:ascii="Times New Roman" w:eastAsia="仿宋_GB2312" w:cs="Times New Roman" w:hAnsi="Times New Roman" w:hint="eastAsia"/>
          <w:color w:val="000000"/>
          <w:sz w:val="32"/>
          <w:szCs w:val="32"/>
        </w:rPr>
        <w:t>24</w:t>
      </w:r>
      <w:r>
        <w:rPr>
          <w:rFonts w:ascii="Times New Roman" w:eastAsia="仿宋_GB2312" w:cs="Times New Roman" w:hAnsi="Times New Roman"/>
          <w:color w:val="000000"/>
          <w:sz w:val="32"/>
          <w:szCs w:val="32"/>
        </w:rPr>
        <w:t>万元，完成预算的</w:t>
      </w:r>
      <w:r>
        <w:rPr>
          <w:rFonts w:ascii="Times New Roman" w:eastAsia="仿宋_GB2312" w:cs="Times New Roman" w:hAnsi="Times New Roman" w:hint="eastAsia"/>
          <w:color w:val="000000"/>
          <w:sz w:val="32"/>
          <w:szCs w:val="32"/>
        </w:rPr>
        <w:t>100%</w:t>
      </w:r>
      <w:r>
        <w:rPr>
          <w:rFonts w:ascii="Times New Roman" w:eastAsia="仿宋_GB2312" w:cs="Times New Roman" w:hAnsi="Times New Roman"/>
          <w:color w:val="000000"/>
          <w:sz w:val="32"/>
          <w:szCs w:val="32"/>
        </w:rPr>
        <w:t>。项目绩效目标完成情况：</w:t>
      </w:r>
      <w:r>
        <w:rPr>
          <w:rFonts w:ascii="Times New Roman" w:eastAsia="仿宋_GB2312" w:cs="Times New Roman" w:hAnsi="Times New Roman" w:hint="eastAsia"/>
          <w:color w:val="000000"/>
          <w:sz w:val="32"/>
          <w:szCs w:val="32"/>
        </w:rPr>
        <w:t>2019年未支出</w:t>
      </w:r>
      <w:r>
        <w:rPr>
          <w:rFonts w:ascii="Times New Roman" w:eastAsia="仿宋_GB2312" w:cs="Times New Roman" w:hAnsi="Times New Roman"/>
          <w:color w:val="000000"/>
          <w:sz w:val="32"/>
          <w:szCs w:val="32"/>
        </w:rPr>
        <w:t>。发现的主要问题及原因：</w:t>
      </w:r>
      <w:r>
        <w:rPr>
          <w:rFonts w:ascii="Times New Roman" w:eastAsia="仿宋_GB2312" w:cs="Times New Roman" w:hAnsi="Times New Roman" w:hint="eastAsia"/>
          <w:color w:val="000000"/>
          <w:sz w:val="32"/>
          <w:szCs w:val="32"/>
        </w:rPr>
        <w:t>该笔专款下达时间较晚，未能及时安排支出计划，导致一些项目启动时间较晚，当年未能形成支出，待2020年完工验收完毕后支出</w:t>
      </w:r>
      <w:r>
        <w:rPr>
          <w:rFonts w:ascii="Times New Roman" w:eastAsia="仿宋_GB2312" w:cs="Times New Roman" w:hAnsi="Times New Roman"/>
          <w:color w:val="000000"/>
          <w:sz w:val="32"/>
          <w:szCs w:val="32"/>
        </w:rPr>
        <w:t>。下一步改进措施：</w:t>
      </w:r>
      <w:r>
        <w:rPr>
          <w:rFonts w:ascii="Times New Roman" w:eastAsia="仿宋_GB2312" w:cs="Times New Roman" w:hAnsi="Times New Roman" w:hint="eastAsia"/>
          <w:color w:val="000000"/>
          <w:sz w:val="32"/>
          <w:szCs w:val="32"/>
        </w:rPr>
        <w:t>将采购项目计划提前，项目款项提前支出</w:t>
      </w:r>
      <w:r>
        <w:rPr>
          <w:rFonts w:ascii="Times New Roman" w:eastAsia="仿宋_GB2312" w:cs="Times New Roman" w:hAnsi="Times New Roman"/>
          <w:color w:val="000000"/>
          <w:sz w:val="32"/>
          <w:szCs w:val="32"/>
        </w:rPr>
        <w:t>。</w:t>
      </w:r>
    </w:p>
    <w:p>
      <w:pPr>
        <w:widowControl/>
        <w:numPr>
          <w:ilvl w:val="0"/>
          <w:numId w:val="2"/>
        </w:numPr>
        <w:adjustRightInd w:val="0"/>
        <w:snapToGrid w:val="0"/>
        <w:spacing w:line="580" w:lineRule="exact"/>
        <w:ind w:left="0" w:firstLineChars="200" w:firstLine="640"/>
        <w:jc w:val="left"/>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聘用制书记员经费</w:t>
      </w:r>
      <w:r>
        <w:rPr>
          <w:rFonts w:ascii="Times New Roman" w:eastAsia="仿宋_GB2312" w:cs="Times New Roman" w:hAnsi="Times New Roman"/>
          <w:color w:val="000000"/>
          <w:sz w:val="32"/>
          <w:szCs w:val="32"/>
        </w:rPr>
        <w:t>项目绩效自评综述：</w:t>
      </w:r>
      <w:r>
        <w:rPr>
          <w:rFonts w:ascii="Times New Roman" w:eastAsia="仿宋_GB2312" w:cs="Times New Roman" w:hAnsi="Times New Roman" w:hint="eastAsia"/>
          <w:color w:val="000000"/>
          <w:sz w:val="32"/>
          <w:szCs w:val="32"/>
        </w:rPr>
        <w:t>聘用制书记员经费</w:t>
      </w:r>
      <w:r>
        <w:rPr>
          <w:rFonts w:ascii="Times New Roman" w:eastAsia="仿宋_GB2312" w:cs="Times New Roman" w:hAnsi="Times New Roman"/>
          <w:color w:val="000000"/>
          <w:sz w:val="32"/>
          <w:szCs w:val="32"/>
        </w:rPr>
        <w:t>项目自评得分为</w:t>
      </w:r>
      <w:r>
        <w:rPr>
          <w:rFonts w:ascii="Times New Roman" w:eastAsia="仿宋_GB2312" w:cs="Times New Roman" w:hAnsi="Times New Roman" w:hint="eastAsia"/>
          <w:color w:val="000000"/>
          <w:sz w:val="32"/>
          <w:szCs w:val="32"/>
        </w:rPr>
        <w:t>95</w:t>
      </w:r>
      <w:r>
        <w:rPr>
          <w:rFonts w:ascii="Times New Roman" w:eastAsia="仿宋_GB2312" w:cs="Times New Roman" w:hAnsi="Times New Roman"/>
          <w:color w:val="000000"/>
          <w:sz w:val="32"/>
          <w:szCs w:val="32"/>
        </w:rPr>
        <w:t>分</w:t>
      </w:r>
      <w:r>
        <w:rPr>
          <w:rFonts w:ascii="Times New Roman" w:eastAsia="仿宋_GB2312" w:cs="Times New Roman" w:hAnsi="Times New Roman" w:hint="eastAsia"/>
          <w:color w:val="000000"/>
          <w:sz w:val="32"/>
          <w:szCs w:val="32"/>
        </w:rPr>
        <w:t>。</w:t>
      </w:r>
      <w:r>
        <w:rPr>
          <w:rFonts w:ascii="Times New Roman" w:eastAsia="仿宋_GB2312" w:cs="Times New Roman" w:hAnsi="Times New Roman"/>
          <w:color w:val="000000"/>
          <w:sz w:val="32"/>
          <w:szCs w:val="32"/>
        </w:rPr>
        <w:t>全年预算数为</w:t>
      </w:r>
      <w:r>
        <w:rPr>
          <w:rFonts w:ascii="Times New Roman" w:eastAsia="仿宋_GB2312" w:cs="Times New Roman" w:hAnsi="Times New Roman" w:hint="eastAsia"/>
          <w:color w:val="000000"/>
          <w:sz w:val="32"/>
          <w:szCs w:val="32"/>
        </w:rPr>
        <w:t>115.2</w:t>
      </w:r>
      <w:r>
        <w:rPr>
          <w:rFonts w:ascii="Times New Roman" w:eastAsia="仿宋_GB2312" w:cs="Times New Roman" w:hAnsi="Times New Roman"/>
          <w:color w:val="000000"/>
          <w:sz w:val="32"/>
          <w:szCs w:val="32"/>
        </w:rPr>
        <w:t>万元，执行数为</w:t>
      </w:r>
      <w:r>
        <w:rPr>
          <w:rFonts w:ascii="Times New Roman" w:eastAsia="仿宋_GB2312" w:cs="Times New Roman" w:hAnsi="Times New Roman" w:hint="eastAsia"/>
          <w:color w:val="000000"/>
          <w:sz w:val="32"/>
          <w:szCs w:val="32"/>
        </w:rPr>
        <w:t>57.6</w:t>
      </w:r>
      <w:r>
        <w:rPr>
          <w:rFonts w:ascii="Times New Roman" w:eastAsia="仿宋_GB2312" w:cs="Times New Roman" w:hAnsi="Times New Roman"/>
          <w:color w:val="000000"/>
          <w:sz w:val="32"/>
          <w:szCs w:val="32"/>
        </w:rPr>
        <w:t>万元，完成预算的</w:t>
      </w:r>
      <w:r>
        <w:rPr>
          <w:rFonts w:ascii="Times New Roman" w:eastAsia="仿宋_GB2312" w:cs="Times New Roman" w:hAnsi="Times New Roman" w:hint="eastAsia"/>
          <w:color w:val="000000"/>
          <w:sz w:val="32"/>
          <w:szCs w:val="32"/>
        </w:rPr>
        <w:t>50%</w:t>
      </w:r>
      <w:r>
        <w:rPr>
          <w:rFonts w:ascii="Times New Roman" w:eastAsia="仿宋_GB2312" w:cs="Times New Roman" w:hAnsi="Times New Roman"/>
          <w:color w:val="000000"/>
          <w:sz w:val="32"/>
          <w:szCs w:val="32"/>
        </w:rPr>
        <w:t>。项目绩效目标完成情况：</w:t>
      </w:r>
      <w:r>
        <w:rPr>
          <w:rFonts w:ascii="Times New Roman" w:eastAsia="仿宋_GB2312" w:cs="Times New Roman" w:hAnsi="Times New Roman" w:hint="eastAsia"/>
          <w:color w:val="000000"/>
          <w:sz w:val="32"/>
          <w:szCs w:val="32"/>
        </w:rPr>
        <w:t>由于2019年上级院未启动聘用制书记员招录计划，致使该笔款项未能形成支出</w:t>
      </w:r>
      <w:r>
        <w:rPr>
          <w:rFonts w:ascii="Times New Roman" w:eastAsia="仿宋_GB2312" w:cs="Times New Roman" w:hAnsi="Times New Roman"/>
          <w:color w:val="000000"/>
          <w:sz w:val="32"/>
          <w:szCs w:val="32"/>
        </w:rPr>
        <w:t>。发现的主要问题及原因：</w:t>
      </w:r>
      <w:r>
        <w:rPr>
          <w:rFonts w:ascii="Times New Roman" w:eastAsia="仿宋_GB2312" w:cs="Times New Roman" w:hAnsi="Times New Roman" w:hint="eastAsia"/>
          <w:color w:val="000000"/>
          <w:sz w:val="32"/>
          <w:szCs w:val="32"/>
        </w:rPr>
        <w:t>上级院未启动聘用制书记员招录工作</w:t>
      </w:r>
      <w:r>
        <w:rPr>
          <w:rFonts w:ascii="Times New Roman" w:eastAsia="仿宋_GB2312" w:cs="Times New Roman" w:hAnsi="Times New Roman"/>
          <w:color w:val="000000"/>
          <w:sz w:val="32"/>
          <w:szCs w:val="32"/>
        </w:rPr>
        <w:t>。下一步改进措施：</w:t>
      </w:r>
      <w:r>
        <w:rPr>
          <w:rFonts w:ascii="Times New Roman" w:eastAsia="仿宋_GB2312" w:cs="Times New Roman" w:hAnsi="Times New Roman" w:hint="eastAsia"/>
          <w:color w:val="000000"/>
          <w:sz w:val="32"/>
          <w:szCs w:val="32"/>
        </w:rPr>
        <w:t>待2020年聘用制书记员招录工作启动，按照计划逐月支出</w:t>
      </w:r>
      <w:r>
        <w:rPr>
          <w:rFonts w:ascii="Times New Roman" w:eastAsia="仿宋_GB2312" w:cs="Times New Roman" w:hAnsi="Times New Roman"/>
          <w:color w:val="000000"/>
          <w:sz w:val="32"/>
          <w:szCs w:val="32"/>
        </w:rPr>
        <w:t>。</w:t>
      </w:r>
    </w:p>
    <w:p>
      <w:pPr>
        <w:keepNext/>
        <w:keepLines/>
        <w:widowControl w:val="0"/>
        <w:snapToGrid w:val="0"/>
        <w:spacing w:line="580" w:lineRule="exact"/>
        <w:ind w:firstLineChars="246" w:firstLine="787"/>
        <w:outlineLvl w:val="1"/>
        <w:rPr>
          <w:rFonts w:ascii="Times New Roman" w:eastAsia="仿宋_GB2312" w:cs="Times New Roman" w:hAnsi="Times New Roman"/>
          <w:b/>
          <w:bCs/>
          <w:color w:val="000000"/>
          <w:sz w:val="32"/>
          <w:szCs w:val="32"/>
        </w:rPr>
      </w:pPr>
      <w:r>
        <w:rPr>
          <w:rFonts w:ascii="Times New Roman" w:eastAsia="仿宋_GB2312" w:cs="Times New Roman" w:hAnsi="Times New Roman"/>
          <w:b/>
          <w:bCs/>
          <w:color w:val="000000"/>
          <w:sz w:val="32"/>
          <w:szCs w:val="32"/>
        </w:rPr>
        <w:t>2.财政评价项目绩效评价结果</w:t>
      </w:r>
      <w:r>
        <w:rPr>
          <w:rStyle w:val="31"/>
        </w:rPr>
        <w:t>。</w:t>
      </w:r>
      <w:r>
        <w:rPr>
          <w:rStyle w:val="0"/>
          <w:rFonts w:ascii="Times New Roman" w:eastAsia="仿宋_GB2312" w:cs="Times New Roman" w:hAnsi="Times New Roman"/>
          <w:color w:val="000000"/>
          <w:sz w:val="32"/>
          <w:szCs w:val="32"/>
        </w:rPr>
        <w:t>无</w:t>
      </w:r>
    </w:p>
    <w:p>
      <w:pPr>
        <w:widowControl/>
        <w:adjustRightInd w:val="0"/>
        <w:snapToGrid w:val="0"/>
        <w:spacing w:line="580" w:lineRule="exact"/>
        <w:ind w:firstLineChars="246" w:firstLine="787"/>
        <w:jc w:val="left"/>
        <w:rPr>
          <w:rFonts w:ascii="Times New Roman" w:eastAsia="仿宋_GB2312" w:cs="Times New Roman" w:hAnsi="Times New Roman"/>
          <w:sz w:val="32"/>
          <w:szCs w:val="32"/>
        </w:rPr>
      </w:pPr>
      <w:r>
        <w:rPr>
          <w:rFonts w:ascii="Times New Roman" w:eastAsia="仿宋_GB2312" w:cs="Times New Roman" w:hAnsi="Times New Roman"/>
          <w:b/>
          <w:bCs/>
          <w:color w:val="000000"/>
          <w:sz w:val="32"/>
          <w:szCs w:val="32"/>
        </w:rPr>
        <w:t>3.部门整体绩效自评结果。</w:t>
      </w:r>
      <w:r>
        <w:rPr>
          <w:rFonts w:ascii="Times New Roman" w:eastAsia="仿宋_GB2312" w:cs="Times New Roman" w:hAnsi="Times New Roman"/>
          <w:sz w:val="32"/>
          <w:szCs w:val="32"/>
        </w:rPr>
        <w:t>本部门对2019年度部门整体绩效进行自评价，自评得分</w:t>
      </w:r>
      <w:r>
        <w:rPr>
          <w:rFonts w:ascii="Times New Roman" w:eastAsia="仿宋_GB2312" w:cs="Times New Roman" w:hAnsi="Times New Roman" w:hint="eastAsia"/>
          <w:sz w:val="32"/>
          <w:szCs w:val="32"/>
        </w:rPr>
        <w:t>95</w:t>
      </w:r>
      <w:r>
        <w:rPr>
          <w:rFonts w:ascii="Times New Roman" w:eastAsia="仿宋_GB2312" w:cs="Times New Roman" w:hAnsi="Times New Roman"/>
          <w:sz w:val="32"/>
          <w:szCs w:val="32"/>
        </w:rPr>
        <w:t>分，评价等级为</w:t>
      </w:r>
      <w:r>
        <w:rPr>
          <w:rFonts w:ascii="Times New Roman" w:eastAsia="仿宋_GB2312" w:cs="Times New Roman" w:hAnsi="Times New Roman" w:hint="eastAsia"/>
          <w:sz w:val="32"/>
          <w:szCs w:val="32"/>
        </w:rPr>
        <w:t>优</w:t>
      </w:r>
      <w:r>
        <w:rPr>
          <w:rFonts w:ascii="Times New Roman" w:eastAsia="仿宋_GB2312" w:cs="Times New Roman" w:hAnsi="Times New Roman"/>
          <w:sz w:val="32"/>
          <w:szCs w:val="32"/>
        </w:rPr>
        <w:t>。从评价情况来看，我</w:t>
      </w:r>
      <w:r>
        <w:rPr>
          <w:rFonts w:ascii="Times New Roman" w:eastAsia="仿宋_GB2312" w:cs="Times New Roman" w:hAnsi="Times New Roman" w:hint="eastAsia"/>
          <w:sz w:val="32"/>
          <w:szCs w:val="32"/>
        </w:rPr>
        <w:t>院</w:t>
      </w:r>
      <w:r>
        <w:rPr>
          <w:rFonts w:ascii="Times New Roman" w:eastAsia="仿宋_GB2312" w:cs="Times New Roman" w:hAnsi="Times New Roman"/>
          <w:sz w:val="32"/>
          <w:szCs w:val="32"/>
        </w:rPr>
        <w:t>较好完成了2019 年履行职能职责和各项重点工作任务，整体绩效情况较为理想，总体上达到了预算绩效管理的要求。</w:t>
      </w:r>
    </w:p>
    <w:p>
      <w:pPr>
        <w:widowControl/>
        <w:adjustRightInd w:val="0"/>
        <w:snapToGrid w:val="0"/>
        <w:spacing w:line="580" w:lineRule="exact"/>
        <w:ind w:firstLineChars="246" w:firstLine="787"/>
        <w:jc w:val="left"/>
        <w:rPr>
          <w:rFonts w:ascii="Times New Roman" w:eastAsia="仿宋_GB2312" w:cs="Times New Roman" w:hAnsi="Times New Roman"/>
          <w:color w:val="000000"/>
          <w:sz w:val="32"/>
          <w:szCs w:val="32"/>
        </w:rPr>
      </w:pPr>
    </w:p>
    <w:p>
      <w:pPr>
        <w:widowControl/>
        <w:adjustRightInd w:val="0"/>
        <w:snapToGrid w:val="0"/>
        <w:spacing w:line="580" w:lineRule="exact"/>
        <w:ind w:firstLineChars="246" w:firstLine="787"/>
        <w:jc w:val="left"/>
        <w:rPr>
          <w:rFonts w:ascii="Times New Roman" w:eastAsia="仿宋_GB2312" w:cs="Times New Roman" w:hAnsi="Times New Roman"/>
          <w:color w:val="000000"/>
          <w:sz w:val="32"/>
          <w:szCs w:val="32"/>
        </w:rPr>
      </w:pPr>
    </w:p>
    <w:p>
      <w:pPr>
        <w:widowControl/>
        <w:adjustRightInd w:val="0"/>
        <w:snapToGrid w:val="0"/>
        <w:spacing w:line="580" w:lineRule="exact"/>
        <w:ind w:firstLineChars="246" w:firstLine="787"/>
        <w:jc w:val="left"/>
        <w:rPr>
          <w:rFonts w:ascii="Times New Roman" w:eastAsia="仿宋_GB2312" w:cs="Times New Roman" w:hAnsi="Times New Roman"/>
          <w:color w:val="000000"/>
          <w:sz w:val="32"/>
          <w:szCs w:val="32"/>
        </w:rPr>
      </w:pPr>
    </w:p>
    <w:p>
      <w:pPr>
        <w:rPr>
          <w:rFonts w:ascii="Times New Roman" w:cs="Times New Roman" w:hAnsi="Times New Roman"/>
          <w:color w:val="000000"/>
        </w:rPr>
      </w:pPr>
      <w:r>
        <w:rPr>
          <w:rFonts w:ascii="Times New Roman" w:cs="Times New Roman" w:hAnsi="Times New Roman"/>
          <w:color w:val="000000"/>
        </w:rPr>
        <w:object>
          <v:shapetype id="_x0000_t75" coordsize="21600,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type="#_x0000_t75" filled="f" stroked="f" style="width:426.75pt;height:501.75pt;" o:ole="">
            <v:stroke color="#000000"/>
            <v:imagedata r:id="rId31" o:title="4018547191622430291265"/>
            <o:lock aspectratio="t"/>
          </v:shape>
          <o:OLEObject Type="Embed" ProgID="Package" ShapeID="_x0000_i1" DrawAspect="Content" ObjectID="_1393063351" r:id="rId32"/>
        </w:object>
      </w: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color w:val="000000"/>
        </w:rPr>
      </w:pPr>
      <w:r>
        <w:rPr>
          <w:rFonts w:ascii="Times New Roman" w:cs="Times New Roman" w:hAnsi="Times New Roman"/>
          <w:color w:val="000000"/>
        </w:rPr>
        <w:object>
          <v:shape id="_x0000_i2" type="#_x0000_t75" filled="f" stroked="f" style="width:453.0pt;height:685.5pt;" o:ole="">
            <v:stroke color="#000000"/>
            <v:imagedata r:id="rId33" o:title="6812574551622430291296"/>
            <o:lock aspectratio="t"/>
          </v:shape>
          <o:OLEObject Type="Embed" ProgID="Package" ShapeID="_x0000_i2" DrawAspect="Content" ObjectID="_1393063352" r:id="rId34"/>
        </w:object>
      </w:r>
      <w:r>
        <w:rPr>
          <w:rFonts w:ascii="Times New Roman" w:cs="Times New Roman" w:hAnsi="Times New Roman"/>
          <w:color w:val="000000"/>
        </w:rPr>
        <w:object>
          <v:shape id="_x0000_i3" type="#_x0000_t75" filled="f" stroked="f" style="width:445.5pt;height:686.25pt;" o:ole="">
            <v:stroke color="#000000"/>
            <v:imagedata r:id="rId35" o:title="6236389641622430291312"/>
            <o:lock aspectratio="t"/>
          </v:shape>
          <o:OLEObject Type="Embed" ProgID="Package" ShapeID="_x0000_i3" DrawAspect="Content" ObjectID="_1393063353" r:id="rId36"/>
        </w:object>
      </w:r>
      <w:r>
        <w:rPr>
          <w:rFonts w:ascii="Times New Roman" w:cs="Times New Roman" w:hAnsi="Times New Roman"/>
          <w:color w:val="000000"/>
        </w:rPr>
        <w:object>
          <v:shape id="_x0000_i4" type="#_x0000_t75" filled="f" stroked="f" style="width:445.5pt;height:682.5pt;" o:ole="">
            <v:stroke color="#000000"/>
            <v:imagedata r:id="rId37" o:title="7378194371622430291328"/>
            <o:lock aspectratio="t"/>
          </v:shape>
          <o:OLEObject Type="Embed" ProgID="Package" ShapeID="_x0000_i4" DrawAspect="Content" ObjectID="_1393063354" r:id="rId38"/>
        </w:object>
      </w:r>
      <w:r>
        <w:rPr>
          <w:rFonts w:ascii="Times New Roman" w:cs="Times New Roman" w:hAnsi="Times New Roman"/>
          <w:color w:val="000000"/>
        </w:rPr>
        <w:object>
          <v:shape id="_x0000_i5" type="#_x0000_t75" filled="f" stroked="f" style="width:445.5pt;height:681.75pt;" o:ole="">
            <v:stroke color="#000000"/>
            <v:imagedata r:id="rId39" o:title="2377115821622430291328"/>
            <o:lock aspectratio="t"/>
          </v:shape>
          <o:OLEObject Type="Embed" ProgID="Package" ShapeID="_x0000_i5" DrawAspect="Content" ObjectID="_1393063355" r:id="rId40"/>
        </w:object>
      </w:r>
    </w:p>
    <w:sectPr>
      <w:headerReference w:type="default" r:id="rId30"/>
      <w:pgSz w:w="11906" w:h="16838"/>
      <w:pgMar w:top="2041" w:right="1531" w:bottom="2041" w:left="1531" w:header="851" w:footer="992" w:gutter="0"/>
      <w:pgNumType w:fmt="numberInDash"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variable"/>
    <w:sig w:usb0="800002BF" w:usb1="38CF7CFA" w:usb2="00000016" w:usb3="00000000" w:csb0="00040001" w:csb1="00000000"/>
  </w:font>
  <w:font w:name="思源黑体 HW Bold">
    <w:altName w:val="黑体"/>
    <w:panose1 w:val="00000000000000000000"/>
    <w:charset w:val="86"/>
    <w:family w:val="swiss"/>
    <w:pitch w:val="variable"/>
    <w:sig w:usb0="00000000" w:usb1="00000000" w:usb2="00000016" w:usb3="00000000" w:csb0="002E0107" w:csb1="00000000"/>
  </w:font>
  <w:font w:name="等线 Light">
    <w:altName w:val="微软雅黑"/>
    <w:panose1 w:val="00000000000000000000"/>
    <w:charset w:val="86"/>
    <w:family w:val="auto"/>
    <w:pitch w:val="variable"/>
    <w:sig w:usb0="00000000" w:usb1="38CF7CFA" w:usb2="00000016" w:usb3="00000000" w:csb0="0004000F" w:csb1="00000000"/>
  </w:font>
  <w:font w:name="楷体_GB2312">
    <w:altName w:val="楷体"/>
    <w:panose1 w:val="00000000000000000000"/>
    <w:charset w:val="86"/>
    <w:family w:val="modern"/>
    <w:pitch w:val="variable"/>
    <w:sig w:usb0="00000001" w:usb1="080E0000" w:usb2="00000010" w:usb3="00000000" w:csb0="00040000" w:csb1="00000000"/>
  </w:font>
  <w:font w:name="Yu Gothic UI Semibold">
    <w:altName w:val="hakuyoxingshu7000"/>
    <w:panose1 w:val="00000000000000000000"/>
    <w:charset w:val="80"/>
    <w:family w:val="swiss"/>
    <w:pitch w:val="variable"/>
    <w:sig w:usb0="00000000" w:usb1="2AC7FDFF" w:usb2="00000016" w:usb3="00000000" w:csb0="2002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0000000000000000000"/>
    <w:charset w:val="86"/>
    <w:family w:val="modern"/>
    <w:pitch w:val="variable"/>
    <w:sig w:usb0="00000000" w:usb1="080E0000" w:usb2="00000010" w:usb3="00000000" w:csb0="00040000" w:csb1="00000000"/>
  </w:font>
  <w:font w:name="Malgun Gothic Semilight">
    <w:altName w:val="宋体"/>
    <w:panose1 w:val="00000000000000000000"/>
    <w:charset w:val="86"/>
    <w:family w:val="swiss"/>
    <w:pitch w:val="variable"/>
    <w:sig w:usb0="00000000" w:usb1="00000000" w:usb2="00000012" w:usb3="00000000" w:csb0="003E01BD" w:csb1="00000000"/>
  </w:font>
  <w:font w:name="ArialUnicodeMS">
    <w:altName w:val="Arial Unicode MS"/>
    <w:panose1 w:val="00000000000000000000"/>
    <w:charset w:val="81"/>
    <w:family w:val="auto"/>
    <w:pitch w:val="variable"/>
    <w:sig w:usb0="00000000" w:usb1="00000000" w:usb2="00000010" w:usb3="00000000" w:csb0="00080001" w:csb1="00000000"/>
  </w:font>
  <w:font w:name="DengXian-Regular">
    <w:altName w:val="宋体"/>
    <w:panose1 w:val="00000000000000000000"/>
    <w:charset w:val="86"/>
    <w:family w:val="auto"/>
    <w:pitch w:val="variable"/>
    <w:sig w:usb0="00000000" w:usb1="00000000" w:usb2="00000010" w:usb3="00000000" w:csb0="00040001" w:csb1="00000000"/>
  </w:font>
  <w:font w:name="DengXian-Bold">
    <w:altName w:val="宋体"/>
    <w:panose1 w:val="00000000000000000000"/>
    <w:charset w:val="86"/>
    <w:family w:val="auto"/>
    <w:pitch w:val="variable"/>
    <w:sig w:usb0="00000000" w:usb1="00000000" w:usb2="00000010" w:usb3="00000000" w:csb0="00040001" w:csb1="00000000"/>
  </w:font>
  <w:font w:name="TimesNewRomanPSMT">
    <w:altName w:val="Arial"/>
    <w:panose1 w:val="00000000000000000000"/>
    <w:charset w:val="00"/>
    <w:family w:val="swiss"/>
    <w:pitch w:val="variable"/>
    <w:sig w:usb0="00000000" w:usb1="00000000" w:usb2="00000000" w:usb3="00000000" w:csb0="00000001" w:csb1="00000000"/>
  </w:font>
  <w:font w:name="MS-UIGothic,Bold">
    <w:altName w:val="Arial Unicode MS"/>
    <w:panose1 w:val="00000000000000000000"/>
    <w:charset w:val="81"/>
    <w:family w:val="auto"/>
    <w:pitch w:val="variable"/>
    <w:sig w:usb0="00000000" w:usb1="00000000" w:usb2="00000010" w:usb3="00000000" w:csb0="00080000" w:csb1="00000000"/>
  </w:font>
  <w:font w:name="Arial">
    <w:panose1 w:val="020B0604020202020204"/>
    <w:charset w:val="00"/>
    <w:family w:val="swiss"/>
    <w:pitch w:val="variable"/>
    <w:sig w:usb0="E0002AFF" w:usb1="C0007843" w:usb2="00000009" w:usb3="00000000" w:csb0="000001FF" w:csb1="00000000"/>
  </w:font>
  <w:font w:name="等线">
    <w:altName w:val="微软雅黑"/>
    <w:panose1 w:val="00000000000000000000"/>
    <w:charset w:val="86"/>
    <w:family w:val="auto"/>
    <w:pitch w:val="variable"/>
    <w:sig w:usb0="00000000" w:usb1="38CF7CFA" w:usb2="00000016" w:usb3="00000000" w:csb0="0004000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8" distR="114298" simplePos="0" relativeHeight="66" behindDoc="0" locked="0" layoutInCell="1" hidden="0" allowOverlap="1">
              <wp:simplePos x="0" y="0"/>
              <wp:positionH relativeFrom="margin">
                <wp:posOffset>2662554</wp:posOffset>
              </wp:positionH>
              <wp:positionV relativeFrom="paragraph">
                <wp:posOffset>-164465</wp:posOffset>
              </wp:positionV>
              <wp:extent cx="388620" cy="181610"/>
              <wp:effectExtent l="0" t="0" r="0" b="0"/>
              <wp:wrapNone/>
              <wp:docPr id="56" name="文本框"/>
              <wp:cNvGraphicFramePr>
                <a:graphicFrameLocks noChangeAspect="0"/>
              </wp:cNvGraphicFramePr>
              <a:graphic>
                <a:graphicData uri="http://schemas.microsoft.com/office/word/2010/wordprocessingShape">
                  <wps:wsp>
                    <wps:cNvSpPr/>
                    <wps:spPr>
                      <a:xfrm rot="0">
                        <a:off x="0" y="0"/>
                        <a:ext cx="388620" cy="181610"/>
                      </a:xfrm>
                      <a:prstGeom prst="rect"/>
                      <a:noFill/>
                      <a:ln w="9525" cmpd="sng" cap="flat">
                        <a:noFill/>
                        <a:prstDash val="solid"/>
                        <a:miter/>
                      </a:ln>
                    </wps:spPr>
                    <wps:txbx id="57">
                      <w:txbxContent>
                        <w:p>
                          <w:pPr>
                            <w:pStyle w:val="17"/>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- 10 -</w:t>
                          </w:r>
                          <w:r>
                            <w:rPr>
                              <w:rFonts w:ascii="Times New Roman" w:cs="Times New Roman" w:hAnsi="Times New Roman"/>
                              <w:sz w:val="24"/>
                              <w:szCs w:val="24"/>
                            </w:rPr>
                            <w:fldChar w:fldCharType="end"/>
                          </w:r>
                        </w:p>
                      </w:txbxContent>
                    </wps:txbx>
                    <wps:bodyPr vert="horz" wrap="square" lIns="0" tIns="0" rIns="0" bIns="0" anchor="t" anchorCtr="0" upright="1">
                      <a:noAutofit/>
                    </wps:bodyPr>
                  </wps:wsp>
                </a:graphicData>
              </a:graphic>
            </wp:anchor>
          </w:drawing>
        </mc:Choice>
        <mc:Fallback>
          <w:pict>
            <v:shape type="#_x0000_t202" id="文本框 58" o:spid="_x0000_s58" filled="f" stroked="f" style="position:absolute;margin-left:209.64998pt;margin-top:-12.95pt;width:30.600006pt;height:14.3pt;z-index:66;mso-position-horizontal:absolute;mso-position-horizontal-relative:margin;mso-position-vertical:absolute;mso-wrap-distance-left:8.999863pt;mso-wrap-distance-right:8.999863pt;mso-wrap-style:square;">
              <v:stroke color="#000000"/>
              <v:textbox id="866" inset="0mm,0mm,0mm,0mm" o:insetmode="custom" style="layout-flow:horizontal;v-text-anchor:top;">
                <w:txbxContent>
                  <w:p>
                    <w:pPr>
                      <w:pStyle w:val="17"/>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- 10 -</w:t>
                    </w:r>
                    <w:r>
                      <w:rPr>
                        <w:rFonts w:ascii="Times New Roman" w:cs="Times New Roman" w:hAnsi="Times New Roman"/>
                        <w:sz w:val="24"/>
                        <w:szCs w:val="24"/>
                      </w:rPr>
                      <w:fldChar w:fldCharType="end"/>
                    </w:r>
                  </w:p>
                </w:txbxContent>
              </v:textbox>
            </v:shape>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8" distR="114298" simplePos="0" relativeHeight="65" behindDoc="0" locked="0" layoutInCell="1" hidden="0" allowOverlap="1">
              <wp:simplePos x="0" y="0"/>
              <wp:positionH relativeFrom="margin">
                <wp:posOffset>2623185</wp:posOffset>
              </wp:positionH>
              <wp:positionV relativeFrom="paragraph">
                <wp:posOffset>-285115</wp:posOffset>
              </wp:positionV>
              <wp:extent cx="431799" cy="446405"/>
              <wp:effectExtent l="0" t="0" r="0" b="0"/>
              <wp:wrapNone/>
              <wp:docPr id="59" name="文本框"/>
              <wp:cNvGraphicFramePr>
                <a:graphicFrameLocks noChangeAspect="0"/>
              </wp:cNvGraphicFramePr>
              <a:graphic>
                <a:graphicData uri="http://schemas.microsoft.com/office/word/2010/wordprocessingShape">
                  <wps:wsp>
                    <wps:cNvSpPr/>
                    <wps:spPr>
                      <a:xfrm rot="0">
                        <a:off x="0" y="0"/>
                        <a:ext cx="431799" cy="446405"/>
                      </a:xfrm>
                      <a:prstGeom prst="rect"/>
                      <a:noFill/>
                      <a:ln w="9525" cmpd="sng" cap="flat">
                        <a:noFill/>
                        <a:prstDash val="solid"/>
                        <a:miter/>
                      </a:ln>
                    </wps:spPr>
                    <wps:txbx id="60">
                      <w:txbxContent>
                        <w:p>
                          <w:pPr>
                            <w:pStyle w:val="17"/>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- 4 -</w:t>
                          </w:r>
                          <w:r>
                            <w:rPr>
                              <w:rFonts w:ascii="Times New Roman" w:cs="Times New Roman" w:hAnsi="Times New Roman"/>
                              <w:sz w:val="24"/>
                              <w:szCs w:val="24"/>
                            </w:rPr>
                            <w:fldChar w:fldCharType="end"/>
                          </w:r>
                        </w:p>
                      </w:txbxContent>
                    </wps:txbx>
                    <wps:bodyPr vert="horz" wrap="square" lIns="0" tIns="0" rIns="0" bIns="0" anchor="t" anchorCtr="0" upright="1">
                      <a:noAutofit/>
                    </wps:bodyPr>
                  </wps:wsp>
                </a:graphicData>
              </a:graphic>
            </wp:anchor>
          </w:drawing>
        </mc:Choice>
        <mc:Fallback>
          <w:pict>
            <v:shape type="#_x0000_t202" id="文本框 61" o:spid="_x0000_s61" filled="f" stroked="f" style="position:absolute;margin-left:206.55pt;margin-top:-22.45pt;width:33.999992pt;height:35.15pt;z-index:65;mso-position-horizontal:absolute;mso-position-horizontal-relative:margin;mso-position-vertical:absolute;mso-wrap-distance-left:8.999863pt;mso-wrap-distance-right:8.999863pt;mso-wrap-style:square;">
              <v:stroke color="#000000"/>
              <v:textbox id="867" inset="0mm,0mm,0mm,0mm" o:insetmode="custom" style="layout-flow:horizontal;v-text-anchor:top;">
                <w:txbxContent>
                  <w:p>
                    <w:pPr>
                      <w:pStyle w:val="17"/>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- 4 -</w:t>
                    </w:r>
                    <w:r>
                      <w:rPr>
                        <w:rFonts w:ascii="Times New Roman" w:cs="Times New Roman" w:hAnsi="Times New Roman"/>
                        <w:sz w:val="24"/>
                        <w:szCs w:val="24"/>
                      </w:rPr>
                      <w:fldChar w:fldCharType="end"/>
                    </w:r>
                  </w:p>
                </w:txbxContent>
              </v:textbox>
            </v:shape>
          </w:pict>
        </mc:Fallback>
      </mc:AlternateContent>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8" distR="114298" simplePos="0" relativeHeight="72" behindDoc="0" locked="0" layoutInCell="1" hidden="0" allowOverlap="1">
              <wp:simplePos x="0" y="0"/>
              <wp:positionH relativeFrom="margin">
                <wp:posOffset>2656205</wp:posOffset>
              </wp:positionH>
              <wp:positionV relativeFrom="paragraph">
                <wp:posOffset>-76200</wp:posOffset>
              </wp:positionV>
              <wp:extent cx="330200" cy="237490"/>
              <wp:effectExtent l="0" t="0" r="0" b="0"/>
              <wp:wrapNone/>
              <wp:docPr id="107" name="文本框"/>
              <wp:cNvGraphicFramePr>
                <a:graphicFrameLocks noChangeAspect="0"/>
              </wp:cNvGraphicFramePr>
              <a:graphic>
                <a:graphicData uri="http://schemas.microsoft.com/office/word/2010/wordprocessingShape">
                  <wps:wsp>
                    <wps:cNvSpPr/>
                    <wps:spPr>
                      <a:xfrm rot="0">
                        <a:off x="0" y="0"/>
                        <a:ext cx="330200" cy="237490"/>
                      </a:xfrm>
                      <a:prstGeom prst="rect"/>
                      <a:noFill/>
                      <a:ln w="9525" cmpd="sng" cap="flat">
                        <a:noFill/>
                        <a:prstDash val="solid"/>
                        <a:miter/>
                      </a:ln>
                    </wps:spPr>
                    <wps:txbx id="108">
                      <w:txbxContent>
                        <w:p>
                          <w:pPr>
                            <w:pStyle w:val="17"/>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- 15 -</w:t>
                          </w:r>
                          <w:r>
                            <w:rPr>
                              <w:rFonts w:ascii="Times New Roman" w:cs="Times New Roman" w:hAnsi="Times New Roman"/>
                              <w:sz w:val="24"/>
                              <w:szCs w:val="24"/>
                            </w:rPr>
                            <w:fldChar w:fldCharType="end"/>
                          </w:r>
                        </w:p>
                      </w:txbxContent>
                    </wps:txbx>
                    <wps:bodyPr vert="horz" wrap="none" lIns="0" tIns="0" rIns="0" bIns="0" anchor="t" anchorCtr="0" upright="1">
                      <a:noAutofit/>
                    </wps:bodyPr>
                  </wps:wsp>
                </a:graphicData>
              </a:graphic>
            </wp:anchor>
          </w:drawing>
        </mc:Choice>
        <mc:Fallback>
          <w:pict>
            <v:shape type="#_x0000_t202" id="文本框 109" o:spid="_x0000_s109" filled="f" stroked="f" style="position:absolute;margin-left:209.15pt;margin-top:-6.0pt;width:26.000008pt;height:18.7pt;z-index:72;mso-position-horizontal:absolute;mso-position-horizontal-relative:margin;mso-position-vertical:absolute;mso-wrap-distance-left:8.999863pt;mso-wrap-distance-right:8.999863pt;mso-wrap-style:none;">
              <v:stroke color="#000000"/>
              <v:textbox id="868" inset="0mm,0mm,0mm,0mm" o:insetmode="custom" style="layout-flow:horizontal;v-text-anchor:top;">
                <w:txbxContent>
                  <w:p>
                    <w:pPr>
                      <w:pStyle w:val="17"/>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- 15 -</w:t>
                    </w:r>
                    <w:r>
                      <w:rPr>
                        <w:rFonts w:ascii="Times New Roman" w:cs="Times New Roman" w:hAnsi="Times New Roman"/>
                        <w:sz w:val="24"/>
                        <w:szCs w:val="24"/>
                      </w:rPr>
                      <w:fldChar w:fldCharType="end"/>
                    </w:r>
                  </w:p>
                </w:txbxContent>
              </v:textbox>
            </v:shape>
          </w:pict>
        </mc:Fallback>
      </mc:AlternateContent>
    </w: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8" distR="114298" simplePos="0" relativeHeight="69" behindDoc="0" locked="0" layoutInCell="1" hidden="0" allowOverlap="1">
              <wp:simplePos x="0" y="0"/>
              <wp:positionH relativeFrom="margin">
                <wp:posOffset>2609215</wp:posOffset>
              </wp:positionH>
              <wp:positionV relativeFrom="paragraph">
                <wp:posOffset>-238125</wp:posOffset>
              </wp:positionV>
              <wp:extent cx="382905" cy="399415"/>
              <wp:effectExtent l="0" t="0" r="0" b="0"/>
              <wp:wrapNone/>
              <wp:docPr id="110" name="文本框"/>
              <wp:cNvGraphicFramePr>
                <a:graphicFrameLocks noChangeAspect="0"/>
              </wp:cNvGraphicFramePr>
              <a:graphic>
                <a:graphicData uri="http://schemas.microsoft.com/office/word/2010/wordprocessingShape">
                  <wps:wsp>
                    <wps:cNvSpPr/>
                    <wps:spPr>
                      <a:xfrm rot="0">
                        <a:off x="0" y="0"/>
                        <a:ext cx="382905" cy="399415"/>
                      </a:xfrm>
                      <a:prstGeom prst="rect"/>
                      <a:noFill/>
                      <a:ln w="9525" cmpd="sng" cap="flat">
                        <a:noFill/>
                        <a:prstDash val="solid"/>
                        <a:miter/>
                      </a:ln>
                    </wps:spPr>
                    <wps:txbx id="111">
                      <w:txbxContent>
                        <w:p>
                          <w:pPr>
                            <w:pStyle w:val="17"/>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- 1 -</w:t>
                          </w:r>
                          <w:r>
                            <w:rPr>
                              <w:rFonts w:ascii="Times New Roman" w:cs="Times New Roman" w:hAnsi="Times New Roman"/>
                              <w:sz w:val="24"/>
                              <w:szCs w:val="24"/>
                            </w:rPr>
                            <w:fldChar w:fldCharType="end"/>
                          </w:r>
                        </w:p>
                      </w:txbxContent>
                    </wps:txbx>
                    <wps:bodyPr vert="horz" wrap="square" lIns="0" tIns="0" rIns="0" bIns="0" anchor="t" anchorCtr="0" upright="1">
                      <a:noAutofit/>
                    </wps:bodyPr>
                  </wps:wsp>
                </a:graphicData>
              </a:graphic>
            </wp:anchor>
          </w:drawing>
        </mc:Choice>
        <mc:Fallback>
          <w:pict>
            <v:shape type="#_x0000_t202" id="文本框 112" o:spid="_x0000_s112" filled="f" stroked="f" style="position:absolute;margin-left:205.45pt;margin-top:-18.75pt;width:30.150007pt;height:31.449999pt;z-index:69;mso-position-horizontal:absolute;mso-position-horizontal-relative:margin;mso-position-vertical:absolute;mso-wrap-distance-left:8.999863pt;mso-wrap-distance-right:8.999863pt;mso-wrap-style:square;">
              <v:stroke color="#000000"/>
              <v:textbox id="869" inset="0mm,0mm,0mm,0mm" o:insetmode="custom" style="layout-flow:horizontal;v-text-anchor:top;">
                <w:txbxContent>
                  <w:p>
                    <w:pPr>
                      <w:pStyle w:val="17"/>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- 1 -</w:t>
                    </w:r>
                    <w:r>
                      <w:rPr>
                        <w:rFonts w:ascii="Times New Roman" w:cs="Times New Roman" w:hAnsi="Times New Roman"/>
                        <w:sz w:val="24"/>
                        <w:szCs w:val="24"/>
                      </w:rPr>
                      <w:fldChar w:fldCharType="end"/>
                    </w:r>
                  </w:p>
                </w:txbxContent>
              </v:textbox>
            </v:shape>
          </w:pict>
        </mc:Fallback>
      </mc:AlternateContent>
    </w: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8" distR="114298" simplePos="0" relativeHeight="74" behindDoc="0" locked="0" layoutInCell="1" hidden="0" allowOverlap="1">
              <wp:simplePos x="0" y="0"/>
              <wp:positionH relativeFrom="margin">
                <wp:posOffset>2656205</wp:posOffset>
              </wp:positionH>
              <wp:positionV relativeFrom="paragraph">
                <wp:posOffset>-76200</wp:posOffset>
              </wp:positionV>
              <wp:extent cx="253898" cy="237490"/>
              <wp:effectExtent l="0" t="0" r="0" b="0"/>
              <wp:wrapNone/>
              <wp:docPr id="130" name="文本框"/>
              <wp:cNvGraphicFramePr>
                <a:graphicFrameLocks noChangeAspect="0"/>
              </wp:cNvGraphicFramePr>
              <a:graphic>
                <a:graphicData uri="http://schemas.microsoft.com/office/word/2010/wordprocessingShape">
                  <wps:wsp>
                    <wps:cNvSpPr/>
                    <wps:spPr>
                      <a:xfrm rot="0">
                        <a:off x="0" y="0"/>
                        <a:ext cx="253898" cy="237490"/>
                      </a:xfrm>
                      <a:prstGeom prst="rect"/>
                      <a:noFill/>
                      <a:ln w="9525" cmpd="sng" cap="flat">
                        <a:noFill/>
                        <a:prstDash val="solid"/>
                        <a:miter/>
                      </a:ln>
                    </wps:spPr>
                    <wps:txbx id="131">
                      <w:txbxContent>
                        <w:p>
                          <w:pPr>
                            <w:pStyle w:val="17"/>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- 4 -</w:t>
                          </w:r>
                          <w:r>
                            <w:rPr>
                              <w:rFonts w:ascii="Times New Roman" w:cs="Times New Roman" w:hAnsi="Times New Roman"/>
                              <w:sz w:val="24"/>
                              <w:szCs w:val="24"/>
                            </w:rPr>
                            <w:fldChar w:fldCharType="end"/>
                          </w:r>
                        </w:p>
                      </w:txbxContent>
                    </wps:txbx>
                    <wps:bodyPr vert="horz" wrap="none" lIns="0" tIns="0" rIns="0" bIns="0" anchor="t" anchorCtr="0" upright="1">
                      <a:noAutofit/>
                    </wps:bodyPr>
                  </wps:wsp>
                </a:graphicData>
              </a:graphic>
            </wp:anchor>
          </w:drawing>
        </mc:Choice>
        <mc:Fallback>
          <w:pict>
            <v:shape type="#_x0000_t202" id="文本框 132" o:spid="_x0000_s132" filled="f" stroked="f" style="position:absolute;margin-left:209.15pt;margin-top:-6.0pt;width:19.991997pt;height:18.700003pt;z-index:74;mso-position-horizontal:absolute;mso-position-horizontal-relative:margin;mso-position-vertical:absolute;mso-wrap-distance-left:8.999863pt;mso-wrap-distance-right:8.999863pt;mso-wrap-style:none;">
              <v:stroke color="#000000"/>
              <v:textbox id="870" inset="0mm,0mm,0mm,0mm" o:insetmode="custom" style="layout-flow:horizontal;v-text-anchor:top;">
                <w:txbxContent>
                  <w:p>
                    <w:pPr>
                      <w:pStyle w:val="17"/>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- 4 -</w:t>
                    </w:r>
                    <w:r>
                      <w:rPr>
                        <w:rFonts w:ascii="Times New Roman" w:cs="Times New Roman" w:hAnsi="Times New Roman"/>
                        <w:sz w:val="24"/>
                        <w:szCs w:val="24"/>
                      </w:rP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8" distR="114298" simplePos="0" relativeHeight="61" behindDoc="0" locked="0" layoutInCell="1" hidden="0" allowOverlap="1">
              <wp:simplePos x="0" y="0"/>
              <wp:positionH relativeFrom="page">
                <wp:align>left</wp:align>
              </wp:positionH>
              <wp:positionV relativeFrom="page">
                <wp:posOffset>377825</wp:posOffset>
              </wp:positionV>
              <wp:extent cx="2000250" cy="6"/>
              <wp:effectExtent l="0" t="0" r="0" b="0"/>
              <wp:wrapNone/>
              <wp:docPr id="1" name="组合"/>
              <wp:cNvGraphicFramePr>
                <a:graphicFrameLocks noChangeAspect="0"/>
              </wp:cNvGraphicFramePr>
              <a:graphic>
                <a:graphicData uri="http://schemas.microsoft.com/office/word/2010/wordprocessingGroup">
                  <wpg:wgp>
                    <wpg:cNvPr id="2" name="组合 2"/>
                    <wpg:cNvGrpSpPr/>
                    <wpg:grpSpPr>
                      <a:xfrm rot="0">
                        <a:off x="0" y="0"/>
                        <a:ext cx="2000250" cy="6"/>
                        <a:chOff x="0" y="0"/>
                        <a:chExt cx="2000250" cy="6"/>
                      </a:xfrm>
                      <a:prstGeom prst="rect"/>
                      <a:solidFill>
                        <a:srgbClr val="FFFFFF"/>
                      </a:solidFill>
                      <a:ln w="9525" cmpd="sng" cap="flat">
                        <a:solidFill>
                          <a:srgbClr val="000000"/>
                        </a:solidFill>
                        <a:prstDash val="solid"/>
                        <a:miter/>
                      </a:ln>
                    </wpg:grpSpPr>
                    <wps:wsp>
                      <wps:cNvPr id="3" name="文本框 3"/>
                      <wps:cNvSpPr/>
                      <wps:spPr>
                        <a:xfrm rot="0">
                          <a:off x="40640" y="0"/>
                          <a:ext cx="1959609" cy="6"/>
                        </a:xfrm>
                        <a:prstGeom prst="rect"/>
                        <a:noFill/>
                        <a:ln w="9525" cmpd="sng" cap="flat">
                          <a:noFill/>
                          <a:prstDash val="solid"/>
                          <a:miter/>
                        </a:ln>
                      </wps:spPr>
                      <wps:txbx id="4">
                        <w:txbxContent>
                          <w:p>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wps:txbx>
                      <wps:bodyPr vert="horz" wrap="square" lIns="91440" tIns="45720" rIns="91440" bIns="45720" anchor="t" anchorCtr="0" upright="1">
                        <a:noAutofit/>
                      </wps:bodyPr>
                    </wps:wsp>
                    <wps:wsp>
                      <wps:cNvPr id="5" name="矩形 5"/>
                      <wps:cNvSpPr/>
                      <wps:spPr>
                        <a:xfrm rot="0">
                          <a:off x="0" y="0"/>
                          <a:ext cx="75565" cy="6"/>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6" o:spid="_x0000_s6" coordorigin="0,595" coordsize="3150,0" style="position:absolute;margin-left:0.0pt;margin-top:29.75pt;width:157.5pt;height:5.006714E-4pt;z-index:61;mso-position-horizontal:left;mso-position-horizontal-relative:page;mso-position-vertical:absolute;mso-position-vertical-relative:page;mso-wrap-distance-left:8.999863pt;mso-wrap-distance-right:8.999863pt;">
              <v:shape type="#_x0000_t202" id="文本框 7" o:spid="_x0000_s7" style="position:absolute;left:64;top:595;width:3086;height:0;mso-wrap-style:square;" filled="f" stroked="f">
                <v:textbox id="862" inset="2.54mm,1.27mm,2.54mm,1.27mm" o:insetmode="custom" style="layout-flow:horizontal;v-text-anchor:top;">
                  <w:txbxContent>
                    <w:p>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v:textbox>
                <v:stroke color="#000000"/>
              </v:shape>
              <v:rect type="#_x0000_t1" id="矩形 8" o:spid="_x0000_s8" style="position:absolute;left:0;top:595;width:119;height:0;" fillcolor="#000000" stroked="f">
                <v:stroke color="#000000"/>
              </v:rect>
            </v:group>
          </w:pict>
        </mc:Fallback>
      </mc:AlternateContent>
    </w:r>
    <w:r>
      <mc:AlternateContent>
        <mc:Choice Requires="wps">
          <w:drawing>
            <wp:anchor distT="0" distB="0" distL="114298" distR="114298" simplePos="0" relativeHeight="62" behindDoc="0" locked="0" layoutInCell="1" hidden="0" allowOverlap="1">
              <wp:simplePos x="0" y="0"/>
              <wp:positionH relativeFrom="page">
                <wp:align>center</wp:align>
              </wp:positionH>
              <wp:positionV relativeFrom="paragraph">
                <wp:align>bottom</wp:align>
              </wp:positionV>
              <wp:extent cx="7574915" cy="6"/>
              <wp:effectExtent l="0" t="0" r="0" b="0"/>
              <wp:wrapNone/>
              <wp:docPr id="9" name="组合"/>
              <wp:cNvGraphicFramePr>
                <a:graphicFrameLocks noChangeAspect="0"/>
              </wp:cNvGraphicFramePr>
              <a:graphic>
                <a:graphicData uri="http://schemas.microsoft.com/office/word/2010/wordprocessingGroup">
                  <wpg:wgp>
                    <wpg:cNvPr id="10" name="组合 10"/>
                    <wpg:cNvGrpSpPr/>
                    <wpg:grpSpPr>
                      <a:xfrm rot="0">
                        <a:off x="0" y="0"/>
                        <a:ext cx="7574915" cy="6"/>
                        <a:chOff x="0" y="0"/>
                        <a:chExt cx="7574915" cy="6"/>
                      </a:xfrm>
                      <a:prstGeom prst="rect"/>
                      <a:solidFill>
                        <a:srgbClr val="FFFFFF"/>
                      </a:solidFill>
                      <a:ln w="9525" cmpd="sng" cap="flat">
                        <a:solidFill>
                          <a:srgbClr val="000000"/>
                        </a:solidFill>
                        <a:prstDash val="solid"/>
                        <a:miter/>
                      </a:ln>
                    </wpg:grpSpPr>
                    <wps:wsp>
                      <wps:cNvPr id="11" name="矩形 11"/>
                      <wps:cNvSpPr/>
                      <wps:spPr>
                        <a:xfrm rot="0">
                          <a:off x="0" y="0"/>
                          <a:ext cx="7572375" cy="6"/>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2" name="曲线 12"/>
                      <wps:cNvSpPr/>
                      <wps:spPr>
                        <a:xfrm rot="0">
                          <a:off x="5902325" y="0"/>
                          <a:ext cx="1663065" cy="6"/>
                        </a:xfrm>
                        <a:custGeom>
                          <a:gdLst>
                            <a:gd name="T1" fmla="*/ 0 w 21600"/>
                            <a:gd name="T2" fmla="*/ 0 h 21600"/>
                            <a:gd name="T3" fmla="*/ 21600 w 21600"/>
                            <a:gd name="T4" fmla="*/ 0 h 21600"/>
                          </a:gdLst>
                          <a:rect l="T1" t="T2" r="T3" b="T4"/>
                          <a:pathLst>
                            <a:path w="21600" h="21600">
                              <a:moveTo>
                                <a:pt x="4909" y="0"/>
                              </a:moveTo>
                              <a:lnTo>
                                <a:pt x="21600" y="0"/>
                              </a:lnTo>
                              <a:lnTo>
                                <a:pt x="21600" y="0"/>
                              </a:lnTo>
                              <a:lnTo>
                                <a:pt x="0" y="0"/>
                              </a:lnTo>
                              <a:lnTo>
                                <a:pt x="4909" y="0"/>
                              </a:lnTo>
                              <a:lnTo>
                                <a:pt x="4909" y="0"/>
                              </a:lnTo>
                              <a:lnTo>
                                <a:pt x="4909" y="0"/>
                              </a:lnTo>
                              <a:lnTo>
                                <a:pt x="4909"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3" name="曲线 13"/>
                      <wps:cNvSpPr/>
                      <wps:spPr>
                        <a:xfrm rot="0">
                          <a:off x="6087110" y="0"/>
                          <a:ext cx="1487805" cy="6"/>
                        </a:xfrm>
                        <a:custGeom>
                          <a:gdLst>
                            <a:gd name="T1" fmla="*/ 0 w 21600"/>
                            <a:gd name="T2" fmla="*/ 0 h 21600"/>
                            <a:gd name="T3" fmla="*/ 21600 w 21600"/>
                            <a:gd name="T4" fmla="*/ 0 h 21600"/>
                          </a:gdLst>
                          <a:rect l="T1" t="T2" r="T3" b="T4"/>
                          <a:pathLst>
                            <a:path w="21600" h="21600">
                              <a:moveTo>
                                <a:pt x="5494" y="0"/>
                              </a:moveTo>
                              <a:lnTo>
                                <a:pt x="21600" y="0"/>
                              </a:lnTo>
                              <a:lnTo>
                                <a:pt x="21600" y="0"/>
                              </a:lnTo>
                              <a:lnTo>
                                <a:pt x="0" y="0"/>
                              </a:lnTo>
                              <a:lnTo>
                                <a:pt x="5494" y="0"/>
                              </a:lnTo>
                              <a:lnTo>
                                <a:pt x="5494" y="0"/>
                              </a:lnTo>
                              <a:lnTo>
                                <a:pt x="5494" y="0"/>
                              </a:lnTo>
                              <a:lnTo>
                                <a:pt x="5494"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4" o:spid="_x0000_s14" coordorigin="0,0" coordsize="11929,0" style="position:absolute;margin-left:0.0pt;margin-top:0.0pt;width:596.45pt;height:5.000501E-4pt;z-index:62;mso-position-horizontal:center;mso-position-horizontal-relative:page;mso-position-vertical:bottom;mso-wrap-distance-left:8.999863pt;mso-wrap-distance-right:8.999863pt;">
              <v:rect type="#_x0000_t1" id="矩形 15" o:spid="_x0000_s15" style="position:absolute;left:0;top:0;width:11925;height:0;" fillcolor="#FFD966" stroked="f">
                <v:stroke color="#000000"/>
              </v:rect>
              <v:shape type="#_x0000_t0" id="曲线 16" o:spid="_x0000_s16" coordsize="2619,0" path="m595,l2618,l2618,l,l595,l595,l595,l595,l595,xe" style="position:absolute;left:9295;top:0;width:2619;height:0;" fillcolor="#000000" stroked="f">
                <v:stroke color="#000000"/>
              </v:shape>
              <v:shape type="#_x0000_t0" id="曲线 17" o:spid="_x0000_s17" coordsize="2343,0" path="m596,l2343,l2343,l,l596,l596,l596,l596,l596,xe" style="position:absolute;left:9586;top:0;width:2343;height:0;" fillcolor="#FFD966" stroked="f">
                <v:stroke color="#000000"/>
              </v:shape>
            </v:group>
          </w:pict>
        </mc:Fallback>
      </mc:AlternateContent>
    </w:r>
  </w:p>
</w:hdr>
</file>

<file path=word/header10.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1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1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1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1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8" distR="114298" simplePos="0" relativeHeight="73" behindDoc="0" locked="0" layoutInCell="1" hidden="0" allowOverlap="1">
              <wp:simplePos x="0" y="0"/>
              <wp:positionH relativeFrom="page">
                <wp:posOffset>7585191</wp:posOffset>
              </wp:positionH>
              <wp:positionV relativeFrom="paragraph">
                <wp:posOffset>15879477</wp:posOffset>
              </wp:positionV>
              <wp:extent cx="2147483647" cy="24419940"/>
              <wp:effectExtent l="0" t="0" r="0" b="0"/>
              <wp:wrapNone/>
              <wp:docPr id="121" name="组合"/>
              <wp:cNvGraphicFramePr>
                <a:graphicFrameLocks noChangeAspect="0"/>
              </wp:cNvGraphicFramePr>
              <a:graphic>
                <a:graphicData uri="http://schemas.microsoft.com/office/word/2010/wordprocessingGroup">
                  <wpg:wgp>
                    <wpg:cNvPr id="122" name="组合 122"/>
                    <wpg:cNvGrpSpPr/>
                    <wpg:grpSpPr>
                      <a:xfrm rot="0">
                        <a:off x="0" y="0"/>
                        <a:ext cx="2147483647" cy="24419940"/>
                        <a:chOff x="0" y="0"/>
                        <a:chExt cx="2147483647" cy="24419940"/>
                      </a:xfrm>
                      <a:prstGeom prst="rect"/>
                      <a:solidFill>
                        <a:srgbClr val="FFFFFF"/>
                      </a:solidFill>
                      <a:ln w="9525" cmpd="sng" cap="flat">
                        <a:solidFill>
                          <a:srgbClr val="000000"/>
                        </a:solidFill>
                        <a:prstDash val="solid"/>
                        <a:miter/>
                      </a:ln>
                    </wpg:grpSpPr>
                    <wps:wsp>
                      <wps:cNvPr id="123" name="矩形 123"/>
                      <wps:cNvSpPr/>
                      <wps:spPr>
                        <a:xfrm rot="0">
                          <a:off x="0" y="21427772"/>
                          <a:ext cx="2147483647" cy="2992167"/>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24" name="曲线 124"/>
                      <wps:cNvSpPr/>
                      <wps:spPr>
                        <a:xfrm rot="0">
                          <a:off x="2147483647" y="3731954"/>
                          <a:ext cx="1322710656" cy="17856476"/>
                        </a:xfrm>
                        <a:custGeom>
                          <a:gdLst>
                            <a:gd name="T1" fmla="*/ 0 w 21600"/>
                            <a:gd name="T2" fmla="*/ 0 h 21600"/>
                            <a:gd name="T3" fmla="*/ 21600 w 21600"/>
                            <a:gd name="T4" fmla="*/ 21600 h 21600"/>
                          </a:gdLst>
                          <a:rect l="T1" t="T2" r="T3" b="T4"/>
                          <a:pathLst>
                            <a:path w="21600" h="21600">
                              <a:moveTo>
                                <a:pt x="4909" y="0"/>
                              </a:moveTo>
                              <a:lnTo>
                                <a:pt x="21600" y="0"/>
                              </a:lnTo>
                              <a:lnTo>
                                <a:pt x="21600" y="21600"/>
                              </a:lnTo>
                              <a:lnTo>
                                <a:pt x="0" y="21600"/>
                              </a:lnTo>
                              <a:lnTo>
                                <a:pt x="4909" y="0"/>
                              </a:lnTo>
                              <a:lnTo>
                                <a:pt x="4909" y="0"/>
                              </a:lnTo>
                              <a:lnTo>
                                <a:pt x="4909" y="0"/>
                              </a:lnTo>
                              <a:lnTo>
                                <a:pt x="4909"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25" name="曲线 125"/>
                      <wps:cNvSpPr/>
                      <wps:spPr>
                        <a:xfrm rot="0">
                          <a:off x="2147483647" y="0"/>
                          <a:ext cx="1183318912" cy="23004502"/>
                        </a:xfrm>
                        <a:custGeom>
                          <a:gdLst>
                            <a:gd name="T1" fmla="*/ 0 w 21600"/>
                            <a:gd name="T2" fmla="*/ 0 h 21600"/>
                            <a:gd name="T3" fmla="*/ 21600 w 21600"/>
                            <a:gd name="T4" fmla="*/ 21600 h 21600"/>
                          </a:gdLst>
                          <a:rect l="T1" t="T2" r="T3" b="T4"/>
                          <a:pathLst>
                            <a:path w="21600" h="21600">
                              <a:moveTo>
                                <a:pt x="5503" y="0"/>
                              </a:moveTo>
                              <a:lnTo>
                                <a:pt x="21600" y="150"/>
                              </a:lnTo>
                              <a:lnTo>
                                <a:pt x="21600" y="21600"/>
                              </a:lnTo>
                              <a:lnTo>
                                <a:pt x="0" y="21600"/>
                              </a:lnTo>
                              <a:lnTo>
                                <a:pt x="5503" y="0"/>
                              </a:lnTo>
                              <a:lnTo>
                                <a:pt x="5503" y="0"/>
                              </a:lnTo>
                              <a:lnTo>
                                <a:pt x="5503" y="0"/>
                              </a:lnTo>
                              <a:lnTo>
                                <a:pt x="5503"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26" o:spid="_x0000_s126" coordorigin="11945,25858" coordsize="9487675,38456" style="position:absolute;margin-left:597.2591pt;margin-top:1250.3524pt;width:474383.75pt;height:1922.83pt;z-index:73;mso-position-horizontal:absolute;mso-position-horizontal-relative:page;mso-position-vertical:absolute;mso-wrap-distance-left:8.999863pt;mso-wrap-distance-right:8.999863pt;">
              <v:rect type="#_x0000_t1" id="矩形 127" o:spid="_x0000_s127" style="position:absolute;left:11945;top:59602;width:9484494;height:4712;" fillcolor="#FFD966" stroked="f">
                <v:stroke color="#000000"/>
              </v:rect>
              <v:shape type="#_x0000_t0" id="曲线 128" o:spid="_x0000_s128" coordsize="2083008,28120" path="m473410,l2083008,l2083008,28120l,28120l473410,l473410,l473410,l473410,l473410,xe" style="position:absolute;left:7404681;top:31735;width:2083008;height:28120;" fillcolor="#000000" stroked="f">
                <v:stroke color="#000000"/>
              </v:shape>
              <v:shape type="#_x0000_t0" id="曲线 129" o:spid="_x0000_s129" coordsize="1863494,36227" path="m474821,l1863494,253l1863494,36227l,36227l474821,l474821,l474821,l474821,l474821,xe" style="position:absolute;left:7636126;top:25858;width:1863494;height:36227;" fillcolor="#FFD966" stroked="f">
                <v:stroke color="#000000"/>
              </v:shape>
            </v:group>
          </w:pict>
        </mc:Fallback>
      </mc:AlternateContent>
    </w:r>
  </w:p>
</w:hdr>
</file>

<file path=word/header1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1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8" distR="114298" simplePos="0" relativeHeight="63" behindDoc="0" locked="0" layoutInCell="1" hidden="0" allowOverlap="1">
              <wp:simplePos x="0" y="0"/>
              <wp:positionH relativeFrom="page">
                <wp:posOffset>28575</wp:posOffset>
              </wp:positionH>
              <wp:positionV relativeFrom="paragraph">
                <wp:posOffset>361949</wp:posOffset>
              </wp:positionV>
              <wp:extent cx="6915149" cy="69"/>
              <wp:effectExtent l="0" t="0" r="0" b="0"/>
              <wp:wrapNone/>
              <wp:docPr id="137" name="组合"/>
              <wp:cNvGraphicFramePr>
                <a:graphicFrameLocks noChangeAspect="0"/>
              </wp:cNvGraphicFramePr>
              <a:graphic>
                <a:graphicData uri="http://schemas.microsoft.com/office/word/2010/wordprocessingGroup">
                  <wpg:wgp>
                    <wpg:cNvPr id="138" name="组合 138"/>
                    <wpg:cNvGrpSpPr/>
                    <wpg:grpSpPr>
                      <a:xfrm rot="0">
                        <a:off x="0" y="0"/>
                        <a:ext cx="6915149" cy="69"/>
                        <a:chOff x="0" y="0"/>
                        <a:chExt cx="6915149" cy="69"/>
                      </a:xfrm>
                      <a:prstGeom prst="rect"/>
                      <a:solidFill>
                        <a:srgbClr val="FFFFFF"/>
                      </a:solidFill>
                      <a:ln w="9525" cmpd="sng" cap="flat">
                        <a:solidFill>
                          <a:srgbClr val="000000"/>
                        </a:solidFill>
                        <a:prstDash val="solid"/>
                        <a:miter/>
                      </a:ln>
                    </wpg:grpSpPr>
                    <wps:wsp>
                      <wps:cNvPr id="139" name="矩形 139"/>
                      <wps:cNvSpPr/>
                      <wps:spPr>
                        <a:xfrm rot="0">
                          <a:off x="0" y="63"/>
                          <a:ext cx="6911974" cy="6"/>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40" name="曲线 140"/>
                      <wps:cNvSpPr/>
                      <wps:spPr>
                        <a:xfrm rot="0">
                          <a:off x="5387974" y="63"/>
                          <a:ext cx="1517650" cy="6"/>
                        </a:xfrm>
                        <a:custGeom>
                          <a:gdLst>
                            <a:gd name="T1" fmla="*/ 0 w 21600"/>
                            <a:gd name="T2" fmla="*/ 0 h 21600"/>
                            <a:gd name="T3" fmla="*/ 21600 w 21600"/>
                            <a:gd name="T4" fmla="*/ 0 h 21600"/>
                          </a:gdLst>
                          <a:rect l="T1" t="T2" r="T3" b="T4"/>
                          <a:pathLst>
                            <a:path w="21600" h="21600">
                              <a:moveTo>
                                <a:pt x="4907" y="0"/>
                              </a:moveTo>
                              <a:lnTo>
                                <a:pt x="21600" y="0"/>
                              </a:lnTo>
                              <a:lnTo>
                                <a:pt x="21600" y="0"/>
                              </a:lnTo>
                              <a:lnTo>
                                <a:pt x="0" y="0"/>
                              </a:lnTo>
                              <a:lnTo>
                                <a:pt x="4907" y="0"/>
                              </a:lnTo>
                              <a:lnTo>
                                <a:pt x="4907" y="0"/>
                              </a:lnTo>
                              <a:lnTo>
                                <a:pt x="4907" y="0"/>
                              </a:lnTo>
                              <a:lnTo>
                                <a:pt x="4907"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41" name="曲线 141"/>
                      <wps:cNvSpPr/>
                      <wps:spPr>
                        <a:xfrm rot="0">
                          <a:off x="5556249" y="0"/>
                          <a:ext cx="1358899" cy="6"/>
                        </a:xfrm>
                        <a:custGeom>
                          <a:gdLst>
                            <a:gd name="T1" fmla="*/ 0 w 21600"/>
                            <a:gd name="T2" fmla="*/ 0 h 21600"/>
                            <a:gd name="T3" fmla="*/ 21600 w 21600"/>
                            <a:gd name="T4" fmla="*/ 0 h 21600"/>
                          </a:gdLst>
                          <a:rect l="T1" t="T2" r="T3" b="T4"/>
                          <a:pathLst>
                            <a:path w="21600" h="21600">
                              <a:moveTo>
                                <a:pt x="5500" y="0"/>
                              </a:moveTo>
                              <a:lnTo>
                                <a:pt x="21600" y="0"/>
                              </a:lnTo>
                              <a:lnTo>
                                <a:pt x="21600" y="0"/>
                              </a:lnTo>
                              <a:lnTo>
                                <a:pt x="0" y="0"/>
                              </a:lnTo>
                              <a:lnTo>
                                <a:pt x="5500" y="0"/>
                              </a:lnTo>
                              <a:lnTo>
                                <a:pt x="5500" y="0"/>
                              </a:lnTo>
                              <a:lnTo>
                                <a:pt x="5500" y="0"/>
                              </a:lnTo>
                              <a:lnTo>
                                <a:pt x="5500"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42" o:spid="_x0000_s142" coordorigin="45,1420" coordsize="10889,0" style="position:absolute;margin-left:2.25pt;margin-top:28.499998pt;width:544.49994pt;height:0.0055016633pt;z-index:63;mso-position-horizontal:absolute;mso-position-horizontal-relative:page;mso-position-vertical:absolute;mso-wrap-distance-left:8.999863pt;mso-wrap-distance-right:8.999863pt;">
              <v:rect type="#_x0000_t1" id="矩形 143" o:spid="_x0000_s143" style="position:absolute;left:45;top:1421;width:10884;height:0;" fillcolor="#FFD966" stroked="f">
                <v:stroke color="#000000"/>
              </v:rect>
              <v:shape type="#_x0000_t0" id="曲线 144" o:spid="_x0000_s144" coordsize="2389,0" path="m543,l2389,l2389,l,l543,l543,l543,l543,l543,xe" style="position:absolute;left:8529;top:1421;width:2389;height:0;" fillcolor="#000000" stroked="f">
                <v:stroke color="#000000"/>
              </v:shape>
              <v:shape type="#_x0000_t0" id="曲线 145" o:spid="_x0000_s145" coordsize="2139,0" path="m544,l2139,l2139,l,l544,l544,l544,l544,l544,xe" style="position:absolute;left:8794;top:1420;width:2139;height:0;" fillcolor="#FFD966" stroked="f">
                <v:stroke color="#000000"/>
              </v:shape>
            </v:group>
          </w:pict>
        </mc:Fallback>
      </mc:AlternateContent>
    </w:r>
    <w:r>
      <mc:AlternateContent>
        <mc:Choice Requires="wps">
          <w:drawing>
            <wp:anchor distT="0" distB="0" distL="114298" distR="114298" simplePos="0" relativeHeight="64" behindDoc="0" locked="0" layoutInCell="1" hidden="0" allowOverlap="1">
              <wp:simplePos x="0" y="0"/>
              <wp:positionH relativeFrom="page">
                <wp:posOffset>0</wp:posOffset>
              </wp:positionH>
              <wp:positionV relativeFrom="page">
                <wp:posOffset>377825</wp:posOffset>
              </wp:positionV>
              <wp:extent cx="3555365" cy="6"/>
              <wp:effectExtent l="0" t="0" r="0" b="0"/>
              <wp:wrapNone/>
              <wp:docPr id="146" name="组合"/>
              <wp:cNvGraphicFramePr>
                <a:graphicFrameLocks noChangeAspect="0"/>
              </wp:cNvGraphicFramePr>
              <a:graphic>
                <a:graphicData uri="http://schemas.microsoft.com/office/word/2010/wordprocessingGroup">
                  <wpg:wgp>
                    <wpg:cNvPr id="147" name="组合 147"/>
                    <wpg:cNvGrpSpPr/>
                    <wpg:grpSpPr>
                      <a:xfrm rot="0">
                        <a:off x="0" y="0"/>
                        <a:ext cx="3555365" cy="6"/>
                        <a:chOff x="0" y="0"/>
                        <a:chExt cx="3555365" cy="6"/>
                      </a:xfrm>
                      <a:prstGeom prst="rect"/>
                      <a:solidFill>
                        <a:srgbClr val="FFFFFF"/>
                      </a:solidFill>
                      <a:ln w="9525" cmpd="sng" cap="flat">
                        <a:solidFill>
                          <a:srgbClr val="000000"/>
                        </a:solidFill>
                        <a:prstDash val="solid"/>
                        <a:miter/>
                      </a:ln>
                    </wpg:grpSpPr>
                    <wps:wsp>
                      <wps:cNvPr id="148" name="文本框 148"/>
                      <wps:cNvSpPr/>
                      <wps:spPr>
                        <a:xfrm rot="0">
                          <a:off x="71755" y="0"/>
                          <a:ext cx="3483610" cy="6"/>
                        </a:xfrm>
                        <a:prstGeom prst="rect"/>
                        <a:noFill/>
                        <a:ln w="9525" cmpd="sng" cap="flat">
                          <a:noFill/>
                          <a:prstDash val="solid"/>
                          <a:miter/>
                        </a:ln>
                      </wps:spPr>
                      <wps:txbx id="149">
                        <w:txbxContent>
                          <w:p>
                            <w:pPr>
                              <w:rPr>
                                <w:rFonts w:ascii="微软雅黑" w:eastAsia="微软雅黑" w:cs="微软雅黑"/>
                                <w:b/>
                                <w:bCs/>
                                <w:sz w:val="32"/>
                                <w:szCs w:val="40"/>
                              </w:rPr>
                            </w:pPr>
                            <w:r>
                              <w:rPr>
                                <w:rFonts w:ascii="微软雅黑" w:eastAsia="微软雅黑" w:cs="微软雅黑" w:hint="eastAsia"/>
                                <w:b/>
                                <w:bCs/>
                                <w:sz w:val="32"/>
                                <w:szCs w:val="40"/>
                              </w:rPr>
                              <w:t>第五部分 预算绩效公开内容</w:t>
                            </w:r>
                          </w:p>
                          <w:p/>
                        </w:txbxContent>
                      </wps:txbx>
                      <wps:bodyPr vert="horz" wrap="square" lIns="91440" tIns="45720" rIns="91440" bIns="45720" anchor="t" anchorCtr="0" upright="1">
                        <a:noAutofit/>
                      </wps:bodyPr>
                    </wps:wsp>
                    <wps:wsp>
                      <wps:cNvPr id="150" name="矩形 150"/>
                      <wps:cNvSpPr/>
                      <wps:spPr>
                        <a:xfrm rot="0">
                          <a:off x="0" y="0"/>
                          <a:ext cx="133985" cy="6"/>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51" o:spid="_x0000_s151" coordorigin="0,595" coordsize="5599,0" style="position:absolute;margin-left:0.0pt;margin-top:29.75pt;width:279.95pt;height:5.006714E-4pt;z-index:64;mso-position-horizontal:absolute;mso-position-horizontal-relative:page;mso-position-vertical:absolute;mso-position-vertical-relative:page;mso-wrap-distance-left:8.999863pt;mso-wrap-distance-right:8.999863pt;">
              <v:shape type="#_x0000_t202" id="文本框 152" o:spid="_x0000_s152" style="position:absolute;left:113;top:595;width:5486;height:0;mso-wrap-style:square;" filled="f" stroked="f">
                <v:textbox id="865" inset="2.54mm,1.27mm,2.54mm,1.27mm" o:insetmode="custom" style="layout-flow:horizontal;v-text-anchor:top;">
                  <w:txbxContent>
                    <w:p>
                      <w:pPr>
                        <w:rPr>
                          <w:rFonts w:ascii="微软雅黑" w:eastAsia="微软雅黑" w:cs="微软雅黑"/>
                          <w:b/>
                          <w:bCs/>
                          <w:sz w:val="32"/>
                          <w:szCs w:val="40"/>
                        </w:rPr>
                      </w:pPr>
                      <w:r>
                        <w:rPr>
                          <w:rFonts w:ascii="微软雅黑" w:eastAsia="微软雅黑" w:cs="微软雅黑" w:hint="eastAsia"/>
                          <w:b/>
                          <w:bCs/>
                          <w:sz w:val="32"/>
                          <w:szCs w:val="40"/>
                        </w:rPr>
                        <w:t>第五部分 预算绩效公开内容</w:t>
                      </w:r>
                    </w:p>
                    <w:p/>
                  </w:txbxContent>
                </v:textbox>
                <v:stroke color="#000000"/>
              </v:shape>
              <v:rect type="#_x0000_t1" id="矩形 153" o:spid="_x0000_s153" style="position:absolute;left:0;top:595;width:211;height:0;" fillcolor="#000000" stroked="f">
                <v:stroke color="#000000"/>
              </v:rect>
            </v:group>
          </w:pict>
        </mc:Fallback>
      </mc:AlternateContent>
    </w:r>
    <w:r>
      <w:rPr>
        <w:rFonts w:hint="eastAsia"/>
      </w:rPr>
      <w:t>·</w: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8" distR="114298" simplePos="0" relativeHeight="70" behindDoc="0" locked="0" layoutInCell="1" hidden="0" allowOverlap="1">
              <wp:simplePos x="0" y="0"/>
              <wp:positionH relativeFrom="page">
                <wp:posOffset>0</wp:posOffset>
              </wp:positionH>
              <wp:positionV relativeFrom="paragraph">
                <wp:posOffset>28303096</wp:posOffset>
              </wp:positionV>
              <wp:extent cx="2147483647" cy="24291496"/>
              <wp:effectExtent l="0" t="0" r="0" b="0"/>
              <wp:wrapNone/>
              <wp:docPr id="73" name="组合"/>
              <wp:cNvGraphicFramePr>
                <a:graphicFrameLocks noChangeAspect="0"/>
              </wp:cNvGraphicFramePr>
              <a:graphic>
                <a:graphicData uri="http://schemas.microsoft.com/office/word/2010/wordprocessingGroup">
                  <wpg:wgp>
                    <wpg:cNvPr id="74" name="组合 74"/>
                    <wpg:cNvGrpSpPr/>
                    <wpg:grpSpPr>
                      <a:xfrm rot="0">
                        <a:off x="0" y="0"/>
                        <a:ext cx="2147483647" cy="24291496"/>
                        <a:chOff x="0" y="0"/>
                        <a:chExt cx="2147483647" cy="24291496"/>
                      </a:xfrm>
                      <a:prstGeom prst="rect"/>
                      <a:solidFill>
                        <a:srgbClr val="FFFFFF"/>
                      </a:solidFill>
                      <a:ln w="9525" cmpd="sng" cap="flat">
                        <a:solidFill>
                          <a:srgbClr val="000000"/>
                        </a:solidFill>
                        <a:prstDash val="solid"/>
                        <a:miter/>
                      </a:ln>
                    </wpg:grpSpPr>
                    <wps:wsp>
                      <wps:cNvPr id="75" name="矩形 75"/>
                      <wps:cNvSpPr/>
                      <wps:spPr>
                        <a:xfrm rot="0">
                          <a:off x="0" y="21311416"/>
                          <a:ext cx="2147483647" cy="2980079"/>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76" name="曲线 76"/>
                      <wps:cNvSpPr/>
                      <wps:spPr>
                        <a:xfrm rot="0">
                          <a:off x="2147483647" y="3749707"/>
                          <a:ext cx="1315023744" cy="17721730"/>
                        </a:xfrm>
                        <a:custGeom>
                          <a:gdLst>
                            <a:gd name="T1" fmla="*/ 0 w 21600"/>
                            <a:gd name="T2" fmla="*/ 0 h 21600"/>
                            <a:gd name="T3" fmla="*/ 21600 w 21600"/>
                            <a:gd name="T4" fmla="*/ 21600 h 21600"/>
                          </a:gdLst>
                          <a:rect l="T1" t="T2" r="T3" b="T4"/>
                          <a:pathLst>
                            <a:path w="21600" h="21600">
                              <a:moveTo>
                                <a:pt x="4905" y="0"/>
                              </a:moveTo>
                              <a:lnTo>
                                <a:pt x="21600" y="0"/>
                              </a:lnTo>
                              <a:lnTo>
                                <a:pt x="21600" y="21600"/>
                              </a:lnTo>
                              <a:lnTo>
                                <a:pt x="0" y="21600"/>
                              </a:lnTo>
                              <a:lnTo>
                                <a:pt x="4905" y="0"/>
                              </a:lnTo>
                              <a:lnTo>
                                <a:pt x="4905" y="0"/>
                              </a:lnTo>
                              <a:lnTo>
                                <a:pt x="4905" y="0"/>
                              </a:lnTo>
                              <a:lnTo>
                                <a:pt x="4905"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77" name="曲线 77"/>
                      <wps:cNvSpPr/>
                      <wps:spPr>
                        <a:xfrm rot="0">
                          <a:off x="2147483647" y="0"/>
                          <a:ext cx="1177526656" cy="22785262"/>
                        </a:xfrm>
                        <a:custGeom>
                          <a:gdLst>
                            <a:gd name="T1" fmla="*/ 0 w 21600"/>
                            <a:gd name="T2" fmla="*/ 0 h 21600"/>
                            <a:gd name="T3" fmla="*/ 21600 w 21600"/>
                            <a:gd name="T4" fmla="*/ 21600 h 21600"/>
                          </a:gdLst>
                          <a:rect l="T1" t="T2" r="T3" b="T4"/>
                          <a:pathLst>
                            <a:path w="21600" h="21600">
                              <a:moveTo>
                                <a:pt x="5506" y="0"/>
                              </a:moveTo>
                              <a:lnTo>
                                <a:pt x="21600" y="151"/>
                              </a:lnTo>
                              <a:lnTo>
                                <a:pt x="21600" y="21600"/>
                              </a:lnTo>
                              <a:lnTo>
                                <a:pt x="0" y="21600"/>
                              </a:lnTo>
                              <a:lnTo>
                                <a:pt x="5506" y="0"/>
                              </a:lnTo>
                              <a:lnTo>
                                <a:pt x="5506" y="0"/>
                              </a:lnTo>
                              <a:lnTo>
                                <a:pt x="5506" y="0"/>
                              </a:lnTo>
                              <a:lnTo>
                                <a:pt x="5506"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78" o:spid="_x0000_s78" coordorigin="0,44571" coordsize="9435255,38254" style="position:absolute;margin-left:0.0pt;margin-top:2228.5903pt;width:471762.75pt;height:1912.7162pt;z-index:70;mso-position-horizontal:absolute;mso-position-horizontal-relative:page;mso-position-vertical:absolute;mso-wrap-distance-left:8.999863pt;mso-wrap-distance-right:8.999863pt;">
              <v:rect type="#_x0000_t1" id="矩形 79" o:spid="_x0000_s79" style="position:absolute;left:0;top:78133;width:9431291;height:4693;" fillcolor="#FFD966" stroked="f">
                <v:stroke color="#000000"/>
              </v:rect>
              <v:shape type="#_x0000_t0" id="曲线 80" o:spid="_x0000_s80" coordsize="2070903,27908" path="m470335,l2070903,l2070903,27908l,27908l470335,l470335,l470335,l470335,l470335,xe" style="position:absolute;left:7351663;top:50476;width:2070903;height:27908;" fillcolor="#000000" stroked="f">
                <v:stroke color="#000000"/>
              </v:shape>
              <v:shape type="#_x0000_t0" id="曲线 81" o:spid="_x0000_s81" coordsize="1854372,35882" path="m472713,l1854372,252l1854372,35882l,35882l472713,l472713,l472713,l472713,l472713,xe" style="position:absolute;left:7580882;top:44571;width:1854372;height:35882;" fillcolor="#FFD966" stroked="f">
                <v:stroke color="#000000"/>
              </v:shape>
            </v:group>
          </w:pict>
        </mc:Fallback>
      </mc:AlternateContent>
    </w:r>
    <w:r>
      <mc:AlternateContent>
        <mc:Choice Requires="wps">
          <w:drawing>
            <wp:anchor distT="0" distB="0" distL="114298" distR="114298" simplePos="0" relativeHeight="71" behindDoc="0" locked="0" layoutInCell="1" hidden="0" allowOverlap="1">
              <wp:simplePos x="0" y="0"/>
              <wp:positionH relativeFrom="page">
                <wp:posOffset>-8407146</wp:posOffset>
              </wp:positionH>
              <wp:positionV relativeFrom="page">
                <wp:posOffset>26188134</wp:posOffset>
              </wp:positionV>
              <wp:extent cx="940137216" cy="17394232"/>
              <wp:effectExtent l="0" t="0" r="0" b="0"/>
              <wp:wrapNone/>
              <wp:docPr id="82" name="组合"/>
              <wp:cNvGraphicFramePr>
                <a:graphicFrameLocks noChangeAspect="0"/>
              </wp:cNvGraphicFramePr>
              <a:graphic>
                <a:graphicData uri="http://schemas.microsoft.com/office/word/2010/wordprocessingGroup">
                  <wpg:wgp>
                    <wpg:cNvPr id="83" name="组合 83"/>
                    <wpg:cNvGrpSpPr/>
                    <wpg:grpSpPr>
                      <a:xfrm rot="0">
                        <a:off x="0" y="0"/>
                        <a:ext cx="940137216" cy="17394232"/>
                        <a:chOff x="0" y="0"/>
                        <a:chExt cx="940137216" cy="17394232"/>
                      </a:xfrm>
                      <a:prstGeom prst="rect"/>
                      <a:solidFill>
                        <a:srgbClr val="FFFFFF"/>
                      </a:solidFill>
                      <a:ln w="9525" cmpd="sng" cap="flat">
                        <a:solidFill>
                          <a:srgbClr val="000000"/>
                        </a:solidFill>
                        <a:prstDash val="solid"/>
                        <a:miter/>
                      </a:ln>
                    </wpg:grpSpPr>
                    <wps:wsp>
                      <wps:cNvPr id="84" name="文本框 84"/>
                      <wps:cNvSpPr/>
                      <wps:spPr>
                        <a:xfrm rot="0">
                          <a:off x="18554700" y="0"/>
                          <a:ext cx="921582528" cy="17394232"/>
                        </a:xfrm>
                        <a:prstGeom prst="rect"/>
                        <a:noFill/>
                        <a:ln w="9525" cmpd="sng" cap="flat">
                          <a:noFill/>
                          <a:prstDash val="solid"/>
                          <a:miter/>
                        </a:ln>
                      </wps:spPr>
                      <wps:txbx id="85">
                        <w:txbxContent>
                          <w:p>
                            <w:pPr>
                              <w:rPr>
                                <w:rFonts w:ascii="微软雅黑" w:eastAsia="微软雅黑" w:cs="微软雅黑"/>
                                <w:b/>
                                <w:bCs/>
                                <w:sz w:val="32"/>
                                <w:szCs w:val="40"/>
                              </w:rPr>
                            </w:pPr>
                            <w:r>
                              <w:rPr>
                                <w:rFonts w:ascii="微软雅黑" w:eastAsia="微软雅黑" w:cs="微软雅黑" w:hint="eastAsia"/>
                                <w:b/>
                                <w:bCs/>
                                <w:sz w:val="32"/>
                                <w:szCs w:val="40"/>
                              </w:rPr>
                              <w:t>第三部分  名词解释</w:t>
                            </w:r>
                          </w:p>
                        </w:txbxContent>
                      </wps:txbx>
                      <wps:bodyPr vert="horz" wrap="square" lIns="91440" tIns="45720" rIns="91440" bIns="45720" anchor="t" anchorCtr="0" upright="1">
                        <a:noAutofit/>
                      </wps:bodyPr>
                    </wps:wsp>
                    <wps:wsp>
                      <wps:cNvPr id="86" name="矩形 86"/>
                      <wps:cNvSpPr/>
                      <wps:spPr>
                        <a:xfrm rot="0">
                          <a:off x="0" y="4450160"/>
                          <a:ext cx="35514280" cy="8954933"/>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87" o:spid="_x0000_s87" coordorigin="-13239,41241" coordsize="1480531,27392" style="position:absolute;margin-left:-661.98004pt;margin-top:2062.0576pt;width:74026.55pt;height:1369.6245pt;z-index:71;mso-position-horizontal:absolute;mso-position-horizontal-relative:page;mso-position-vertical:absolute;mso-position-vertical-relative:page;mso-wrap-distance-left:8.999863pt;mso-wrap-distance-right:8.999863pt;">
              <v:shape type="#_x0000_t202" id="文本框 88" o:spid="_x0000_s88" style="position:absolute;left:15980;top:41241;width:1451311;height:27392;mso-wrap-style:square;" filled="f" stroked="f">
                <v:textbox id="863" inset="2.54mm,1.27mm,2.54mm,1.27mm" o:insetmode="custom" style="layout-flow:horizontal;v-text-anchor:top;">
                  <w:txbxContent>
                    <w:p>
                      <w:pPr>
                        <w:rPr>
                          <w:rFonts w:ascii="微软雅黑" w:eastAsia="微软雅黑" w:cs="微软雅黑"/>
                          <w:b/>
                          <w:bCs/>
                          <w:sz w:val="32"/>
                          <w:szCs w:val="40"/>
                        </w:rPr>
                      </w:pPr>
                      <w:r>
                        <w:rPr>
                          <w:rFonts w:ascii="微软雅黑" w:eastAsia="微软雅黑" w:cs="微软雅黑" w:hint="eastAsia"/>
                          <w:b/>
                          <w:bCs/>
                          <w:sz w:val="32"/>
                          <w:szCs w:val="40"/>
                        </w:rPr>
                        <w:t>第三部分  名词解释</w:t>
                      </w:r>
                    </w:p>
                  </w:txbxContent>
                </v:textbox>
                <v:stroke color="#000000"/>
              </v:shape>
              <v:rect type="#_x0000_t1" id="矩形 89" o:spid="_x0000_s89" style="position:absolute;left:-13239;top:48249;width:55927;height:14102;" fillcolor="#000000" stroked="f">
                <v:stroke color="#000000"/>
              </v:rect>
            </v:group>
          </w:pict>
        </mc:Fallback>
      </mc:AlternateContent>
    </w:r>
  </w:p>
</w:hdr>
</file>

<file path=word/header9.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8" distR="114298" simplePos="0" relativeHeight="67" behindDoc="0" locked="0" layoutInCell="1" hidden="0" allowOverlap="1">
              <wp:simplePos x="0" y="0"/>
              <wp:positionH relativeFrom="page">
                <wp:align>left</wp:align>
              </wp:positionH>
              <wp:positionV relativeFrom="page">
                <wp:posOffset>16523795</wp:posOffset>
              </wp:positionV>
              <wp:extent cx="420191648" cy="17394234"/>
              <wp:effectExtent l="0" t="0" r="0" b="0"/>
              <wp:wrapNone/>
              <wp:docPr id="90" name="组合"/>
              <wp:cNvGraphicFramePr>
                <a:graphicFrameLocks noChangeAspect="0"/>
              </wp:cNvGraphicFramePr>
              <a:graphic>
                <a:graphicData uri="http://schemas.microsoft.com/office/word/2010/wordprocessingGroup">
                  <wpg:wgp>
                    <wpg:cNvPr id="91" name="组合 91"/>
                    <wpg:cNvGrpSpPr/>
                    <wpg:grpSpPr>
                      <a:xfrm rot="0">
                        <a:off x="0" y="0"/>
                        <a:ext cx="420191648" cy="17394234"/>
                        <a:chOff x="0" y="0"/>
                        <a:chExt cx="420191648" cy="17394234"/>
                      </a:xfrm>
                      <a:prstGeom prst="rect"/>
                      <a:solidFill>
                        <a:srgbClr val="FFFFFF"/>
                      </a:solidFill>
                      <a:ln w="9525" cmpd="sng" cap="flat">
                        <a:solidFill>
                          <a:srgbClr val="000000"/>
                        </a:solidFill>
                        <a:prstDash val="solid"/>
                        <a:miter/>
                      </a:ln>
                    </wpg:grpSpPr>
                    <wps:wsp>
                      <wps:cNvPr id="92" name="文本框 92"/>
                      <wps:cNvSpPr/>
                      <wps:spPr>
                        <a:xfrm rot="0">
                          <a:off x="8536942" y="0"/>
                          <a:ext cx="411654688" cy="17394234"/>
                        </a:xfrm>
                        <a:prstGeom prst="rect"/>
                        <a:noFill/>
                        <a:ln w="9525" cmpd="sng" cap="flat">
                          <a:noFill/>
                          <a:prstDash val="solid"/>
                          <a:miter/>
                        </a:ln>
                      </wps:spPr>
                      <wps:txbx id="93">
                        <w:txbxContent>
                          <w:p>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wps:txbx>
                      <wps:bodyPr vert="horz" wrap="square" lIns="91440" tIns="45720" rIns="91440" bIns="45720" anchor="t" anchorCtr="0" upright="1">
                        <a:noAutofit/>
                      </wps:bodyPr>
                    </wps:wsp>
                    <wps:wsp>
                      <wps:cNvPr id="94" name="矩形 94"/>
                      <wps:cNvSpPr/>
                      <wps:spPr>
                        <a:xfrm rot="0">
                          <a:off x="0" y="4423490"/>
                          <a:ext cx="15873732" cy="8954933"/>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95" o:spid="_x0000_s95" coordorigin="0,26021" coordsize="661719,27392" style="position:absolute;margin-left:0.0pt;margin-top:1301.0863pt;width:33085.957pt;height:1369.6248pt;z-index:67;mso-position-horizontal:left;mso-position-horizontal-relative:page;mso-position-vertical:absolute;mso-position-vertical-relative:page;mso-wrap-distance-left:8.999863pt;mso-wrap-distance-right:8.999863pt;">
              <v:shape type="#_x0000_t202" id="文本框 96" o:spid="_x0000_s96" style="position:absolute;left:13444;top:26021;width:648275;height:27392;mso-wrap-style:square;" filled="f" stroked="f">
                <v:textbox id="864" inset="2.54mm,1.27mm,2.54mm,1.27mm" o:insetmode="custom" style="layout-flow:horizontal;v-text-anchor:top;">
                  <w:txbxContent>
                    <w:p>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v:textbox>
                <v:stroke color="#000000"/>
              </v:shape>
              <v:rect type="#_x0000_t1" id="矩形 97" o:spid="_x0000_s97" style="position:absolute;left:0;top:32987;width:24998;height:14102;" fillcolor="#000000" stroked="f">
                <v:stroke color="#000000"/>
              </v:rect>
            </v:group>
          </w:pict>
        </mc:Fallback>
      </mc:AlternateContent>
    </w:r>
    <w:r>
      <mc:AlternateContent>
        <mc:Choice Requires="wps">
          <w:drawing>
            <wp:anchor distT="0" distB="0" distL="114298" distR="114298" simplePos="0" relativeHeight="68" behindDoc="0" locked="0" layoutInCell="1" hidden="0" allowOverlap="1">
              <wp:simplePos x="0" y="0"/>
              <wp:positionH relativeFrom="page">
                <wp:align>center</wp:align>
              </wp:positionH>
              <wp:positionV relativeFrom="paragraph">
                <wp:align>bottom</wp:align>
              </wp:positionV>
              <wp:extent cx="2147483647" cy="58845964"/>
              <wp:effectExtent l="0" t="0" r="0" b="0"/>
              <wp:wrapNone/>
              <wp:docPr id="98" name="组合"/>
              <wp:cNvGraphicFramePr>
                <a:graphicFrameLocks noChangeAspect="0"/>
              </wp:cNvGraphicFramePr>
              <a:graphic>
                <a:graphicData uri="http://schemas.microsoft.com/office/word/2010/wordprocessingGroup">
                  <wpg:wgp>
                    <wpg:cNvPr id="99" name="组合 99"/>
                    <wpg:cNvGrpSpPr/>
                    <wpg:grpSpPr>
                      <a:xfrm rot="0">
                        <a:off x="0" y="0"/>
                        <a:ext cx="2147483647" cy="58845964"/>
                        <a:chOff x="0" y="0"/>
                        <a:chExt cx="2147483647" cy="58845964"/>
                      </a:xfrm>
                      <a:prstGeom prst="rect"/>
                      <a:solidFill>
                        <a:srgbClr val="FFFFFF"/>
                      </a:solidFill>
                      <a:ln w="9525" cmpd="sng" cap="flat">
                        <a:solidFill>
                          <a:srgbClr val="000000"/>
                        </a:solidFill>
                        <a:prstDash val="solid"/>
                        <a:miter/>
                      </a:ln>
                    </wpg:grpSpPr>
                    <wps:wsp>
                      <wps:cNvPr id="100" name="矩形 100"/>
                      <wps:cNvSpPr/>
                      <wps:spPr>
                        <a:xfrm rot="0">
                          <a:off x="0" y="51559272"/>
                          <a:ext cx="2147483647" cy="7286691"/>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01" name="曲线 101"/>
                      <wps:cNvSpPr/>
                      <wps:spPr>
                        <a:xfrm rot="0">
                          <a:off x="2147483647" y="9033589"/>
                          <a:ext cx="1322710912" cy="43024164"/>
                        </a:xfrm>
                        <a:custGeom>
                          <a:gdLst>
                            <a:gd name="T1" fmla="*/ 0 w 21600"/>
                            <a:gd name="T2" fmla="*/ 0 h 21600"/>
                            <a:gd name="T3" fmla="*/ 21600 w 21600"/>
                            <a:gd name="T4" fmla="*/ 21600 h 21600"/>
                          </a:gdLst>
                          <a:rect l="T1" t="T2" r="T3" b="T4"/>
                          <a:pathLst>
                            <a:path w="21600" h="21600">
                              <a:moveTo>
                                <a:pt x="4909" y="24"/>
                              </a:moveTo>
                              <a:lnTo>
                                <a:pt x="21600" y="0"/>
                              </a:lnTo>
                              <a:lnTo>
                                <a:pt x="21600" y="21599"/>
                              </a:lnTo>
                              <a:lnTo>
                                <a:pt x="0" y="21599"/>
                              </a:lnTo>
                              <a:lnTo>
                                <a:pt x="4909" y="24"/>
                              </a:lnTo>
                              <a:lnTo>
                                <a:pt x="4909" y="24"/>
                              </a:lnTo>
                              <a:lnTo>
                                <a:pt x="4909" y="24"/>
                              </a:lnTo>
                              <a:lnTo>
                                <a:pt x="4909" y="24"/>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02" name="曲线 102"/>
                      <wps:cNvSpPr/>
                      <wps:spPr>
                        <a:xfrm rot="0">
                          <a:off x="2147483647" y="0"/>
                          <a:ext cx="1183318528" cy="55302628"/>
                        </a:xfrm>
                        <a:custGeom>
                          <a:gdLst>
                            <a:gd name="T1" fmla="*/ 0 w 21600"/>
                            <a:gd name="T2" fmla="*/ 0 h 21600"/>
                            <a:gd name="T3" fmla="*/ 21600 w 21600"/>
                            <a:gd name="T4" fmla="*/ 21600 h 21600"/>
                          </a:gdLst>
                          <a:rect l="T1" t="T2" r="T3" b="T4"/>
                          <a:pathLst>
                            <a:path w="21600" h="21600">
                              <a:moveTo>
                                <a:pt x="5503" y="0"/>
                              </a:moveTo>
                              <a:lnTo>
                                <a:pt x="21600" y="136"/>
                              </a:lnTo>
                              <a:lnTo>
                                <a:pt x="21600" y="21600"/>
                              </a:lnTo>
                              <a:lnTo>
                                <a:pt x="0" y="21600"/>
                              </a:lnTo>
                              <a:lnTo>
                                <a:pt x="5503" y="0"/>
                              </a:lnTo>
                              <a:lnTo>
                                <a:pt x="5503" y="0"/>
                              </a:lnTo>
                              <a:lnTo>
                                <a:pt x="5503" y="0"/>
                              </a:lnTo>
                              <a:lnTo>
                                <a:pt x="5503"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03" o:spid="_x0000_s103" coordorigin="0,0" coordsize="9487675,92670" style="position:absolute;margin-left:0.0pt;margin-top:0.0pt;width:474383.75pt;height:4633.5405pt;z-index:68;mso-position-horizontal:center;mso-position-horizontal-relative:page;mso-position-vertical:bottom;mso-wrap-distance-left:8.999863pt;mso-wrap-distance-right:8.999863pt;">
              <v:rect type="#_x0000_t1" id="矩形 104" o:spid="_x0000_s104" style="position:absolute;left:0;top:81195;width:9484495;height:11475;" fillcolor="#FFD966" stroked="f">
                <v:stroke color="#000000"/>
              </v:rect>
              <v:shape type="#_x0000_t0" id="曲线 105" o:spid="_x0000_s105" coordsize="2083009,67754" path="m473411,78l2083009,l2083009,67754l,67754l473411,78l473411,78l473411,78l473411,78l473411,78xe" style="position:absolute;left:7392736;top:14226;width:2083009;height:67754;" fillcolor="#000000" stroked="f">
                <v:stroke color="#000000"/>
              </v:shape>
              <v:shape type="#_x0000_t0" id="曲线 106" o:spid="_x0000_s106" coordsize="1863493,87090" path="m474820,l1863493,550l1863493,87090l,87090l474820,l474820,l474820,l474820,l474820,xe" style="position:absolute;left:7624181;top:0;width:1863493;height:87090;" fillcolor="#FFD966" stroked="f">
                <v:stroke color="#000000"/>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45DB9A87"/>
    <w:multiLevelType w:val="singleLevel"/>
    <w:tmpl w:val="45DB9A87"/>
    <w:lvl w:ilvl="0">
      <w:start w:val="3"/>
      <w:numFmt w:val="chineseCounting"/>
      <w:lvlRestart w:val="0"/>
      <w:suff w:val="nothing"/>
      <w:lvlText w:val="（%1）"/>
      <w:lvlJc w:val="left"/>
      <w:pPr>
        <w:tabs>
          <w:tab w:val="num" w:pos="0"/>
        </w:tabs>
        <w:ind w:left="0" w:hanging="0"/>
      </w:pPr>
      <w:rPr>
        <w:rFonts w:hint="eastAsia"/>
      </w:rPr>
    </w:lvl>
  </w:abstractNum>
  <w:abstractNum w:abstractNumId="1">
    <w:nsid w:val="5F222FFA"/>
    <w:multiLevelType w:val="singleLevel"/>
    <w:tmpl w:val="5F222FFA"/>
    <w:lvl w:ilvl="0">
      <w:start w:val="1"/>
      <w:numFmt w:val="decimal"/>
      <w:lvlRestart w:val="0"/>
      <w:suff w:val="nothing"/>
      <w:lvlText w:val="（%1）"/>
      <w:lvlJc w:val="left"/>
      <w:pPr>
        <w:tabs>
          <w:tab w:val="num" w:pos="0"/>
        </w:tabs>
        <w:ind w:left="0" w:hanging="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63"/>
  <w:displayHorizontalDrawingGridEvery w:val="0"/>
  <w:displayVerticalDrawingGridEvery w:val="1"/>
  <w:noPunctuationKerning/>
  <w:characterSpacingControl w:val="compressPunctuation"/>
  <w:compat>
    <w:spaceForUL/>
    <w:balanceSingleByteDoubleByteWidth/>
    <w:doNotExpandShiftReturn/>
    <w:adjustLineHeightInTable/>
    <w:growAutofit/>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character" w:default="1" w:styleId="10">
    <w:name w:val="Default Paragraph Font"/>
  </w:style>
  <w:style w:type="paragraph" w:styleId="15">
    <w:name w:val="Body Text"/>
    <w:basedOn w:val="0"/>
    <w:rPr>
      <w:rFonts w:ascii="仿宋_GB2312" w:eastAsia="仿宋_GB2312" w:cs="仿宋_GB2312"/>
      <w:sz w:val="32"/>
      <w:szCs w:val="32"/>
      <w:lang w:val="zh-CN" w:bidi="zh-CN"/>
    </w:rPr>
  </w:style>
  <w:style w:type="paragraph" w:styleId="16">
    <w:name w:val="Balloon Text"/>
    <w:basedOn w:val="0"/>
    <w:rPr>
      <w:sz w:val="18"/>
      <w:szCs w:val="18"/>
    </w:rPr>
  </w:style>
  <w:style w:type="paragraph" w:styleId="17">
    <w:name w:val="footer"/>
    <w:basedOn w:val="0"/>
    <w:pPr>
      <w:tabs>
        <w:tab w:val="center" w:pos="4153"/>
        <w:tab w:val="right" w:pos="8306"/>
      </w:tabs>
      <w:snapToGrid w:val="0"/>
      <w:jc w:val="left"/>
    </w:pPr>
    <w:rPr>
      <w:sz w:val="18"/>
      <w:szCs w:val="18"/>
    </w:rPr>
  </w:style>
  <w:style w:type="paragraph" w:styleId="18">
    <w:name w:val="header"/>
    <w:basedOn w:val="0"/>
    <w:pPr>
      <w:tabs>
        <w:tab w:val="center" w:pos="4153"/>
        <w:tab w:val="right" w:pos="8306"/>
      </w:tabs>
      <w:snapToGrid w:val="0"/>
      <w:jc w:val="center"/>
    </w:pPr>
    <w:rPr>
      <w:sz w:val="18"/>
      <w:szCs w:val="18"/>
    </w:rPr>
  </w:style>
  <w:style w:type="paragraph" w:customStyle="1" w:styleId="19">
    <w:name w:val="列出段落1"/>
    <w:basedOn w:val="0"/>
    <w:pPr>
      <w:spacing w:before="2"/>
      <w:ind w:left="119" w:right="434" w:firstLine="643"/>
    </w:pPr>
    <w:rPr>
      <w:rFonts w:ascii="仿宋_GB2312" w:eastAsia="仿宋_GB2312" w:cs="仿宋_GB2312"/>
      <w:lang w:val="zh-CN" w:bidi="zh-CN"/>
    </w:rPr>
  </w:style>
  <w:style w:type="character" w:customStyle="1" w:styleId="20">
    <w:name w:val="font11"/>
    <w:rPr>
      <w:rFonts w:ascii="仿宋_GB2312" w:eastAsia="仿宋_GB2312" w:cs="仿宋_GB2312"/>
      <w:color w:val="000000"/>
      <w:sz w:val="18"/>
      <w:szCs w:val="18"/>
      <w:u w:val="none"/>
      <w:lang w:bidi="ar-SA"/>
    </w:rPr>
  </w:style>
  <w:style w:type="character" w:customStyle="1" w:styleId="21">
    <w:name w:val="font112"/>
    <w:rPr>
      <w:rFonts w:ascii="宋体" w:eastAsia="宋体" w:cs="宋体"/>
      <w:color w:val="000000"/>
      <w:sz w:val="18"/>
      <w:szCs w:val="18"/>
      <w:u w:val="none"/>
      <w:lang w:bidi="ar-SA"/>
    </w:rPr>
  </w:style>
  <w:style w:type="character" w:customStyle="1" w:styleId="22">
    <w:name w:val="font141"/>
    <w:rPr>
      <w:rFonts w:ascii="Times New Roman" w:cs="Times New Roman" w:hAnsi="Times New Roman"/>
      <w:color w:val="000000"/>
      <w:sz w:val="18"/>
      <w:szCs w:val="18"/>
      <w:u w:val="none"/>
      <w:lang w:bidi="ar-SA"/>
    </w:rPr>
  </w:style>
  <w:style w:type="paragraph" w:customStyle="1" w:styleId="23">
    <w:name w:val="列出段落2"/>
    <w:basedOn w:val="0"/>
    <w:pPr>
      <w:ind w:firstLineChars="200" w:firstLine="200"/>
    </w:pPr>
  </w:style>
  <w:style w:type="character" w:customStyle="1" w:styleId="24">
    <w:name w:val="font171"/>
    <w:basedOn w:val="10"/>
    <w:rPr>
      <w:rFonts w:ascii="仿宋_GB2312" w:eastAsia="仿宋_GB2312" w:cs="仿宋_GB2312"/>
      <w:color w:val="000000"/>
      <w:sz w:val="18"/>
      <w:szCs w:val="18"/>
      <w:u w:val="none"/>
    </w:rPr>
  </w:style>
  <w:style w:type="character" w:customStyle="1" w:styleId="25">
    <w:name w:val="font51"/>
    <w:basedOn w:val="10"/>
    <w:rPr>
      <w:rFonts w:ascii="Times New Roman" w:cs="Times New Roman" w:hAnsi="Times New Roman"/>
      <w:color w:val="000000"/>
      <w:sz w:val="18"/>
      <w:szCs w:val="18"/>
      <w:u w:val="none"/>
    </w:rPr>
  </w:style>
  <w:style w:type="character" w:customStyle="1" w:styleId="26">
    <w:name w:val="font161"/>
    <w:basedOn w:val="10"/>
    <w:rPr>
      <w:rFonts w:ascii="宋体" w:eastAsia="宋体" w:cs="宋体"/>
      <w:color w:val="000000"/>
      <w:sz w:val="18"/>
      <w:szCs w:val="18"/>
      <w:u w:val="none"/>
    </w:rPr>
  </w:style>
  <w:style w:type="character" w:customStyle="1" w:styleId="27">
    <w:name w:val="font81"/>
    <w:basedOn w:val="10"/>
    <w:rPr>
      <w:rFonts w:ascii="Times New Roman" w:cs="Times New Roman" w:hAnsi="Times New Roman"/>
      <w:color w:val="000000"/>
      <w:sz w:val="21"/>
      <w:szCs w:val="21"/>
      <w:u w:val="none"/>
    </w:rPr>
  </w:style>
  <w:style w:type="character" w:customStyle="1" w:styleId="28">
    <w:name w:val="font121"/>
    <w:basedOn w:val="10"/>
    <w:rPr>
      <w:rFonts w:ascii="Times New Roman" w:cs="Times New Roman" w:hAnsi="Times New Roman"/>
      <w:color w:val="000000"/>
      <w:sz w:val="20"/>
      <w:szCs w:val="20"/>
      <w:u w:val="none"/>
    </w:rPr>
  </w:style>
  <w:style w:type="character" w:customStyle="1" w:styleId="29">
    <w:name w:val="font131"/>
    <w:basedOn w:val="10"/>
    <w:rPr>
      <w:rFonts w:ascii="宋体" w:eastAsia="宋体" w:cs="宋体"/>
      <w:color w:val="000000"/>
      <w:sz w:val="20"/>
      <w:szCs w:val="20"/>
      <w:u w:val="none"/>
    </w:rPr>
  </w:style>
  <w:style w:type="paragraph" w:customStyle="1" w:styleId="30">
    <w:name w:val="List Paragraph"/>
    <w:basedOn w:val="0"/>
    <w:pPr>
      <w:ind w:firstLineChars="200" w:firstLine="200"/>
    </w:pPr>
  </w:style>
  <w:style w:type="character" w:styleId="31">
    <w:name w:val="annotation reference"/>
    <w:basedOn w:val="10"/>
    <w:rPr>
      <w:sz w:val="21"/>
      <w:szCs w:val="21"/>
    </w:rPr>
  </w:style>
  <w:style w:type="paragraph" w:styleId="32">
    <w:name w:val="annotation text"/>
    <w:basedOn w:val="0"/>
    <w:pPr>
      <w:jc w:val="left"/>
    </w:pPr>
  </w:style>
  <w:style w:type="paragraph" w:styleId="33">
    <w:name w:val="annotation subject"/>
    <w:basedOn w:val="32"/>
    <w:next w:val="32"/>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eader" Target="header6.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image" Target="media/65.gif"/><Relationship Id="rId14" Type="http://schemas.openxmlformats.org/officeDocument/2006/relationships/header" Target="header7.xml"/><Relationship Id="rId15" Type="http://schemas.openxmlformats.org/officeDocument/2006/relationships/image" Target="media/72.gif"/><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footer" Target="footer6.xml"/><Relationship Id="rId19" Type="http://schemas.openxmlformats.org/officeDocument/2006/relationships/footer" Target="footer7.xml"/><Relationship Id="rId20" Type="http://schemas.openxmlformats.org/officeDocument/2006/relationships/header" Target="header10.xml"/><Relationship Id="rId21" Type="http://schemas.openxmlformats.org/officeDocument/2006/relationships/image" Target="media/116.gif"/><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image" Target="media/120.gif"/><Relationship Id="rId25" Type="http://schemas.openxmlformats.org/officeDocument/2006/relationships/header" Target="header13.xml"/><Relationship Id="rId26" Type="http://schemas.openxmlformats.org/officeDocument/2006/relationships/header" Target="header14.xml"/><Relationship Id="rId27" Type="http://schemas.openxmlformats.org/officeDocument/2006/relationships/footer" Target="footer8.xml"/><Relationship Id="rId28" Type="http://schemas.openxmlformats.org/officeDocument/2006/relationships/header" Target="header15.xml"/><Relationship Id="rId29" Type="http://schemas.openxmlformats.org/officeDocument/2006/relationships/image" Target="media/136.gif"/><Relationship Id="rId30" Type="http://schemas.openxmlformats.org/officeDocument/2006/relationships/header" Target="header16.xml"/><Relationship Id="rId31" Type="http://schemas.openxmlformats.org/officeDocument/2006/relationships/image" Target="media/155.emf"/><Relationship Id="rId32" Type="http://schemas.openxmlformats.org/officeDocument/2006/relationships/package" Target="embeddings/oleObject1.docx"/><Relationship Id="rId33" Type="http://schemas.openxmlformats.org/officeDocument/2006/relationships/image" Target="media/157.emf"/><Relationship Id="rId34" Type="http://schemas.openxmlformats.org/officeDocument/2006/relationships/oleObject" Target="embeddings/oleObject2.bin"/><Relationship Id="rId35" Type="http://schemas.openxmlformats.org/officeDocument/2006/relationships/image" Target="media/159.emf"/><Relationship Id="rId36" Type="http://schemas.openxmlformats.org/officeDocument/2006/relationships/oleObject" Target="embeddings/oleObject3.bin"/><Relationship Id="rId37" Type="http://schemas.openxmlformats.org/officeDocument/2006/relationships/image" Target="media/161.emf"/><Relationship Id="rId38" Type="http://schemas.openxmlformats.org/officeDocument/2006/relationships/oleObject" Target="embeddings/oleObject4.bin"/><Relationship Id="rId39" Type="http://schemas.openxmlformats.org/officeDocument/2006/relationships/image" Target="media/163.emf"/><Relationship Id="rId40" Type="http://schemas.openxmlformats.org/officeDocument/2006/relationships/oleObject" Target="embeddings/oleObject5.bin"/><Relationship Id="rId41" Type="http://schemas.openxmlformats.org/officeDocument/2006/relationships/styles" Target="styles.xml"/><Relationship Id="rId42" Type="http://schemas.openxmlformats.org/officeDocument/2006/relationships/numbering" Target="numbering.xml"/><Relationship Id="rId43" Type="http://schemas.openxmlformats.org/officeDocument/2006/relationships/fontTable" Target="fontTable.xml"/></Relationships>
</file>

<file path=docProps/app.xml><?xml version="1.0" encoding="utf-8"?>
<Properties xmlns="http://schemas.openxmlformats.org/officeDocument/2006/extended-properties">
  <Template>Normal.eit</Template>
  <TotalTime>68</TotalTime>
  <Application>Yozo_Office</Application>
  <Pages>37</Pages>
  <Words>8570</Words>
  <Characters>10470</Characters>
  <Lines>1694</Lines>
  <Paragraphs>868</Paragraphs>
  <CharactersWithSpaces>10697</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王明新TIAD</dc:creator>
  <cp:lastModifiedBy>user</cp:lastModifiedBy>
  <cp:revision>21</cp:revision>
  <cp:lastPrinted>2020-07-30T02:37:00Z</cp:lastPrinted>
  <dcterms:created xsi:type="dcterms:W3CDTF">2020-11-27T02:26:00Z</dcterms:created>
  <dcterms:modified xsi:type="dcterms:W3CDTF">2021-05-31T03:07:02Z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2052-11.1.0.10000</vt:lpwstr>
  </property>
</Properties>
</file>