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4" w:name="_GoBack"/>
      <w:r>
        <w:rPr>
          <w:rFonts w:hint="eastAsia" w:ascii="Times New Roman" w:hAnsi="Times New Roman" w:eastAsia="方正小标宋简体" w:cs="Times New Roman"/>
          <w:sz w:val="44"/>
          <w:szCs w:val="44"/>
        </w:rPr>
        <w:t>第二小学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第二小学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2"/>
        <w:widowControl/>
        <w:numPr>
          <w:ilvl w:val="0"/>
          <w:numId w:val="1"/>
        </w:numPr>
        <w:adjustRightInd w:val="0"/>
        <w:spacing w:line="360" w:lineRule="atLeast"/>
        <w:ind w:left="0"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正确</w:t>
      </w:r>
      <w:r>
        <w:rPr>
          <w:rFonts w:hint="eastAsia" w:ascii="仿宋_GB2312" w:eastAsia="仿宋_GB2312" w:cs="宋体" w:hAnsiTheme="majorEastAsia"/>
          <w:sz w:val="32"/>
          <w:szCs w:val="32"/>
        </w:rPr>
        <w:t>贯彻</w:t>
      </w:r>
      <w:r>
        <w:rPr>
          <w:rFonts w:hint="eastAsia" w:ascii="仿宋_GB2312" w:eastAsia="仿宋_GB2312" w:cs="___WRD_EMBED_SUB_38" w:hAnsiTheme="majorEastAsia"/>
          <w:sz w:val="32"/>
          <w:szCs w:val="32"/>
        </w:rPr>
        <w:t>执行</w:t>
      </w:r>
      <w:r>
        <w:rPr>
          <w:rFonts w:hint="eastAsia" w:ascii="仿宋_GB2312" w:eastAsia="仿宋_GB2312" w:cs="宋体" w:hAnsiTheme="majorEastAsia"/>
          <w:sz w:val="32"/>
          <w:szCs w:val="32"/>
        </w:rPr>
        <w:t>党</w:t>
      </w:r>
      <w:r>
        <w:rPr>
          <w:rFonts w:hint="eastAsia" w:ascii="仿宋_GB2312" w:eastAsia="仿宋_GB2312" w:cs="___WRD_EMBED_SUB_38" w:hAnsiTheme="majorEastAsia"/>
          <w:sz w:val="32"/>
          <w:szCs w:val="32"/>
        </w:rPr>
        <w:t>的教育方</w:t>
      </w:r>
      <w:r>
        <w:rPr>
          <w:rFonts w:hint="eastAsia" w:ascii="仿宋_GB2312" w:eastAsia="仿宋_GB2312" w:cs="宋体" w:hAnsiTheme="majorEastAsia"/>
          <w:sz w:val="32"/>
          <w:szCs w:val="32"/>
        </w:rPr>
        <w:t>针</w:t>
      </w:r>
      <w:r>
        <w:rPr>
          <w:rFonts w:hint="eastAsia" w:ascii="仿宋_GB2312" w:eastAsia="仿宋_GB2312" w:cs="___WRD_EMBED_SUB_38" w:hAnsiTheme="majorEastAsia"/>
          <w:sz w:val="32"/>
          <w:szCs w:val="32"/>
        </w:rPr>
        <w:t>、政</w:t>
      </w:r>
      <w:r>
        <w:rPr>
          <w:rFonts w:hint="eastAsia" w:ascii="仿宋_GB2312" w:eastAsia="仿宋_GB2312" w:cs="宋体" w:hAnsiTheme="majorEastAsia"/>
          <w:sz w:val="32"/>
          <w:szCs w:val="32"/>
        </w:rPr>
        <w:t>策</w:t>
      </w:r>
      <w:r>
        <w:rPr>
          <w:rFonts w:hint="eastAsia" w:ascii="仿宋_GB2312" w:eastAsia="仿宋_GB2312" w:cs="___WRD_EMBED_SUB_38" w:hAnsiTheme="majorEastAsia"/>
          <w:sz w:val="32"/>
          <w:szCs w:val="32"/>
        </w:rPr>
        <w:t>、法规。</w:t>
      </w:r>
    </w:p>
    <w:p>
      <w:pPr>
        <w:pStyle w:val="12"/>
        <w:widowControl/>
        <w:adjustRightInd w:val="0"/>
        <w:spacing w:line="520"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（二）维护学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的教学</w:t>
      </w:r>
      <w:r>
        <w:rPr>
          <w:rFonts w:hint="eastAsia" w:ascii="仿宋_GB2312" w:eastAsia="仿宋_GB2312" w:cs="宋体" w:hAnsiTheme="majorEastAsia"/>
          <w:sz w:val="32"/>
          <w:szCs w:val="32"/>
        </w:rPr>
        <w:t>秩序</w:t>
      </w:r>
      <w:r>
        <w:rPr>
          <w:rFonts w:hint="eastAsia" w:ascii="仿宋_GB2312" w:eastAsia="仿宋_GB2312" w:cs="___WRD_EMBED_SUB_38" w:hAnsiTheme="majorEastAsia"/>
          <w:sz w:val="32"/>
          <w:szCs w:val="32"/>
        </w:rPr>
        <w:t>，为学生</w:t>
      </w:r>
      <w:r>
        <w:rPr>
          <w:rFonts w:hint="eastAsia" w:ascii="仿宋_GB2312" w:eastAsia="仿宋_GB2312" w:cs="宋体" w:hAnsiTheme="majorEastAsia"/>
          <w:sz w:val="32"/>
          <w:szCs w:val="32"/>
        </w:rPr>
        <w:t>创造</w:t>
      </w:r>
      <w:r>
        <w:rPr>
          <w:rFonts w:hint="eastAsia" w:ascii="仿宋_GB2312" w:eastAsia="仿宋_GB2312" w:cs="___WRD_EMBED_SUB_38" w:hAnsiTheme="majorEastAsia"/>
          <w:sz w:val="32"/>
          <w:szCs w:val="32"/>
        </w:rPr>
        <w:t>良好的学</w:t>
      </w:r>
      <w:r>
        <w:rPr>
          <w:rFonts w:hint="eastAsia" w:ascii="仿宋_GB2312" w:eastAsia="仿宋_GB2312" w:cs="宋体" w:hAnsiTheme="majorEastAsia"/>
          <w:sz w:val="32"/>
          <w:szCs w:val="32"/>
        </w:rPr>
        <w:t>习环</w:t>
      </w:r>
      <w:r>
        <w:rPr>
          <w:rFonts w:hint="eastAsia" w:ascii="仿宋_GB2312" w:eastAsia="仿宋_GB2312" w:cs="___WRD_EMBED_SUB_38" w:hAnsiTheme="majorEastAsia"/>
          <w:sz w:val="32"/>
          <w:szCs w:val="32"/>
        </w:rPr>
        <w:t>境。</w:t>
      </w:r>
    </w:p>
    <w:p>
      <w:pPr>
        <w:pStyle w:val="12"/>
        <w:widowControl/>
        <w:adjustRightInd w:val="0"/>
        <w:spacing w:line="520"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（三）积</w:t>
      </w:r>
      <w:r>
        <w:rPr>
          <w:rFonts w:hint="eastAsia" w:ascii="仿宋_GB2312" w:eastAsia="仿宋_GB2312" w:cs="宋体" w:hAnsiTheme="majorEastAsia"/>
          <w:sz w:val="32"/>
          <w:szCs w:val="32"/>
        </w:rPr>
        <w:t>极稳妥地推</w:t>
      </w:r>
      <w:r>
        <w:rPr>
          <w:rFonts w:hint="eastAsia" w:ascii="仿宋_GB2312" w:eastAsia="仿宋_GB2312" w:cs="___WRD_EMBED_SUB_38" w:hAnsiTheme="majorEastAsia"/>
          <w:sz w:val="32"/>
          <w:szCs w:val="32"/>
        </w:rPr>
        <w:t>进教育改革，按教育规</w:t>
      </w:r>
      <w:r>
        <w:rPr>
          <w:rFonts w:hint="eastAsia" w:ascii="仿宋_GB2312" w:eastAsia="仿宋_GB2312" w:cs="宋体" w:hAnsiTheme="majorEastAsia"/>
          <w:sz w:val="32"/>
          <w:szCs w:val="32"/>
        </w:rPr>
        <w:t>律</w:t>
      </w:r>
      <w:r>
        <w:rPr>
          <w:rFonts w:hint="eastAsia" w:ascii="仿宋_GB2312" w:eastAsia="仿宋_GB2312" w:cs="___WRD_EMBED_SUB_38" w:hAnsiTheme="majorEastAsia"/>
          <w:sz w:val="32"/>
          <w:szCs w:val="32"/>
        </w:rPr>
        <w:t>办事，不</w:t>
      </w:r>
      <w:r>
        <w:rPr>
          <w:rFonts w:hint="eastAsia" w:ascii="仿宋_GB2312" w:eastAsia="仿宋_GB2312" w:cs="宋体" w:hAnsiTheme="majorEastAsia"/>
          <w:sz w:val="32"/>
          <w:szCs w:val="32"/>
        </w:rPr>
        <w:t>断</w:t>
      </w:r>
      <w:r>
        <w:rPr>
          <w:rFonts w:hint="eastAsia" w:ascii="仿宋_GB2312" w:eastAsia="仿宋_GB2312" w:cs="___WRD_EMBED_SUB_38" w:hAnsiTheme="majorEastAsia"/>
          <w:sz w:val="32"/>
          <w:szCs w:val="32"/>
        </w:rPr>
        <w:t>提</w:t>
      </w:r>
      <w:r>
        <w:rPr>
          <w:rFonts w:hint="eastAsia" w:ascii="仿宋_GB2312" w:eastAsia="仿宋_GB2312" w:cs="宋体" w:hAnsiTheme="majorEastAsia"/>
          <w:sz w:val="32"/>
          <w:szCs w:val="32"/>
        </w:rPr>
        <w:t>高</w:t>
      </w:r>
      <w:r>
        <w:rPr>
          <w:rFonts w:hint="eastAsia" w:ascii="仿宋_GB2312" w:eastAsia="仿宋_GB2312" w:cs="___WRD_EMBED_SUB_38" w:hAnsiTheme="majorEastAsia"/>
          <w:sz w:val="32"/>
          <w:szCs w:val="32"/>
        </w:rPr>
        <w:t>教育质量。</w:t>
      </w:r>
    </w:p>
    <w:p>
      <w:pPr>
        <w:pStyle w:val="12"/>
        <w:widowControl/>
        <w:adjustRightInd w:val="0"/>
        <w:spacing w:line="520"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（四）根据学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规</w:t>
      </w:r>
      <w:r>
        <w:rPr>
          <w:rFonts w:hint="eastAsia" w:ascii="仿宋_GB2312" w:eastAsia="仿宋_GB2312" w:cs="宋体" w:hAnsiTheme="majorEastAsia"/>
          <w:sz w:val="32"/>
          <w:szCs w:val="32"/>
        </w:rPr>
        <w:t>模</w:t>
      </w:r>
      <w:r>
        <w:rPr>
          <w:rFonts w:hint="eastAsia" w:ascii="仿宋_GB2312" w:eastAsia="仿宋_GB2312" w:cs="___WRD_EMBED_SUB_38" w:hAnsiTheme="majorEastAsia"/>
          <w:sz w:val="32"/>
          <w:szCs w:val="32"/>
        </w:rPr>
        <w:t>，设置学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管理机构，建立</w:t>
      </w:r>
      <w:r>
        <w:rPr>
          <w:rFonts w:hint="eastAsia" w:ascii="仿宋_GB2312" w:eastAsia="仿宋_GB2312" w:cs="宋体" w:hAnsiTheme="majorEastAsia"/>
          <w:sz w:val="32"/>
          <w:szCs w:val="32"/>
        </w:rPr>
        <w:t>健</w:t>
      </w:r>
      <w:r>
        <w:rPr>
          <w:rFonts w:hint="eastAsia" w:ascii="仿宋_GB2312" w:eastAsia="仿宋_GB2312" w:cs="___WRD_EMBED_SUB_38" w:hAnsiTheme="majorEastAsia"/>
          <w:sz w:val="32"/>
          <w:szCs w:val="32"/>
        </w:rPr>
        <w:t>全各项规</w:t>
      </w:r>
      <w:r>
        <w:rPr>
          <w:rFonts w:hint="eastAsia" w:ascii="仿宋_GB2312" w:eastAsia="仿宋_GB2312" w:cs="宋体" w:hAnsiTheme="majorEastAsia"/>
          <w:sz w:val="32"/>
          <w:szCs w:val="32"/>
        </w:rPr>
        <w:t>章</w:t>
      </w:r>
      <w:r>
        <w:rPr>
          <w:rFonts w:hint="eastAsia" w:ascii="仿宋_GB2312" w:eastAsia="仿宋_GB2312" w:cs="___WRD_EMBED_SUB_38" w:hAnsiTheme="majorEastAsia"/>
          <w:sz w:val="32"/>
          <w:szCs w:val="32"/>
        </w:rPr>
        <w:t>制度和</w:t>
      </w:r>
      <w:r>
        <w:rPr>
          <w:rFonts w:hint="eastAsia" w:ascii="仿宋_GB2312" w:eastAsia="仿宋_GB2312" w:cs="宋体" w:hAnsiTheme="majorEastAsia"/>
          <w:sz w:val="32"/>
          <w:szCs w:val="32"/>
        </w:rPr>
        <w:t>岗</w:t>
      </w:r>
      <w:r>
        <w:rPr>
          <w:rFonts w:hint="eastAsia" w:ascii="仿宋_GB2312" w:eastAsia="仿宋_GB2312" w:cs="___WRD_EMBED_SUB_38" w:hAnsiTheme="majorEastAsia"/>
          <w:sz w:val="32"/>
          <w:szCs w:val="32"/>
        </w:rPr>
        <w:t>位责任制。</w:t>
      </w:r>
    </w:p>
    <w:p>
      <w:pPr>
        <w:pStyle w:val="12"/>
        <w:widowControl/>
        <w:adjustRightInd w:val="0"/>
        <w:snapToGrid w:val="0"/>
        <w:spacing w:line="520" w:lineRule="exact"/>
        <w:ind w:firstLine="640"/>
        <w:rPr>
          <w:rFonts w:hint="eastAsia" w:ascii="仿宋_GB2312" w:eastAsia="仿宋_GB2312" w:hAnsiTheme="majorEastAsia"/>
          <w:sz w:val="32"/>
          <w:szCs w:val="32"/>
        </w:rPr>
      </w:pPr>
      <w:r>
        <w:rPr>
          <w:rFonts w:hint="eastAsia" w:ascii="仿宋_GB2312" w:eastAsia="仿宋_GB2312" w:hAnsiTheme="majorEastAsia"/>
          <w:sz w:val="32"/>
          <w:szCs w:val="32"/>
        </w:rPr>
        <w:t>（五）坚持教书育人，服务育人，环境育人方针，加强对学生的思想品德教育，使学生的德智体美劳全面发展。</w:t>
      </w:r>
    </w:p>
    <w:p>
      <w:pPr>
        <w:pStyle w:val="12"/>
        <w:widowControl/>
        <w:adjustRightInd w:val="0"/>
        <w:spacing w:line="520"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（六）</w:t>
      </w:r>
      <w:r>
        <w:rPr>
          <w:rFonts w:hint="eastAsia" w:ascii="仿宋_GB2312" w:eastAsia="仿宋_GB2312" w:cs="宋体" w:hAnsiTheme="majorEastAsia"/>
          <w:sz w:val="32"/>
          <w:szCs w:val="32"/>
        </w:rPr>
        <w:t>抓</w:t>
      </w:r>
      <w:r>
        <w:rPr>
          <w:rFonts w:hint="eastAsia" w:ascii="仿宋_GB2312" w:eastAsia="仿宋_GB2312" w:cs="___WRD_EMBED_SUB_38" w:hAnsiTheme="majorEastAsia"/>
          <w:sz w:val="32"/>
          <w:szCs w:val="32"/>
        </w:rPr>
        <w:t>好教</w:t>
      </w:r>
      <w:r>
        <w:rPr>
          <w:rFonts w:hint="eastAsia" w:ascii="仿宋_GB2312" w:eastAsia="仿宋_GB2312" w:cs="宋体" w:hAnsiTheme="majorEastAsia"/>
          <w:sz w:val="32"/>
          <w:szCs w:val="32"/>
        </w:rPr>
        <w:t>师队伍</w:t>
      </w:r>
      <w:r>
        <w:rPr>
          <w:rFonts w:hint="eastAsia" w:ascii="仿宋_GB2312" w:eastAsia="仿宋_GB2312" w:cs="___WRD_EMBED_SUB_38" w:hAnsiTheme="majorEastAsia"/>
          <w:sz w:val="32"/>
          <w:szCs w:val="32"/>
        </w:rPr>
        <w:t>建设，使</w:t>
      </w:r>
      <w:r>
        <w:rPr>
          <w:rFonts w:hint="eastAsia" w:ascii="仿宋_GB2312" w:eastAsia="仿宋_GB2312" w:cs="宋体" w:hAnsiTheme="majorEastAsia"/>
          <w:sz w:val="32"/>
          <w:szCs w:val="32"/>
        </w:rPr>
        <w:t>每</w:t>
      </w:r>
      <w:r>
        <w:rPr>
          <w:rFonts w:hint="eastAsia" w:ascii="仿宋_GB2312" w:eastAsia="仿宋_GB2312" w:cs="___WRD_EMBED_SUB_38" w:hAnsiTheme="majorEastAsia"/>
          <w:sz w:val="32"/>
          <w:szCs w:val="32"/>
        </w:rPr>
        <w:t>个教</w:t>
      </w:r>
      <w:r>
        <w:rPr>
          <w:rFonts w:hint="eastAsia" w:ascii="仿宋_GB2312" w:eastAsia="仿宋_GB2312" w:cs="宋体" w:hAnsiTheme="majorEastAsia"/>
          <w:sz w:val="32"/>
          <w:szCs w:val="32"/>
        </w:rPr>
        <w:t>师都热心</w:t>
      </w:r>
      <w:r>
        <w:rPr>
          <w:rFonts w:hint="eastAsia" w:ascii="仿宋_GB2312" w:eastAsia="仿宋_GB2312" w:cs="___WRD_EMBED_SUB_38" w:hAnsiTheme="majorEastAsia"/>
          <w:sz w:val="32"/>
          <w:szCs w:val="32"/>
        </w:rPr>
        <w:t>于教育事业。</w:t>
      </w:r>
    </w:p>
    <w:p>
      <w:pPr>
        <w:pStyle w:val="12"/>
        <w:adjustRightInd w:val="0"/>
        <w:ind w:firstLine="640"/>
        <w:rPr>
          <w:rFonts w:hint="eastAsia" w:ascii="仿宋_GB2312" w:hAnsi="Times New Roman" w:eastAsia="仿宋_GB2312" w:cs="Times New Roman"/>
          <w:sz w:val="32"/>
          <w:szCs w:val="32"/>
        </w:rPr>
      </w:pPr>
      <w:r>
        <w:rPr>
          <w:rFonts w:hint="eastAsia" w:ascii="仿宋_GB2312" w:eastAsia="仿宋_GB2312" w:hAnsiTheme="majorEastAsia"/>
          <w:sz w:val="32"/>
          <w:szCs w:val="32"/>
        </w:rPr>
        <w:t>（七）</w:t>
      </w:r>
      <w:r>
        <w:rPr>
          <w:rFonts w:hint="eastAsia" w:ascii="仿宋_GB2312" w:eastAsia="仿宋_GB2312" w:cs="宋体" w:hAnsiTheme="majorEastAsia"/>
          <w:sz w:val="32"/>
          <w:szCs w:val="32"/>
        </w:rPr>
        <w:t>做</w:t>
      </w:r>
      <w:r>
        <w:rPr>
          <w:rFonts w:hint="eastAsia" w:ascii="仿宋_GB2312" w:eastAsia="仿宋_GB2312" w:cs="___WRD_EMBED_SUB_38" w:hAnsiTheme="majorEastAsia"/>
          <w:sz w:val="32"/>
          <w:szCs w:val="32"/>
        </w:rPr>
        <w:t>好安全</w:t>
      </w:r>
      <w:r>
        <w:rPr>
          <w:rFonts w:hint="eastAsia" w:ascii="仿宋_GB2312" w:eastAsia="仿宋_GB2312" w:cs="宋体" w:hAnsiTheme="majorEastAsia"/>
          <w:sz w:val="32"/>
          <w:szCs w:val="32"/>
        </w:rPr>
        <w:t>防</w:t>
      </w:r>
      <w:r>
        <w:rPr>
          <w:rFonts w:hint="eastAsia" w:ascii="仿宋_GB2312" w:eastAsia="仿宋_GB2312" w:cs="___WRD_EMBED_SUB_38" w:hAnsiTheme="majorEastAsia"/>
          <w:sz w:val="32"/>
          <w:szCs w:val="32"/>
        </w:rPr>
        <w:t>范，保证学生的人</w:t>
      </w:r>
      <w:r>
        <w:rPr>
          <w:rFonts w:hint="eastAsia" w:ascii="仿宋_GB2312" w:eastAsia="仿宋_GB2312" w:cs="宋体" w:hAnsiTheme="majorEastAsia"/>
          <w:sz w:val="32"/>
          <w:szCs w:val="32"/>
        </w:rPr>
        <w:t>身</w:t>
      </w:r>
      <w:r>
        <w:rPr>
          <w:rFonts w:hint="eastAsia" w:ascii="仿宋_GB2312" w:eastAsia="仿宋_GB2312" w:cs="___WRD_EMBED_SUB_38" w:hAnsiTheme="majorEastAsia"/>
          <w:sz w:val="32"/>
          <w:szCs w:val="32"/>
        </w:rPr>
        <w:t>安全</w:t>
      </w:r>
      <w:r>
        <w:rPr>
          <w:rFonts w:hint="eastAsia" w:ascii="仿宋_GB2312" w:eastAsia="仿宋_GB2312" w:hAnsiTheme="majorEastAsia"/>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 w:cs="Times New Roman"/>
                <w:szCs w:val="21"/>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第二小学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965.55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965.55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965.55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892.69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889.04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10.44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66.07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965.55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10.49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6.45</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廊坊市第二小学坚持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overflowPunct w:val="0"/>
        <w:adjustRightInd w:val="0"/>
        <w:snapToGrid w:val="0"/>
        <w:spacing w:afterLines="50" w:line="580" w:lineRule="exact"/>
        <w:ind w:firstLine="627" w:firstLineChars="196"/>
        <w:jc w:val="left"/>
        <w:rPr>
          <w:rFonts w:ascii="仿宋_GB2312" w:hAnsi="仿宋" w:eastAsia="仿宋_GB2312" w:cs="宋体"/>
          <w:sz w:val="32"/>
          <w:szCs w:val="32"/>
        </w:rPr>
      </w:pPr>
      <w:r>
        <w:rPr>
          <w:rFonts w:hint="eastAsia" w:ascii="仿宋_GB2312" w:hAnsi="仿宋" w:eastAsia="仿宋_GB2312" w:cs="宋体"/>
          <w:sz w:val="32"/>
          <w:szCs w:val="32"/>
        </w:rPr>
        <w:t>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3" w:firstLineChars="200"/>
        <w:rPr>
          <w:rFonts w:ascii="仿宋_GB2312" w:hAnsi="黑体" w:eastAsia="仿宋_GB2312" w:cs="Times New Roman"/>
          <w:b/>
          <w:sz w:val="32"/>
          <w:szCs w:val="32"/>
        </w:rPr>
      </w:pPr>
      <w:r>
        <w:rPr>
          <w:rFonts w:hint="eastAsia" w:ascii="仿宋_GB2312" w:hAnsi="黑体" w:eastAsia="仿宋_GB2312" w:cs="Times New Roman"/>
          <w:b/>
          <w:sz w:val="32"/>
          <w:szCs w:val="32"/>
        </w:rPr>
        <w:t>1.全面提升教师专业能力、道德素养</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加强师德师风建设，提高教师业务水平，创建校本课程，为学生成长提供良好教育环境。</w:t>
      </w:r>
    </w:p>
    <w:p>
      <w:pPr>
        <w:spacing w:line="584" w:lineRule="exact"/>
        <w:ind w:firstLine="643" w:firstLineChars="200"/>
        <w:rPr>
          <w:rFonts w:ascii="仿宋_GB2312" w:hAnsi="黑体" w:eastAsia="仿宋_GB2312" w:cs="Times New Roman"/>
          <w:b/>
          <w:sz w:val="32"/>
          <w:szCs w:val="32"/>
        </w:rPr>
      </w:pPr>
      <w:r>
        <w:rPr>
          <w:rFonts w:hint="eastAsia" w:ascii="仿宋_GB2312" w:hAnsi="黑体" w:eastAsia="仿宋_GB2312" w:cs="Times New Roman"/>
          <w:b/>
          <w:sz w:val="32"/>
          <w:szCs w:val="32"/>
        </w:rPr>
        <w:t>2.打造平安校园</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通过安全网格化管理实施，加强学校信息化水平，提升校园安全系数，增强与家长联系，从而为学生提供一个安全放心的校园环境。</w:t>
      </w:r>
    </w:p>
    <w:p>
      <w:pPr>
        <w:spacing w:line="584" w:lineRule="exact"/>
        <w:ind w:firstLine="643" w:firstLineChars="200"/>
        <w:rPr>
          <w:rFonts w:ascii="仿宋_GB2312" w:hAnsi="黑体" w:eastAsia="仿宋_GB2312" w:cs="Times New Roman"/>
          <w:b/>
          <w:sz w:val="32"/>
          <w:szCs w:val="32"/>
        </w:rPr>
      </w:pPr>
      <w:r>
        <w:rPr>
          <w:rFonts w:hint="eastAsia" w:ascii="仿宋_GB2312" w:hAnsi="黑体" w:eastAsia="仿宋_GB2312" w:cs="Times New Roman"/>
          <w:b/>
          <w:sz w:val="32"/>
          <w:szCs w:val="32"/>
        </w:rPr>
        <w:t>3.完善财务制度建设</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结合２０20年工作开展情况，进一步查漏补缺，完善工作制度，制定完善的预算绩效管理制度、资金管理办法等，为全年预算绩效目标的实现奠定坚实的基础。</w:t>
      </w:r>
    </w:p>
    <w:p>
      <w:pPr>
        <w:numPr>
          <w:ilvl w:val="0"/>
          <w:numId w:val="2"/>
        </w:numPr>
        <w:spacing w:line="584" w:lineRule="exact"/>
        <w:ind w:firstLine="643" w:firstLineChars="200"/>
        <w:rPr>
          <w:rFonts w:ascii="仿宋_GB2312" w:hAnsi="黑体" w:eastAsia="仿宋_GB2312" w:cs="Times New Roman"/>
          <w:b/>
          <w:sz w:val="32"/>
          <w:szCs w:val="32"/>
        </w:rPr>
      </w:pPr>
      <w:r>
        <w:rPr>
          <w:rFonts w:hint="eastAsia" w:ascii="仿宋_GB2312" w:hAnsi="黑体" w:eastAsia="仿宋_GB2312" w:cs="Times New Roman"/>
          <w:b/>
          <w:sz w:val="32"/>
          <w:szCs w:val="32"/>
        </w:rPr>
        <w:t>加强支出管理</w:t>
      </w:r>
    </w:p>
    <w:p>
      <w:pPr>
        <w:spacing w:line="584" w:lineRule="exact"/>
        <w:ind w:firstLine="640" w:firstLineChars="200"/>
        <w:rPr>
          <w:rFonts w:ascii="楷体_GB2312" w:eastAsia="楷体_GB2312" w:cs="Times New Roman"/>
          <w:b/>
          <w:sz w:val="32"/>
          <w:szCs w:val="32"/>
        </w:rPr>
      </w:pPr>
      <w:r>
        <w:rPr>
          <w:rFonts w:hint="eastAsia" w:ascii="仿宋_GB2312" w:hAnsi="黑体" w:eastAsia="仿宋_GB2312" w:cs="Times New Roman"/>
          <w:sz w:val="32"/>
          <w:szCs w:val="32"/>
        </w:rPr>
        <w:t>预算确定下达后，按计划将预算项目按月梳理，实时关注工作进度。对支出进度慢的项目重点督进。争取</w:t>
      </w:r>
      <w:r>
        <w:rPr>
          <w:rFonts w:ascii="仿宋_GB2312" w:hAnsi="黑体" w:eastAsia="仿宋_GB2312" w:cs="Times New Roman"/>
          <w:sz w:val="32"/>
          <w:szCs w:val="32"/>
        </w:rPr>
        <w:t>202</w:t>
      </w:r>
      <w:r>
        <w:rPr>
          <w:rFonts w:hint="eastAsia" w:ascii="仿宋_GB2312" w:hAnsi="黑体" w:eastAsia="仿宋_GB2312" w:cs="Times New Roman"/>
          <w:sz w:val="32"/>
          <w:szCs w:val="32"/>
        </w:rPr>
        <w:t>1年</w:t>
      </w:r>
      <w:r>
        <w:rPr>
          <w:rFonts w:ascii="仿宋_GB2312" w:hAnsi="黑体" w:eastAsia="仿宋_GB2312" w:cs="Times New Roman"/>
          <w:sz w:val="32"/>
          <w:szCs w:val="32"/>
        </w:rPr>
        <w:t>6</w:t>
      </w:r>
      <w:r>
        <w:rPr>
          <w:rFonts w:hint="eastAsia" w:ascii="仿宋_GB2312" w:hAnsi="黑体" w:eastAsia="仿宋_GB2312" w:cs="Times New Roman"/>
          <w:sz w:val="32"/>
          <w:szCs w:val="32"/>
        </w:rPr>
        <w:t>月底前完成支出进度的</w:t>
      </w:r>
      <w:r>
        <w:rPr>
          <w:rFonts w:ascii="仿宋_GB2312" w:hAnsi="黑体" w:eastAsia="仿宋_GB2312" w:cs="Times New Roman"/>
          <w:sz w:val="32"/>
          <w:szCs w:val="32"/>
        </w:rPr>
        <w:t>60%,10</w:t>
      </w:r>
      <w:r>
        <w:rPr>
          <w:rFonts w:hint="eastAsia" w:ascii="仿宋_GB2312" w:hAnsi="黑体" w:eastAsia="仿宋_GB2312" w:cs="Times New Roman"/>
          <w:sz w:val="32"/>
          <w:szCs w:val="32"/>
        </w:rPr>
        <w:t>月底前完成支出进度的</w:t>
      </w:r>
      <w:r>
        <w:rPr>
          <w:rFonts w:ascii="仿宋_GB2312" w:hAnsi="黑体" w:eastAsia="仿宋_GB2312" w:cs="Times New Roman"/>
          <w:sz w:val="32"/>
          <w:szCs w:val="32"/>
        </w:rPr>
        <w:t>90%,</w:t>
      </w:r>
      <w:r>
        <w:rPr>
          <w:rFonts w:hint="eastAsia" w:ascii="仿宋_GB2312" w:hAnsi="黑体" w:eastAsia="仿宋_GB2312" w:cs="Times New Roman"/>
          <w:sz w:val="32"/>
          <w:szCs w:val="32"/>
        </w:rPr>
        <w:t>年底前完成支出进度的</w:t>
      </w:r>
      <w:r>
        <w:rPr>
          <w:rFonts w:ascii="仿宋_GB2312" w:hAnsi="黑体" w:eastAsia="仿宋_GB2312" w:cs="Times New Roman"/>
          <w:sz w:val="32"/>
          <w:szCs w:val="32"/>
        </w:rPr>
        <w:t>100%</w:t>
      </w:r>
      <w:r>
        <w:rPr>
          <w:rFonts w:hint="eastAsia" w:ascii="仿宋_GB2312" w:hAnsi="黑体" w:eastAsia="仿宋_GB2312" w:cs="Times New Roman"/>
          <w:sz w:val="32"/>
          <w:szCs w:val="32"/>
        </w:rPr>
        <w:t>。</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pPr w:leftFromText="180" w:rightFromText="180" w:vertAnchor="text" w:horzAnchor="page" w:tblpXSpec="center" w:tblpY="2645"/>
        <w:tblOverlap w:val="never"/>
        <w:tblW w:w="10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50"/>
        <w:gridCol w:w="1100"/>
        <w:gridCol w:w="1508"/>
        <w:gridCol w:w="1560"/>
        <w:gridCol w:w="1417"/>
        <w:gridCol w:w="567"/>
        <w:gridCol w:w="709"/>
        <w:gridCol w:w="5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950" w:type="dxa"/>
            <w:vMerge w:val="restart"/>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一级指标</w:t>
            </w:r>
          </w:p>
        </w:tc>
        <w:tc>
          <w:tcPr>
            <w:tcW w:w="1100" w:type="dxa"/>
            <w:vMerge w:val="restart"/>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二级</w:t>
            </w:r>
          </w:p>
          <w:p>
            <w:pPr>
              <w:widowControl/>
              <w:adjustRightInd w:val="0"/>
              <w:snapToGrid w:val="0"/>
              <w:jc w:val="center"/>
              <w:rPr>
                <w:rFonts w:ascii="黑体" w:hAnsi="黑体" w:eastAsia="黑体" w:cs="黑体"/>
                <w:b/>
              </w:rPr>
            </w:pPr>
            <w:r>
              <w:rPr>
                <w:rFonts w:hint="eastAsia" w:ascii="黑体" w:hAnsi="黑体" w:eastAsia="黑体" w:cs="黑体"/>
                <w:b/>
              </w:rPr>
              <w:t>指标</w:t>
            </w:r>
          </w:p>
        </w:tc>
        <w:tc>
          <w:tcPr>
            <w:tcW w:w="1508" w:type="dxa"/>
            <w:vMerge w:val="restart"/>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三级</w:t>
            </w:r>
          </w:p>
          <w:p>
            <w:pPr>
              <w:widowControl/>
              <w:adjustRightInd w:val="0"/>
              <w:snapToGrid w:val="0"/>
              <w:jc w:val="center"/>
              <w:rPr>
                <w:rFonts w:ascii="黑体" w:hAnsi="黑体" w:eastAsia="黑体" w:cs="黑体"/>
                <w:b/>
              </w:rPr>
            </w:pPr>
            <w:r>
              <w:rPr>
                <w:rFonts w:hint="eastAsia" w:ascii="黑体" w:hAnsi="黑体" w:eastAsia="黑体" w:cs="黑体"/>
                <w:b/>
              </w:rPr>
              <w:t>指标</w:t>
            </w:r>
          </w:p>
        </w:tc>
        <w:tc>
          <w:tcPr>
            <w:tcW w:w="1560" w:type="dxa"/>
            <w:vMerge w:val="restart"/>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评（扣）分标准</w:t>
            </w:r>
          </w:p>
        </w:tc>
        <w:tc>
          <w:tcPr>
            <w:tcW w:w="1417" w:type="dxa"/>
            <w:vMerge w:val="restart"/>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绩效指标</w:t>
            </w:r>
          </w:p>
          <w:p>
            <w:pPr>
              <w:widowControl/>
              <w:adjustRightInd w:val="0"/>
              <w:snapToGrid w:val="0"/>
              <w:jc w:val="center"/>
              <w:rPr>
                <w:rFonts w:ascii="黑体" w:hAnsi="黑体" w:eastAsia="黑体" w:cs="黑体"/>
                <w:b/>
              </w:rPr>
            </w:pPr>
            <w:r>
              <w:rPr>
                <w:rFonts w:hint="eastAsia" w:ascii="黑体" w:hAnsi="黑体" w:eastAsia="黑体" w:cs="黑体"/>
                <w:b/>
              </w:rPr>
              <w:t>描述</w:t>
            </w:r>
          </w:p>
        </w:tc>
        <w:tc>
          <w:tcPr>
            <w:tcW w:w="1843" w:type="dxa"/>
            <w:gridSpan w:val="3"/>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指标值</w:t>
            </w:r>
          </w:p>
        </w:tc>
        <w:tc>
          <w:tcPr>
            <w:tcW w:w="2268" w:type="dxa"/>
            <w:vMerge w:val="restart"/>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指标值</w:t>
            </w:r>
          </w:p>
          <w:p>
            <w:pPr>
              <w:widowControl/>
              <w:adjustRightInd w:val="0"/>
              <w:snapToGrid w:val="0"/>
              <w:jc w:val="center"/>
              <w:rPr>
                <w:rFonts w:ascii="黑体" w:hAnsi="黑体" w:eastAsia="黑体" w:cs="黑体"/>
                <w:b/>
              </w:rPr>
            </w:pPr>
            <w:r>
              <w:rPr>
                <w:rFonts w:hint="eastAsia" w:ascii="黑体" w:hAnsi="黑体" w:eastAsia="黑体" w:cs="黑体"/>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950" w:type="dxa"/>
            <w:vMerge w:val="continue"/>
            <w:tcBorders>
              <w:tl2br w:val="nil"/>
              <w:tr2bl w:val="nil"/>
            </w:tcBorders>
            <w:vAlign w:val="center"/>
          </w:tcPr>
          <w:p>
            <w:pPr>
              <w:rPr>
                <w:rFonts w:ascii="黑体" w:hAnsi="黑体" w:eastAsia="黑体" w:cs="黑体"/>
              </w:rPr>
            </w:pPr>
          </w:p>
        </w:tc>
        <w:tc>
          <w:tcPr>
            <w:tcW w:w="1100" w:type="dxa"/>
            <w:vMerge w:val="continue"/>
            <w:tcBorders>
              <w:tl2br w:val="nil"/>
              <w:tr2bl w:val="nil"/>
            </w:tcBorders>
            <w:vAlign w:val="center"/>
          </w:tcPr>
          <w:p>
            <w:pPr>
              <w:rPr>
                <w:rFonts w:ascii="黑体" w:hAnsi="黑体" w:eastAsia="黑体" w:cs="黑体"/>
              </w:rPr>
            </w:pPr>
          </w:p>
        </w:tc>
        <w:tc>
          <w:tcPr>
            <w:tcW w:w="1508" w:type="dxa"/>
            <w:vMerge w:val="continue"/>
            <w:tcBorders>
              <w:tl2br w:val="nil"/>
              <w:tr2bl w:val="nil"/>
            </w:tcBorders>
            <w:vAlign w:val="center"/>
          </w:tcPr>
          <w:p>
            <w:pPr>
              <w:rPr>
                <w:rFonts w:ascii="黑体" w:hAnsi="黑体" w:eastAsia="黑体" w:cs="黑体"/>
              </w:rPr>
            </w:pPr>
          </w:p>
        </w:tc>
        <w:tc>
          <w:tcPr>
            <w:tcW w:w="1560" w:type="dxa"/>
            <w:vMerge w:val="continue"/>
            <w:tcBorders>
              <w:tl2br w:val="nil"/>
              <w:tr2bl w:val="nil"/>
            </w:tcBorders>
            <w:vAlign w:val="center"/>
          </w:tcPr>
          <w:p>
            <w:pPr>
              <w:rPr>
                <w:rFonts w:ascii="黑体" w:hAnsi="黑体" w:eastAsia="黑体" w:cs="黑体"/>
              </w:rPr>
            </w:pPr>
          </w:p>
        </w:tc>
        <w:tc>
          <w:tcPr>
            <w:tcW w:w="1417" w:type="dxa"/>
            <w:vMerge w:val="continue"/>
            <w:tcBorders>
              <w:tl2br w:val="nil"/>
              <w:tr2bl w:val="nil"/>
            </w:tcBorders>
            <w:vAlign w:val="center"/>
          </w:tcPr>
          <w:p>
            <w:pPr>
              <w:rPr>
                <w:rFonts w:ascii="黑体" w:hAnsi="黑体" w:eastAsia="黑体" w:cs="黑体"/>
              </w:rPr>
            </w:pPr>
          </w:p>
        </w:tc>
        <w:tc>
          <w:tcPr>
            <w:tcW w:w="567" w:type="dxa"/>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符号</w:t>
            </w:r>
          </w:p>
        </w:tc>
        <w:tc>
          <w:tcPr>
            <w:tcW w:w="709" w:type="dxa"/>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值</w:t>
            </w:r>
          </w:p>
        </w:tc>
        <w:tc>
          <w:tcPr>
            <w:tcW w:w="567" w:type="dxa"/>
            <w:tcBorders>
              <w:tl2br w:val="nil"/>
              <w:tr2bl w:val="nil"/>
            </w:tcBorders>
            <w:vAlign w:val="center"/>
          </w:tcPr>
          <w:p>
            <w:pPr>
              <w:widowControl/>
              <w:adjustRightInd w:val="0"/>
              <w:snapToGrid w:val="0"/>
              <w:jc w:val="center"/>
              <w:rPr>
                <w:rFonts w:ascii="黑体" w:hAnsi="黑体" w:eastAsia="黑体" w:cs="黑体"/>
                <w:b/>
              </w:rPr>
            </w:pPr>
            <w:r>
              <w:rPr>
                <w:rFonts w:hint="eastAsia" w:ascii="黑体" w:hAnsi="黑体" w:eastAsia="黑体" w:cs="黑体"/>
                <w:b/>
              </w:rPr>
              <w:t>单位</w:t>
            </w:r>
          </w:p>
        </w:tc>
        <w:tc>
          <w:tcPr>
            <w:tcW w:w="2268" w:type="dxa"/>
            <w:vMerge w:val="continue"/>
            <w:tcBorders>
              <w:tl2br w:val="nil"/>
              <w:tr2bl w:val="nil"/>
            </w:tcBorders>
            <w:vAlign w:val="center"/>
          </w:tcPr>
          <w:p>
            <w:pP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950" w:type="dxa"/>
            <w:vMerge w:val="restart"/>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部门产出</w:t>
            </w:r>
          </w:p>
        </w:tc>
        <w:tc>
          <w:tcPr>
            <w:tcW w:w="1100" w:type="dxa"/>
            <w:vMerge w:val="restart"/>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数量</w:t>
            </w:r>
          </w:p>
        </w:tc>
        <w:tc>
          <w:tcPr>
            <w:tcW w:w="1508"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color w:val="000000"/>
                <w:kern w:val="0"/>
                <w:szCs w:val="21"/>
              </w:rPr>
              <w:t>义务教育教师培训人次</w:t>
            </w:r>
          </w:p>
        </w:tc>
        <w:tc>
          <w:tcPr>
            <w:tcW w:w="1560"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每少5人，扣权重分值5%，扣完为止</w:t>
            </w:r>
          </w:p>
        </w:tc>
        <w:tc>
          <w:tcPr>
            <w:tcW w:w="1417" w:type="dxa"/>
            <w:tcBorders>
              <w:tl2br w:val="nil"/>
              <w:tr2bl w:val="nil"/>
            </w:tcBorders>
            <w:vAlign w:val="center"/>
          </w:tcPr>
          <w:p>
            <w:pPr>
              <w:widowControl/>
              <w:adjustRightInd w:val="0"/>
              <w:snapToGrid w:val="0"/>
              <w:rPr>
                <w:rFonts w:ascii="黑体" w:hAnsi="黑体" w:eastAsia="黑体" w:cs="黑体"/>
              </w:rPr>
            </w:pPr>
            <w:r>
              <w:rPr>
                <w:rFonts w:hint="eastAsia" w:ascii="黑体" w:hAnsi="黑体" w:eastAsia="黑体" w:cs="黑体"/>
              </w:rPr>
              <w:t>考察参加培训教师数量</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w:t>
            </w:r>
          </w:p>
        </w:tc>
        <w:tc>
          <w:tcPr>
            <w:tcW w:w="709"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26</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人</w:t>
            </w:r>
          </w:p>
        </w:tc>
        <w:tc>
          <w:tcPr>
            <w:tcW w:w="2268" w:type="dxa"/>
            <w:tcBorders>
              <w:tl2br w:val="nil"/>
              <w:tr2bl w:val="nil"/>
            </w:tcBorders>
            <w:vAlign w:val="center"/>
          </w:tcPr>
          <w:p>
            <w:pPr>
              <w:widowControl/>
              <w:adjustRightInd w:val="0"/>
              <w:snapToGrid w:val="0"/>
              <w:textAlignment w:val="center"/>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pPr>
              <w:rPr>
                <w:rFonts w:ascii="黑体" w:hAnsi="黑体" w:eastAsia="黑体" w:cs="黑体"/>
              </w:rPr>
            </w:pPr>
          </w:p>
        </w:tc>
        <w:tc>
          <w:tcPr>
            <w:tcW w:w="1100" w:type="dxa"/>
            <w:vMerge w:val="continue"/>
            <w:tcBorders>
              <w:tl2br w:val="nil"/>
              <w:tr2bl w:val="nil"/>
            </w:tcBorders>
            <w:vAlign w:val="center"/>
          </w:tcPr>
          <w:p>
            <w:pPr>
              <w:widowControl/>
              <w:adjustRightInd w:val="0"/>
              <w:snapToGrid w:val="0"/>
              <w:jc w:val="center"/>
              <w:rPr>
                <w:rFonts w:ascii="黑体" w:hAnsi="黑体" w:eastAsia="黑体" w:cs="黑体"/>
              </w:rPr>
            </w:pPr>
          </w:p>
        </w:tc>
        <w:tc>
          <w:tcPr>
            <w:tcW w:w="1508" w:type="dxa"/>
            <w:tcBorders>
              <w:tl2br w:val="nil"/>
              <w:tr2bl w:val="nil"/>
            </w:tcBorders>
            <w:vAlign w:val="center"/>
          </w:tcPr>
          <w:p>
            <w:pPr>
              <w:widowControl/>
              <w:spacing w:line="300" w:lineRule="exact"/>
              <w:jc w:val="left"/>
              <w:textAlignment w:val="center"/>
              <w:rPr>
                <w:rFonts w:ascii="黑体" w:hAnsi="黑体" w:eastAsia="黑体" w:cs="黑体"/>
                <w:color w:val="000000"/>
                <w:kern w:val="0"/>
                <w:szCs w:val="21"/>
              </w:rPr>
            </w:pPr>
            <w:r>
              <w:rPr>
                <w:rFonts w:hint="eastAsia" w:ascii="黑体" w:hAnsi="黑体" w:eastAsia="黑体" w:cs="黑体"/>
                <w:szCs w:val="21"/>
              </w:rPr>
              <w:t>上级下达学校的各项工作任务完成率</w:t>
            </w:r>
          </w:p>
        </w:tc>
        <w:tc>
          <w:tcPr>
            <w:tcW w:w="1560" w:type="dxa"/>
            <w:tcBorders>
              <w:tl2br w:val="nil"/>
              <w:tr2bl w:val="nil"/>
            </w:tcBorders>
            <w:vAlign w:val="center"/>
          </w:tcPr>
          <w:p>
            <w:pPr>
              <w:widowControl/>
              <w:spacing w:line="300" w:lineRule="exact"/>
              <w:jc w:val="left"/>
              <w:textAlignment w:val="center"/>
              <w:rPr>
                <w:rFonts w:ascii="黑体" w:hAnsi="黑体" w:eastAsia="黑体" w:cs="黑体"/>
                <w:color w:val="000000"/>
                <w:kern w:val="0"/>
                <w:szCs w:val="21"/>
              </w:rPr>
            </w:pPr>
            <w:r>
              <w:rPr>
                <w:rFonts w:hint="eastAsia" w:ascii="黑体" w:hAnsi="黑体" w:eastAsia="黑体" w:cs="黑体"/>
              </w:rPr>
              <w:t>每少完成5项，扣权重分值5%，扣完为止</w:t>
            </w:r>
          </w:p>
        </w:tc>
        <w:tc>
          <w:tcPr>
            <w:tcW w:w="1417"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szCs w:val="21"/>
              </w:rPr>
              <w:t>保证完成上级下达学校的各项工作任务</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w:t>
            </w:r>
          </w:p>
        </w:tc>
        <w:tc>
          <w:tcPr>
            <w:tcW w:w="709"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100</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w:t>
            </w:r>
          </w:p>
        </w:tc>
        <w:tc>
          <w:tcPr>
            <w:tcW w:w="2268"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pPr>
              <w:rPr>
                <w:rFonts w:ascii="黑体" w:hAnsi="黑体" w:eastAsia="黑体" w:cs="黑体"/>
              </w:rPr>
            </w:pPr>
          </w:p>
        </w:tc>
        <w:tc>
          <w:tcPr>
            <w:tcW w:w="1100" w:type="dxa"/>
            <w:vMerge w:val="continue"/>
            <w:tcBorders>
              <w:tl2br w:val="nil"/>
              <w:tr2bl w:val="nil"/>
            </w:tcBorders>
            <w:vAlign w:val="center"/>
          </w:tcPr>
          <w:p>
            <w:pPr>
              <w:widowControl/>
              <w:adjustRightInd w:val="0"/>
              <w:snapToGrid w:val="0"/>
              <w:jc w:val="center"/>
              <w:rPr>
                <w:rFonts w:ascii="黑体" w:hAnsi="黑体" w:eastAsia="黑体" w:cs="黑体"/>
              </w:rPr>
            </w:pPr>
          </w:p>
        </w:tc>
        <w:tc>
          <w:tcPr>
            <w:tcW w:w="1508"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购置图书数量</w:t>
            </w:r>
          </w:p>
        </w:tc>
        <w:tc>
          <w:tcPr>
            <w:tcW w:w="1560"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每少100册，扣权重分值5%，扣完为止</w:t>
            </w:r>
          </w:p>
        </w:tc>
        <w:tc>
          <w:tcPr>
            <w:tcW w:w="1417" w:type="dxa"/>
            <w:tcBorders>
              <w:tl2br w:val="nil"/>
              <w:tr2bl w:val="nil"/>
            </w:tcBorders>
            <w:vAlign w:val="center"/>
          </w:tcPr>
          <w:p>
            <w:pPr>
              <w:widowControl/>
              <w:adjustRightInd w:val="0"/>
              <w:snapToGrid w:val="0"/>
              <w:rPr>
                <w:rFonts w:ascii="黑体" w:hAnsi="黑体" w:eastAsia="黑体" w:cs="黑体"/>
              </w:rPr>
            </w:pPr>
            <w:r>
              <w:rPr>
                <w:rFonts w:hint="eastAsia" w:ascii="黑体" w:hAnsi="黑体" w:eastAsia="黑体" w:cs="黑体"/>
              </w:rPr>
              <w:t>考察购置图书数量情况</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w:t>
            </w:r>
          </w:p>
        </w:tc>
        <w:tc>
          <w:tcPr>
            <w:tcW w:w="709"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500</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册</w:t>
            </w:r>
          </w:p>
        </w:tc>
        <w:tc>
          <w:tcPr>
            <w:tcW w:w="2268" w:type="dxa"/>
            <w:tcBorders>
              <w:tl2br w:val="nil"/>
              <w:tr2bl w:val="nil"/>
            </w:tcBorders>
            <w:vAlign w:val="center"/>
          </w:tcPr>
          <w:p>
            <w:pPr>
              <w:widowControl/>
              <w:adjustRightInd w:val="0"/>
              <w:snapToGrid w:val="0"/>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pPr>
              <w:rPr>
                <w:rFonts w:ascii="黑体" w:hAnsi="黑体" w:eastAsia="黑体" w:cs="黑体"/>
              </w:rPr>
            </w:pPr>
          </w:p>
        </w:tc>
        <w:tc>
          <w:tcPr>
            <w:tcW w:w="1100" w:type="dxa"/>
            <w:vMerge w:val="restart"/>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质量</w:t>
            </w:r>
          </w:p>
        </w:tc>
        <w:tc>
          <w:tcPr>
            <w:tcW w:w="1508"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教师培训合格率</w:t>
            </w:r>
          </w:p>
        </w:tc>
        <w:tc>
          <w:tcPr>
            <w:tcW w:w="1560"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每降低5%，扣权重分值5%，扣完为止</w:t>
            </w:r>
          </w:p>
        </w:tc>
        <w:tc>
          <w:tcPr>
            <w:tcW w:w="1417"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反映培训合格教师与参加培训教师数量比</w:t>
            </w:r>
          </w:p>
        </w:tc>
        <w:tc>
          <w:tcPr>
            <w:tcW w:w="567" w:type="dxa"/>
            <w:tcBorders>
              <w:tl2br w:val="nil"/>
              <w:tr2bl w:val="nil"/>
            </w:tcBorders>
            <w:vAlign w:val="center"/>
          </w:tcPr>
          <w:p>
            <w:pPr>
              <w:widowControl/>
              <w:adjustRightInd w:val="0"/>
              <w:snapToGrid w:val="0"/>
              <w:spacing w:line="300" w:lineRule="exact"/>
              <w:jc w:val="center"/>
              <w:rPr>
                <w:rFonts w:ascii="黑体" w:hAnsi="黑体" w:eastAsia="黑体" w:cs="黑体"/>
              </w:rPr>
            </w:pPr>
            <w:r>
              <w:rPr>
                <w:rFonts w:hint="eastAsia" w:ascii="黑体" w:hAnsi="黑体" w:eastAsia="黑体" w:cs="黑体"/>
              </w:rPr>
              <w:t>≥</w:t>
            </w:r>
          </w:p>
        </w:tc>
        <w:tc>
          <w:tcPr>
            <w:tcW w:w="709" w:type="dxa"/>
            <w:tcBorders>
              <w:tl2br w:val="nil"/>
              <w:tr2bl w:val="nil"/>
            </w:tcBorders>
            <w:vAlign w:val="center"/>
          </w:tcPr>
          <w:p>
            <w:pPr>
              <w:widowControl/>
              <w:adjustRightInd w:val="0"/>
              <w:snapToGrid w:val="0"/>
              <w:spacing w:line="300" w:lineRule="exact"/>
              <w:jc w:val="center"/>
              <w:rPr>
                <w:rFonts w:ascii="黑体" w:hAnsi="黑体" w:eastAsia="黑体" w:cs="黑体"/>
              </w:rPr>
            </w:pPr>
            <w:r>
              <w:rPr>
                <w:rFonts w:hint="eastAsia" w:ascii="黑体" w:hAnsi="黑体" w:eastAsia="黑体" w:cs="黑体"/>
              </w:rPr>
              <w:t>95</w:t>
            </w:r>
          </w:p>
        </w:tc>
        <w:tc>
          <w:tcPr>
            <w:tcW w:w="567" w:type="dxa"/>
            <w:tcBorders>
              <w:tl2br w:val="nil"/>
              <w:tr2bl w:val="nil"/>
            </w:tcBorders>
            <w:vAlign w:val="center"/>
          </w:tcPr>
          <w:p>
            <w:pPr>
              <w:widowControl/>
              <w:adjustRightInd w:val="0"/>
              <w:snapToGrid w:val="0"/>
              <w:spacing w:line="300" w:lineRule="exact"/>
              <w:jc w:val="center"/>
              <w:rPr>
                <w:rFonts w:ascii="黑体" w:hAnsi="黑体" w:eastAsia="黑体" w:cs="黑体"/>
              </w:rPr>
            </w:pPr>
            <w:r>
              <w:rPr>
                <w:rFonts w:hint="eastAsia" w:ascii="黑体" w:hAnsi="黑体" w:eastAsia="黑体" w:cs="黑体"/>
              </w:rPr>
              <w:t>%</w:t>
            </w:r>
          </w:p>
        </w:tc>
        <w:tc>
          <w:tcPr>
            <w:tcW w:w="2268"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950" w:type="dxa"/>
            <w:vMerge w:val="continue"/>
            <w:tcBorders>
              <w:tl2br w:val="nil"/>
              <w:tr2bl w:val="nil"/>
            </w:tcBorders>
            <w:vAlign w:val="center"/>
          </w:tcPr>
          <w:p>
            <w:pPr>
              <w:rPr>
                <w:rFonts w:ascii="黑体" w:hAnsi="黑体" w:eastAsia="黑体" w:cs="黑体"/>
              </w:rPr>
            </w:pPr>
          </w:p>
        </w:tc>
        <w:tc>
          <w:tcPr>
            <w:tcW w:w="1100" w:type="dxa"/>
            <w:vMerge w:val="continue"/>
            <w:tcBorders>
              <w:tl2br w:val="nil"/>
              <w:tr2bl w:val="nil"/>
            </w:tcBorders>
            <w:vAlign w:val="center"/>
          </w:tcPr>
          <w:p>
            <w:pPr>
              <w:widowControl/>
              <w:adjustRightInd w:val="0"/>
              <w:snapToGrid w:val="0"/>
              <w:jc w:val="center"/>
              <w:rPr>
                <w:rFonts w:ascii="黑体" w:hAnsi="黑体" w:eastAsia="黑体" w:cs="黑体"/>
              </w:rPr>
            </w:pPr>
          </w:p>
        </w:tc>
        <w:tc>
          <w:tcPr>
            <w:tcW w:w="1508" w:type="dxa"/>
            <w:tcBorders>
              <w:tl2br w:val="nil"/>
              <w:tr2bl w:val="nil"/>
            </w:tcBorders>
            <w:vAlign w:val="center"/>
          </w:tcPr>
          <w:p>
            <w:pPr>
              <w:widowControl/>
              <w:spacing w:line="300" w:lineRule="exact"/>
              <w:jc w:val="left"/>
              <w:textAlignment w:val="center"/>
              <w:rPr>
                <w:rFonts w:ascii="黑体" w:hAnsi="黑体" w:eastAsia="黑体" w:cs="黑体"/>
                <w:color w:val="000000"/>
                <w:kern w:val="0"/>
                <w:szCs w:val="21"/>
              </w:rPr>
            </w:pPr>
            <w:r>
              <w:rPr>
                <w:rFonts w:hint="eastAsia" w:ascii="黑体" w:hAnsi="黑体" w:eastAsia="黑体" w:cs="黑体"/>
                <w:color w:val="000000"/>
                <w:kern w:val="0"/>
                <w:szCs w:val="21"/>
              </w:rPr>
              <w:t>物资采购合格率</w:t>
            </w:r>
          </w:p>
        </w:tc>
        <w:tc>
          <w:tcPr>
            <w:tcW w:w="1560" w:type="dxa"/>
            <w:tcBorders>
              <w:tl2br w:val="nil"/>
              <w:tr2bl w:val="nil"/>
            </w:tcBorders>
            <w:vAlign w:val="center"/>
          </w:tcPr>
          <w:p>
            <w:pPr>
              <w:widowControl/>
              <w:spacing w:line="300" w:lineRule="exact"/>
              <w:jc w:val="left"/>
              <w:textAlignment w:val="center"/>
              <w:rPr>
                <w:rFonts w:ascii="黑体" w:hAnsi="黑体" w:eastAsia="黑体" w:cs="黑体"/>
                <w:color w:val="000000"/>
                <w:kern w:val="0"/>
                <w:szCs w:val="21"/>
              </w:rPr>
            </w:pPr>
            <w:r>
              <w:rPr>
                <w:rFonts w:hint="eastAsia" w:ascii="黑体" w:hAnsi="黑体" w:eastAsia="黑体" w:cs="黑体"/>
              </w:rPr>
              <w:t>降低5%，扣权重分值5%，扣完为止</w:t>
            </w:r>
          </w:p>
        </w:tc>
        <w:tc>
          <w:tcPr>
            <w:tcW w:w="1417" w:type="dxa"/>
            <w:tcBorders>
              <w:tl2br w:val="nil"/>
              <w:tr2bl w:val="nil"/>
            </w:tcBorders>
            <w:vAlign w:val="center"/>
          </w:tcPr>
          <w:p>
            <w:pPr>
              <w:widowControl/>
              <w:adjustRightInd w:val="0"/>
              <w:snapToGrid w:val="0"/>
              <w:spacing w:line="300" w:lineRule="exact"/>
              <w:jc w:val="center"/>
              <w:rPr>
                <w:rFonts w:ascii="黑体" w:hAnsi="黑体" w:eastAsia="黑体" w:cs="黑体"/>
              </w:rPr>
            </w:pPr>
            <w:r>
              <w:rPr>
                <w:rFonts w:hint="eastAsia" w:ascii="黑体" w:hAnsi="黑体" w:eastAsia="黑体" w:cs="黑体"/>
                <w:color w:val="000000"/>
                <w:kern w:val="0"/>
                <w:szCs w:val="21"/>
              </w:rPr>
              <w:t>物资采购合格率</w:t>
            </w:r>
          </w:p>
        </w:tc>
        <w:tc>
          <w:tcPr>
            <w:tcW w:w="567" w:type="dxa"/>
            <w:tcBorders>
              <w:tl2br w:val="nil"/>
              <w:tr2bl w:val="nil"/>
            </w:tcBorders>
            <w:vAlign w:val="center"/>
          </w:tcPr>
          <w:p>
            <w:pPr>
              <w:adjustRightInd w:val="0"/>
              <w:snapToGrid w:val="0"/>
              <w:spacing w:line="300" w:lineRule="exact"/>
              <w:jc w:val="center"/>
              <w:rPr>
                <w:rFonts w:ascii="黑体" w:hAnsi="黑体" w:eastAsia="黑体" w:cs="黑体"/>
              </w:rPr>
            </w:pPr>
            <w:r>
              <w:rPr>
                <w:rFonts w:hint="eastAsia" w:ascii="黑体" w:hAnsi="黑体" w:eastAsia="黑体" w:cs="黑体"/>
              </w:rPr>
              <w:t>=</w:t>
            </w:r>
          </w:p>
        </w:tc>
        <w:tc>
          <w:tcPr>
            <w:tcW w:w="709" w:type="dxa"/>
            <w:tcBorders>
              <w:tl2br w:val="nil"/>
              <w:tr2bl w:val="nil"/>
            </w:tcBorders>
            <w:vAlign w:val="center"/>
          </w:tcPr>
          <w:p>
            <w:pPr>
              <w:adjustRightInd w:val="0"/>
              <w:snapToGrid w:val="0"/>
              <w:spacing w:line="300" w:lineRule="exact"/>
              <w:jc w:val="center"/>
              <w:rPr>
                <w:rFonts w:ascii="黑体" w:hAnsi="黑体" w:eastAsia="黑体" w:cs="黑体"/>
              </w:rPr>
            </w:pPr>
            <w:r>
              <w:rPr>
                <w:rFonts w:hint="eastAsia" w:ascii="黑体" w:hAnsi="黑体" w:eastAsia="黑体" w:cs="黑体"/>
              </w:rPr>
              <w:t>100</w:t>
            </w:r>
          </w:p>
        </w:tc>
        <w:tc>
          <w:tcPr>
            <w:tcW w:w="567" w:type="dxa"/>
            <w:tcBorders>
              <w:tl2br w:val="nil"/>
              <w:tr2bl w:val="nil"/>
            </w:tcBorders>
            <w:vAlign w:val="center"/>
          </w:tcPr>
          <w:p>
            <w:pPr>
              <w:adjustRightInd w:val="0"/>
              <w:snapToGrid w:val="0"/>
              <w:spacing w:line="300" w:lineRule="exact"/>
              <w:jc w:val="center"/>
              <w:rPr>
                <w:rFonts w:ascii="黑体" w:hAnsi="黑体" w:eastAsia="黑体" w:cs="黑体"/>
              </w:rPr>
            </w:pPr>
            <w:r>
              <w:rPr>
                <w:rFonts w:hint="eastAsia" w:ascii="黑体" w:hAnsi="黑体" w:eastAsia="黑体" w:cs="黑体"/>
              </w:rPr>
              <w:t>%</w:t>
            </w:r>
          </w:p>
        </w:tc>
        <w:tc>
          <w:tcPr>
            <w:tcW w:w="2268" w:type="dxa"/>
            <w:tcBorders>
              <w:tl2br w:val="nil"/>
              <w:tr2bl w:val="nil"/>
            </w:tcBorders>
            <w:vAlign w:val="center"/>
          </w:tcPr>
          <w:p>
            <w:pPr>
              <w:adjustRightInd w:val="0"/>
              <w:snapToGrid w:val="0"/>
              <w:spacing w:line="300" w:lineRule="exact"/>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950" w:type="dxa"/>
            <w:vMerge w:val="continue"/>
            <w:tcBorders>
              <w:tl2br w:val="nil"/>
              <w:tr2bl w:val="nil"/>
            </w:tcBorders>
            <w:vAlign w:val="center"/>
          </w:tcPr>
          <w:p>
            <w:pPr>
              <w:rPr>
                <w:rFonts w:ascii="黑体" w:hAnsi="黑体" w:eastAsia="黑体" w:cs="黑体"/>
              </w:rPr>
            </w:pPr>
          </w:p>
        </w:tc>
        <w:tc>
          <w:tcPr>
            <w:tcW w:w="1100" w:type="dxa"/>
            <w:vMerge w:val="restart"/>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时效</w:t>
            </w:r>
          </w:p>
        </w:tc>
        <w:tc>
          <w:tcPr>
            <w:tcW w:w="1508"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黑体" w:hAnsi="黑体" w:eastAsia="黑体" w:cs="黑体"/>
                <w:color w:val="000000"/>
                <w:kern w:val="0"/>
                <w:szCs w:val="21"/>
              </w:rPr>
              <w:t>按计划完成学校义务教学工作</w:t>
            </w:r>
          </w:p>
        </w:tc>
        <w:tc>
          <w:tcPr>
            <w:tcW w:w="1560" w:type="dxa"/>
            <w:tcBorders>
              <w:tl2br w:val="nil"/>
              <w:tr2bl w:val="nil"/>
            </w:tcBorders>
            <w:vAlign w:val="center"/>
          </w:tcPr>
          <w:p>
            <w:pPr>
              <w:adjustRightInd w:val="0"/>
              <w:snapToGrid w:val="0"/>
              <w:spacing w:line="300" w:lineRule="exact"/>
              <w:rPr>
                <w:rFonts w:ascii="黑体" w:hAnsi="黑体" w:eastAsia="黑体" w:cs="黑体"/>
              </w:rPr>
            </w:pPr>
            <w:r>
              <w:rPr>
                <w:rFonts w:hint="eastAsia" w:ascii="黑体" w:hAnsi="黑体" w:eastAsia="黑体" w:cs="黑体"/>
              </w:rPr>
              <w:t>按计划完成得满分，否则不得分</w:t>
            </w:r>
          </w:p>
        </w:tc>
        <w:tc>
          <w:tcPr>
            <w:tcW w:w="1417" w:type="dxa"/>
            <w:tcBorders>
              <w:tl2br w:val="nil"/>
              <w:tr2bl w:val="nil"/>
            </w:tcBorders>
            <w:vAlign w:val="center"/>
          </w:tcPr>
          <w:p>
            <w:pPr>
              <w:adjustRightInd w:val="0"/>
              <w:snapToGrid w:val="0"/>
              <w:spacing w:line="300" w:lineRule="exact"/>
              <w:rPr>
                <w:rFonts w:ascii="黑体" w:hAnsi="黑体" w:eastAsia="黑体" w:cs="黑体"/>
              </w:rPr>
            </w:pPr>
            <w:r>
              <w:rPr>
                <w:rFonts w:hint="eastAsia" w:ascii="黑体" w:hAnsi="黑体" w:eastAsia="黑体" w:cs="黑体"/>
              </w:rPr>
              <w:t>是否按计划完成</w:t>
            </w:r>
          </w:p>
        </w:tc>
        <w:tc>
          <w:tcPr>
            <w:tcW w:w="567" w:type="dxa"/>
            <w:tcBorders>
              <w:tl2br w:val="nil"/>
              <w:tr2bl w:val="nil"/>
            </w:tcBorders>
            <w:vAlign w:val="center"/>
          </w:tcPr>
          <w:p>
            <w:pPr>
              <w:adjustRightInd w:val="0"/>
              <w:snapToGrid w:val="0"/>
              <w:spacing w:line="300" w:lineRule="exact"/>
              <w:jc w:val="center"/>
              <w:rPr>
                <w:rFonts w:ascii="黑体" w:hAnsi="黑体" w:eastAsia="黑体" w:cs="黑体"/>
              </w:rPr>
            </w:pPr>
            <w:r>
              <w:rPr>
                <w:rFonts w:hint="eastAsia" w:ascii="黑体" w:hAnsi="黑体" w:eastAsia="黑体" w:cs="黑体"/>
              </w:rPr>
              <w:t>文字描述</w:t>
            </w:r>
          </w:p>
        </w:tc>
        <w:tc>
          <w:tcPr>
            <w:tcW w:w="709" w:type="dxa"/>
            <w:tcBorders>
              <w:tl2br w:val="nil"/>
              <w:tr2bl w:val="nil"/>
            </w:tcBorders>
            <w:vAlign w:val="center"/>
          </w:tcPr>
          <w:p>
            <w:pPr>
              <w:widowControl/>
              <w:adjustRightInd w:val="0"/>
              <w:snapToGrid w:val="0"/>
              <w:spacing w:line="300" w:lineRule="exact"/>
              <w:jc w:val="center"/>
              <w:rPr>
                <w:rFonts w:ascii="黑体" w:hAnsi="黑体" w:eastAsia="黑体" w:cs="黑体"/>
              </w:rPr>
            </w:pPr>
            <w:r>
              <w:rPr>
                <w:rFonts w:hint="eastAsia" w:ascii="黑体" w:hAnsi="黑体" w:eastAsia="黑体" w:cs="黑体"/>
              </w:rPr>
              <w:t>及时</w:t>
            </w:r>
          </w:p>
        </w:tc>
        <w:tc>
          <w:tcPr>
            <w:tcW w:w="567" w:type="dxa"/>
            <w:tcBorders>
              <w:tl2br w:val="nil"/>
              <w:tr2bl w:val="nil"/>
            </w:tcBorders>
            <w:vAlign w:val="center"/>
          </w:tcPr>
          <w:p>
            <w:pPr>
              <w:widowControl/>
              <w:adjustRightInd w:val="0"/>
              <w:snapToGrid w:val="0"/>
              <w:spacing w:line="300" w:lineRule="exact"/>
              <w:jc w:val="center"/>
              <w:rPr>
                <w:rFonts w:ascii="黑体" w:hAnsi="黑体" w:eastAsia="黑体" w:cs="黑体"/>
              </w:rPr>
            </w:pPr>
          </w:p>
        </w:tc>
        <w:tc>
          <w:tcPr>
            <w:tcW w:w="2268"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pPr>
              <w:rPr>
                <w:rFonts w:ascii="黑体" w:hAnsi="黑体" w:eastAsia="黑体" w:cs="黑体"/>
              </w:rPr>
            </w:pPr>
          </w:p>
        </w:tc>
        <w:tc>
          <w:tcPr>
            <w:tcW w:w="1100" w:type="dxa"/>
            <w:vMerge w:val="continue"/>
            <w:tcBorders>
              <w:tl2br w:val="nil"/>
              <w:tr2bl w:val="nil"/>
            </w:tcBorders>
            <w:vAlign w:val="center"/>
          </w:tcPr>
          <w:p>
            <w:pPr>
              <w:widowControl/>
              <w:adjustRightInd w:val="0"/>
              <w:snapToGrid w:val="0"/>
              <w:jc w:val="center"/>
              <w:rPr>
                <w:rFonts w:ascii="黑体" w:hAnsi="黑体" w:eastAsia="黑体" w:cs="黑体"/>
              </w:rPr>
            </w:pPr>
          </w:p>
        </w:tc>
        <w:tc>
          <w:tcPr>
            <w:tcW w:w="1508"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黑体" w:hAnsi="黑体" w:eastAsia="黑体" w:cs="黑体"/>
                <w:color w:val="000000"/>
                <w:kern w:val="0"/>
                <w:szCs w:val="21"/>
              </w:rPr>
              <w:t>重点工作完成及时率</w:t>
            </w:r>
          </w:p>
        </w:tc>
        <w:tc>
          <w:tcPr>
            <w:tcW w:w="1560"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黑体" w:hAnsi="黑体" w:eastAsia="黑体" w:cs="黑体"/>
              </w:rPr>
              <w:t>每少完成1%，扣权重分值5%，扣完为止</w:t>
            </w:r>
          </w:p>
        </w:tc>
        <w:tc>
          <w:tcPr>
            <w:tcW w:w="1417"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黑体" w:hAnsi="黑体" w:eastAsia="黑体" w:cs="黑体"/>
                <w:color w:val="000000"/>
                <w:kern w:val="0"/>
                <w:szCs w:val="21"/>
              </w:rPr>
              <w:t>重点工作是否按计划完成</w:t>
            </w:r>
          </w:p>
        </w:tc>
        <w:tc>
          <w:tcPr>
            <w:tcW w:w="567" w:type="dxa"/>
            <w:tcBorders>
              <w:tl2br w:val="nil"/>
              <w:tr2bl w:val="nil"/>
            </w:tcBorders>
            <w:vAlign w:val="center"/>
          </w:tcPr>
          <w:p>
            <w:pPr>
              <w:adjustRightInd w:val="0"/>
              <w:snapToGrid w:val="0"/>
              <w:spacing w:line="300" w:lineRule="exact"/>
              <w:jc w:val="center"/>
              <w:rPr>
                <w:rFonts w:ascii="黑体" w:hAnsi="黑体" w:eastAsia="黑体" w:cs="黑体"/>
              </w:rPr>
            </w:pPr>
            <w:r>
              <w:rPr>
                <w:rFonts w:hint="eastAsia" w:ascii="黑体" w:hAnsi="黑体" w:eastAsia="黑体" w:cs="黑体"/>
              </w:rPr>
              <w:t>文字描述</w:t>
            </w:r>
          </w:p>
        </w:tc>
        <w:tc>
          <w:tcPr>
            <w:tcW w:w="709"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按时完成</w:t>
            </w:r>
          </w:p>
        </w:tc>
        <w:tc>
          <w:tcPr>
            <w:tcW w:w="567" w:type="dxa"/>
            <w:tcBorders>
              <w:tl2br w:val="nil"/>
              <w:tr2bl w:val="nil"/>
            </w:tcBorders>
            <w:vAlign w:val="center"/>
          </w:tcPr>
          <w:p>
            <w:pPr>
              <w:widowControl/>
              <w:adjustRightInd w:val="0"/>
              <w:snapToGrid w:val="0"/>
              <w:spacing w:line="300" w:lineRule="exact"/>
              <w:jc w:val="center"/>
              <w:rPr>
                <w:rFonts w:ascii="黑体" w:hAnsi="黑体" w:eastAsia="黑体" w:cs="黑体"/>
              </w:rPr>
            </w:pPr>
          </w:p>
        </w:tc>
        <w:tc>
          <w:tcPr>
            <w:tcW w:w="2268" w:type="dxa"/>
            <w:tcBorders>
              <w:tl2br w:val="nil"/>
              <w:tr2bl w:val="nil"/>
            </w:tcBorders>
            <w:vAlign w:val="center"/>
          </w:tcPr>
          <w:p>
            <w:pPr>
              <w:rPr>
                <w:rFonts w:ascii="黑体" w:hAnsi="黑体" w:eastAsia="黑体" w:cs="黑体"/>
              </w:rPr>
            </w:pPr>
            <w:r>
              <w:rPr>
                <w:rFonts w:hint="eastAsia" w:ascii="黑体" w:hAnsi="黑体" w:eastAsia="黑体" w:cs="黑体"/>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pPr>
              <w:rPr>
                <w:rFonts w:ascii="黑体" w:hAnsi="黑体" w:eastAsia="黑体" w:cs="黑体"/>
              </w:rPr>
            </w:pPr>
          </w:p>
        </w:tc>
        <w:tc>
          <w:tcPr>
            <w:tcW w:w="1100"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成本</w:t>
            </w:r>
          </w:p>
        </w:tc>
        <w:tc>
          <w:tcPr>
            <w:tcW w:w="1508"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1560"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黑体" w:hAnsi="黑体" w:eastAsia="黑体" w:cs="黑体"/>
              </w:rPr>
              <w:t>每少5%，扣权重分值5%，扣完为止</w:t>
            </w:r>
          </w:p>
        </w:tc>
        <w:tc>
          <w:tcPr>
            <w:tcW w:w="1417" w:type="dxa"/>
            <w:tcBorders>
              <w:tl2br w:val="nil"/>
              <w:tr2bl w:val="nil"/>
            </w:tcBorders>
            <w:vAlign w:val="center"/>
          </w:tcPr>
          <w:p>
            <w:pPr>
              <w:adjustRightInd w:val="0"/>
              <w:snapToGrid w:val="0"/>
              <w:spacing w:line="300" w:lineRule="exact"/>
              <w:jc w:val="left"/>
              <w:rPr>
                <w:rFonts w:ascii="黑体" w:hAnsi="黑体" w:eastAsia="黑体" w:cs="黑体"/>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567" w:type="dxa"/>
            <w:tcBorders>
              <w:tl2br w:val="nil"/>
              <w:tr2bl w:val="nil"/>
            </w:tcBorders>
            <w:vAlign w:val="center"/>
          </w:tcPr>
          <w:p>
            <w:pPr>
              <w:adjustRightInd w:val="0"/>
              <w:snapToGrid w:val="0"/>
              <w:spacing w:line="300" w:lineRule="exact"/>
              <w:jc w:val="center"/>
              <w:rPr>
                <w:rFonts w:ascii="黑体" w:hAnsi="黑体" w:eastAsia="黑体" w:cs="黑体"/>
              </w:rPr>
            </w:pPr>
            <w:r>
              <w:rPr>
                <w:rFonts w:hint="eastAsia" w:ascii="黑体" w:hAnsi="黑体" w:eastAsia="黑体" w:cs="黑体"/>
              </w:rPr>
              <w:t>=</w:t>
            </w:r>
          </w:p>
        </w:tc>
        <w:tc>
          <w:tcPr>
            <w:tcW w:w="709"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735</w:t>
            </w:r>
          </w:p>
        </w:tc>
        <w:tc>
          <w:tcPr>
            <w:tcW w:w="567" w:type="dxa"/>
            <w:tcBorders>
              <w:tl2br w:val="nil"/>
              <w:tr2bl w:val="nil"/>
            </w:tcBorders>
            <w:vAlign w:val="center"/>
          </w:tcPr>
          <w:p>
            <w:pPr>
              <w:widowControl/>
              <w:adjustRightInd w:val="0"/>
              <w:snapToGrid w:val="0"/>
              <w:spacing w:line="300" w:lineRule="exact"/>
              <w:jc w:val="center"/>
              <w:rPr>
                <w:rFonts w:ascii="黑体" w:hAnsi="黑体" w:eastAsia="黑体" w:cs="黑体"/>
              </w:rPr>
            </w:pPr>
            <w:r>
              <w:rPr>
                <w:rFonts w:hint="eastAsia" w:ascii="黑体" w:hAnsi="黑体" w:eastAsia="黑体" w:cs="黑体"/>
              </w:rPr>
              <w:t>人</w:t>
            </w:r>
          </w:p>
        </w:tc>
        <w:tc>
          <w:tcPr>
            <w:tcW w:w="2268" w:type="dxa"/>
            <w:tcBorders>
              <w:tl2br w:val="nil"/>
              <w:tr2bl w:val="nil"/>
            </w:tcBorders>
            <w:vAlign w:val="center"/>
          </w:tcPr>
          <w:p>
            <w:pPr>
              <w:rPr>
                <w:rFonts w:ascii="黑体" w:hAnsi="黑体" w:eastAsia="黑体" w:cs="黑体"/>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restart"/>
            <w:tcBorders>
              <w:tl2br w:val="nil"/>
              <w:tr2bl w:val="nil"/>
            </w:tcBorders>
            <w:vAlign w:val="center"/>
          </w:tcPr>
          <w:p>
            <w:pPr>
              <w:adjustRightInd w:val="0"/>
              <w:snapToGrid w:val="0"/>
              <w:jc w:val="center"/>
              <w:rPr>
                <w:rFonts w:ascii="黑体" w:hAnsi="黑体" w:eastAsia="黑体" w:cs="黑体"/>
              </w:rPr>
            </w:pPr>
            <w:r>
              <w:rPr>
                <w:rFonts w:hint="eastAsia" w:ascii="黑体" w:hAnsi="黑体" w:eastAsia="黑体" w:cs="黑体"/>
              </w:rPr>
              <w:t>部门效果</w:t>
            </w:r>
          </w:p>
        </w:tc>
        <w:tc>
          <w:tcPr>
            <w:tcW w:w="1100"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社会</w:t>
            </w:r>
          </w:p>
          <w:p>
            <w:pPr>
              <w:widowControl/>
              <w:adjustRightInd w:val="0"/>
              <w:snapToGrid w:val="0"/>
              <w:jc w:val="center"/>
              <w:rPr>
                <w:rFonts w:ascii="黑体" w:hAnsi="黑体" w:eastAsia="黑体" w:cs="黑体"/>
              </w:rPr>
            </w:pPr>
            <w:r>
              <w:rPr>
                <w:rFonts w:hint="eastAsia" w:ascii="黑体" w:hAnsi="黑体" w:eastAsia="黑体" w:cs="黑体"/>
              </w:rPr>
              <w:t>效益</w:t>
            </w:r>
          </w:p>
        </w:tc>
        <w:tc>
          <w:tcPr>
            <w:tcW w:w="1508" w:type="dxa"/>
            <w:tcBorders>
              <w:tl2br w:val="nil"/>
              <w:tr2bl w:val="nil"/>
            </w:tcBorders>
            <w:noWrap/>
            <w:vAlign w:val="center"/>
          </w:tcPr>
          <w:p>
            <w:pPr>
              <w:adjustRightInd w:val="0"/>
              <w:snapToGrid w:val="0"/>
              <w:spacing w:line="300" w:lineRule="exact"/>
              <w:jc w:val="left"/>
              <w:rPr>
                <w:rFonts w:ascii="黑体" w:hAnsi="黑体" w:eastAsia="黑体" w:cs="黑体"/>
                <w:color w:val="000000"/>
                <w:kern w:val="0"/>
                <w:szCs w:val="21"/>
              </w:rPr>
            </w:pPr>
            <w:r>
              <w:rPr>
                <w:rFonts w:hint="eastAsia" w:ascii="方正书宋_GBK" w:eastAsia="方正书宋_GBK"/>
              </w:rPr>
              <w:t>提高人口素质</w:t>
            </w:r>
          </w:p>
        </w:tc>
        <w:tc>
          <w:tcPr>
            <w:tcW w:w="1560" w:type="dxa"/>
            <w:tcBorders>
              <w:tl2br w:val="nil"/>
              <w:tr2bl w:val="nil"/>
            </w:tcBorders>
            <w:noWrap/>
            <w:vAlign w:val="center"/>
          </w:tcPr>
          <w:p>
            <w:pPr>
              <w:adjustRightInd w:val="0"/>
              <w:snapToGrid w:val="0"/>
              <w:spacing w:line="300" w:lineRule="exact"/>
              <w:jc w:val="left"/>
              <w:rPr>
                <w:rFonts w:ascii="黑体" w:hAnsi="黑体" w:eastAsia="黑体" w:cs="黑体"/>
              </w:rPr>
            </w:pPr>
            <w:r>
              <w:rPr>
                <w:rFonts w:hint="eastAsia" w:ascii="黑体" w:hAnsi="黑体" w:eastAsia="黑体" w:cs="黑体"/>
              </w:rPr>
              <w:t>每次考核下降，扣权重分值5%，扣完为止</w:t>
            </w:r>
          </w:p>
        </w:tc>
        <w:tc>
          <w:tcPr>
            <w:tcW w:w="1417" w:type="dxa"/>
            <w:tcBorders>
              <w:tl2br w:val="nil"/>
              <w:tr2bl w:val="nil"/>
            </w:tcBorders>
            <w:noWrap/>
            <w:vAlign w:val="center"/>
          </w:tcPr>
          <w:p>
            <w:pPr>
              <w:widowControl/>
              <w:adjustRightInd w:val="0"/>
              <w:snapToGrid w:val="0"/>
              <w:spacing w:line="300" w:lineRule="exact"/>
              <w:rPr>
                <w:rFonts w:ascii="黑体" w:hAnsi="黑体" w:eastAsia="黑体" w:cs="黑体"/>
                <w:color w:val="000000"/>
                <w:kern w:val="0"/>
                <w:szCs w:val="21"/>
              </w:rPr>
            </w:pPr>
            <w:r>
              <w:rPr>
                <w:rFonts w:hint="eastAsia" w:ascii="黑体" w:hAnsi="黑体" w:eastAsia="黑体" w:cs="黑体"/>
              </w:rPr>
              <w:t>考察受益师生数</w:t>
            </w:r>
            <w:r>
              <w:rPr>
                <w:rFonts w:hint="eastAsia" w:ascii="方正书宋_GBK" w:eastAsia="方正书宋_GBK"/>
              </w:rPr>
              <w:t>促进在校生德智体美劳全面发展、促进全民素质的提高。</w:t>
            </w:r>
          </w:p>
        </w:tc>
        <w:tc>
          <w:tcPr>
            <w:tcW w:w="567"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文字描述</w:t>
            </w:r>
          </w:p>
        </w:tc>
        <w:tc>
          <w:tcPr>
            <w:tcW w:w="709"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提高</w:t>
            </w:r>
          </w:p>
        </w:tc>
        <w:tc>
          <w:tcPr>
            <w:tcW w:w="567" w:type="dxa"/>
            <w:tcBorders>
              <w:tl2br w:val="nil"/>
              <w:tr2bl w:val="nil"/>
            </w:tcBorders>
            <w:vAlign w:val="center"/>
          </w:tcPr>
          <w:p>
            <w:pPr>
              <w:widowControl/>
              <w:adjustRightInd w:val="0"/>
              <w:snapToGrid w:val="0"/>
              <w:jc w:val="center"/>
              <w:rPr>
                <w:rFonts w:ascii="黑体" w:hAnsi="黑体" w:eastAsia="黑体" w:cs="黑体"/>
              </w:rPr>
            </w:pPr>
          </w:p>
        </w:tc>
        <w:tc>
          <w:tcPr>
            <w:tcW w:w="2268" w:type="dxa"/>
            <w:tcBorders>
              <w:tl2br w:val="nil"/>
              <w:tr2bl w:val="nil"/>
            </w:tcBorders>
            <w:vAlign w:val="center"/>
          </w:tcPr>
          <w:p>
            <w:pPr>
              <w:widowControl/>
              <w:adjustRightInd w:val="0"/>
              <w:snapToGrid w:val="0"/>
              <w:rPr>
                <w:rFonts w:ascii="黑体" w:hAnsi="黑体" w:eastAsia="黑体" w:cs="黑体"/>
              </w:rPr>
            </w:pPr>
            <w:r>
              <w:rPr>
                <w:rFonts w:hint="eastAsia" w:ascii="方正书宋_GBK" w:eastAsia="方正书宋_GBK"/>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45" w:hRule="atLeast"/>
        </w:trPr>
        <w:tc>
          <w:tcPr>
            <w:tcW w:w="950" w:type="dxa"/>
            <w:vMerge w:val="continue"/>
            <w:tcBorders>
              <w:tl2br w:val="nil"/>
              <w:tr2bl w:val="nil"/>
            </w:tcBorders>
            <w:vAlign w:val="center"/>
          </w:tcPr>
          <w:p>
            <w:pPr>
              <w:rPr>
                <w:rFonts w:ascii="黑体" w:hAnsi="黑体" w:eastAsia="黑体" w:cs="黑体"/>
              </w:rPr>
            </w:pPr>
          </w:p>
        </w:tc>
        <w:tc>
          <w:tcPr>
            <w:tcW w:w="1100" w:type="dxa"/>
            <w:tcBorders>
              <w:tl2br w:val="nil"/>
              <w:tr2bl w:val="nil"/>
            </w:tcBorders>
            <w:vAlign w:val="center"/>
          </w:tcPr>
          <w:p>
            <w:pPr>
              <w:widowControl/>
              <w:adjustRightInd w:val="0"/>
              <w:snapToGrid w:val="0"/>
              <w:jc w:val="center"/>
              <w:rPr>
                <w:rFonts w:ascii="黑体" w:hAnsi="黑体" w:eastAsia="黑体" w:cs="黑体"/>
              </w:rPr>
            </w:pPr>
            <w:r>
              <w:rPr>
                <w:rFonts w:hint="eastAsia" w:ascii="黑体" w:hAnsi="黑体" w:eastAsia="黑体" w:cs="黑体"/>
              </w:rPr>
              <w:t>可持续影响指标</w:t>
            </w:r>
          </w:p>
        </w:tc>
        <w:tc>
          <w:tcPr>
            <w:tcW w:w="1508" w:type="dxa"/>
            <w:tcBorders>
              <w:tl2br w:val="nil"/>
              <w:tr2bl w:val="nil"/>
            </w:tcBorders>
            <w:noWrap/>
            <w:vAlign w:val="center"/>
          </w:tcPr>
          <w:p>
            <w:pPr>
              <w:widowControl/>
              <w:spacing w:line="240" w:lineRule="exact"/>
              <w:jc w:val="left"/>
              <w:rPr>
                <w:rFonts w:ascii="黑体" w:hAnsi="黑体" w:eastAsia="黑体" w:cs="黑体"/>
              </w:rPr>
            </w:pPr>
            <w:r>
              <w:rPr>
                <w:rFonts w:hint="eastAsia" w:ascii="黑体" w:hAnsi="黑体" w:eastAsia="黑体" w:cs="黑体"/>
                <w:color w:val="000000"/>
                <w:kern w:val="0"/>
                <w:szCs w:val="21"/>
              </w:rPr>
              <w:t>推动义务教育从数量向质量转变</w:t>
            </w:r>
          </w:p>
        </w:tc>
        <w:tc>
          <w:tcPr>
            <w:tcW w:w="1560" w:type="dxa"/>
            <w:tcBorders>
              <w:tl2br w:val="nil"/>
              <w:tr2bl w:val="nil"/>
            </w:tcBorders>
            <w:noWrap/>
            <w:vAlign w:val="center"/>
          </w:tcPr>
          <w:p>
            <w:pPr>
              <w:widowControl/>
              <w:spacing w:line="240" w:lineRule="exact"/>
              <w:jc w:val="left"/>
              <w:rPr>
                <w:rFonts w:ascii="黑体" w:hAnsi="黑体" w:eastAsia="黑体" w:cs="黑体"/>
              </w:rPr>
            </w:pPr>
            <w:r>
              <w:rPr>
                <w:rFonts w:hint="eastAsia" w:ascii="黑体" w:hAnsi="黑体" w:eastAsia="黑体" w:cs="黑体"/>
              </w:rPr>
              <w:t>每次考核下降，扣权重分值5%，扣完为止</w:t>
            </w:r>
          </w:p>
        </w:tc>
        <w:tc>
          <w:tcPr>
            <w:tcW w:w="1417" w:type="dxa"/>
            <w:tcBorders>
              <w:tl2br w:val="nil"/>
              <w:tr2bl w:val="nil"/>
            </w:tcBorders>
            <w:noWrap/>
            <w:vAlign w:val="center"/>
          </w:tcPr>
          <w:p>
            <w:pPr>
              <w:widowControl/>
              <w:spacing w:line="240" w:lineRule="exact"/>
              <w:jc w:val="left"/>
              <w:rPr>
                <w:rFonts w:ascii="黑体" w:hAnsi="黑体" w:eastAsia="黑体" w:cs="黑体"/>
              </w:rPr>
            </w:pPr>
            <w:r>
              <w:rPr>
                <w:rFonts w:hint="eastAsia" w:ascii="黑体" w:hAnsi="黑体" w:eastAsia="黑体" w:cs="黑体"/>
                <w:color w:val="000000"/>
                <w:kern w:val="0"/>
                <w:szCs w:val="21"/>
              </w:rPr>
              <w:t>推动义务教育从数量向质量转变</w:t>
            </w:r>
          </w:p>
        </w:tc>
        <w:tc>
          <w:tcPr>
            <w:tcW w:w="567" w:type="dxa"/>
            <w:tcBorders>
              <w:tl2br w:val="nil"/>
              <w:tr2bl w:val="nil"/>
            </w:tcBorders>
            <w:vAlign w:val="center"/>
          </w:tcPr>
          <w:p>
            <w:pPr>
              <w:widowControl/>
              <w:spacing w:line="240" w:lineRule="exact"/>
              <w:jc w:val="center"/>
              <w:rPr>
                <w:rFonts w:ascii="黑体" w:hAnsi="黑体" w:eastAsia="黑体" w:cs="黑体"/>
              </w:rPr>
            </w:pPr>
            <w:r>
              <w:rPr>
                <w:rFonts w:hint="eastAsia" w:ascii="黑体" w:hAnsi="黑体" w:eastAsia="黑体" w:cs="黑体"/>
              </w:rPr>
              <w:t>文字描述</w:t>
            </w:r>
          </w:p>
        </w:tc>
        <w:tc>
          <w:tcPr>
            <w:tcW w:w="709" w:type="dxa"/>
            <w:tcBorders>
              <w:tl2br w:val="nil"/>
              <w:tr2bl w:val="nil"/>
            </w:tcBorders>
            <w:vAlign w:val="center"/>
          </w:tcPr>
          <w:p>
            <w:pPr>
              <w:spacing w:line="300" w:lineRule="exact"/>
              <w:jc w:val="left"/>
              <w:rPr>
                <w:rFonts w:ascii="黑体" w:hAnsi="黑体" w:eastAsia="黑体" w:cs="黑体"/>
              </w:rPr>
            </w:pPr>
            <w:r>
              <w:rPr>
                <w:rFonts w:hint="eastAsia" w:ascii="黑体" w:hAnsi="黑体" w:eastAsia="黑体" w:cs="黑体"/>
              </w:rPr>
              <w:t>提升</w:t>
            </w:r>
          </w:p>
        </w:tc>
        <w:tc>
          <w:tcPr>
            <w:tcW w:w="567" w:type="dxa"/>
            <w:tcBorders>
              <w:tl2br w:val="nil"/>
              <w:tr2bl w:val="nil"/>
            </w:tcBorders>
            <w:vAlign w:val="center"/>
          </w:tcPr>
          <w:p>
            <w:pPr>
              <w:widowControl/>
              <w:adjustRightInd w:val="0"/>
              <w:snapToGrid w:val="0"/>
              <w:rPr>
                <w:rFonts w:ascii="黑体" w:hAnsi="黑体" w:eastAsia="黑体" w:cs="黑体"/>
              </w:rPr>
            </w:pPr>
          </w:p>
        </w:tc>
        <w:tc>
          <w:tcPr>
            <w:tcW w:w="2268" w:type="dxa"/>
            <w:tcBorders>
              <w:tl2br w:val="nil"/>
              <w:tr2bl w:val="nil"/>
            </w:tcBorders>
            <w:vAlign w:val="center"/>
          </w:tcPr>
          <w:p>
            <w:pPr>
              <w:spacing w:line="300" w:lineRule="exact"/>
              <w:jc w:val="left"/>
              <w:rPr>
                <w:rFonts w:ascii="黑体" w:hAnsi="黑体" w:eastAsia="黑体" w:cs="黑体"/>
              </w:rPr>
            </w:pPr>
            <w:r>
              <w:rPr>
                <w:rFonts w:hint="eastAsia" w:ascii="方正书宋_GBK" w:eastAsia="方正书宋_GBK"/>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950" w:type="dxa"/>
            <w:vMerge w:val="continue"/>
            <w:tcBorders>
              <w:tl2br w:val="nil"/>
              <w:tr2bl w:val="nil"/>
            </w:tcBorders>
            <w:vAlign w:val="center"/>
          </w:tcPr>
          <w:p>
            <w:pPr>
              <w:rPr>
                <w:rFonts w:ascii="黑体" w:hAnsi="黑体" w:eastAsia="黑体" w:cs="黑体"/>
              </w:rPr>
            </w:pPr>
          </w:p>
        </w:tc>
        <w:tc>
          <w:tcPr>
            <w:tcW w:w="1100" w:type="dxa"/>
            <w:tcBorders>
              <w:tl2br w:val="nil"/>
              <w:tr2bl w:val="nil"/>
            </w:tcBorders>
            <w:vAlign w:val="center"/>
          </w:tcPr>
          <w:p>
            <w:pPr>
              <w:widowControl/>
              <w:adjustRightInd w:val="0"/>
              <w:snapToGrid w:val="0"/>
              <w:jc w:val="center"/>
              <w:rPr>
                <w:rFonts w:ascii="黑体" w:hAnsi="黑体" w:eastAsia="黑体" w:cs="黑体"/>
              </w:rPr>
            </w:pPr>
            <w:r>
              <w:rPr>
                <w:rFonts w:hint="eastAsia" w:ascii="方正书宋_GBK" w:eastAsia="方正书宋_GBK"/>
              </w:rPr>
              <w:t>满意度</w:t>
            </w:r>
          </w:p>
        </w:tc>
        <w:tc>
          <w:tcPr>
            <w:tcW w:w="1508" w:type="dxa"/>
            <w:tcBorders>
              <w:tl2br w:val="nil"/>
              <w:tr2bl w:val="nil"/>
            </w:tcBorders>
            <w:noWrap/>
            <w:vAlign w:val="center"/>
          </w:tcPr>
          <w:p>
            <w:pPr>
              <w:widowControl/>
              <w:adjustRightInd w:val="0"/>
              <w:snapToGrid w:val="0"/>
              <w:spacing w:line="300" w:lineRule="exact"/>
              <w:rPr>
                <w:rFonts w:ascii="黑体" w:hAnsi="黑体" w:eastAsia="黑体" w:cs="黑体"/>
                <w:color w:val="000000"/>
                <w:kern w:val="0"/>
                <w:szCs w:val="21"/>
              </w:rPr>
            </w:pPr>
            <w:r>
              <w:rPr>
                <w:rFonts w:hint="eastAsia" w:ascii="黑体" w:hAnsi="黑体" w:eastAsia="黑体" w:cs="黑体"/>
              </w:rPr>
              <w:t>师生满意度</w:t>
            </w:r>
          </w:p>
        </w:tc>
        <w:tc>
          <w:tcPr>
            <w:tcW w:w="1560" w:type="dxa"/>
            <w:tcBorders>
              <w:tl2br w:val="nil"/>
              <w:tr2bl w:val="nil"/>
            </w:tcBorders>
            <w:noWrap/>
            <w:vAlign w:val="center"/>
          </w:tcPr>
          <w:p>
            <w:pPr>
              <w:widowControl/>
              <w:adjustRightInd w:val="0"/>
              <w:snapToGrid w:val="0"/>
              <w:spacing w:line="300" w:lineRule="exact"/>
              <w:rPr>
                <w:rFonts w:ascii="黑体" w:hAnsi="黑体" w:eastAsia="黑体" w:cs="黑体"/>
                <w:color w:val="000000"/>
                <w:kern w:val="0"/>
                <w:szCs w:val="21"/>
              </w:rPr>
            </w:pPr>
            <w:r>
              <w:rPr>
                <w:rFonts w:hint="eastAsia" w:ascii="黑体" w:hAnsi="黑体" w:eastAsia="黑体" w:cs="黑体"/>
              </w:rPr>
              <w:t>每降低5%，扣权重分值5%，扣完为止</w:t>
            </w:r>
          </w:p>
        </w:tc>
        <w:tc>
          <w:tcPr>
            <w:tcW w:w="1417" w:type="dxa"/>
            <w:tcBorders>
              <w:tl2br w:val="nil"/>
              <w:tr2bl w:val="nil"/>
            </w:tcBorders>
            <w:noWrap/>
            <w:vAlign w:val="center"/>
          </w:tcPr>
          <w:p>
            <w:pPr>
              <w:widowControl/>
              <w:adjustRightInd w:val="0"/>
              <w:snapToGrid w:val="0"/>
              <w:spacing w:line="300" w:lineRule="exact"/>
              <w:rPr>
                <w:rFonts w:ascii="黑体" w:hAnsi="黑体" w:eastAsia="黑体" w:cs="黑体"/>
                <w:kern w:val="0"/>
                <w:szCs w:val="21"/>
              </w:rPr>
            </w:pPr>
            <w:r>
              <w:rPr>
                <w:rFonts w:hint="eastAsia" w:ascii="黑体" w:hAnsi="黑体" w:eastAsia="黑体" w:cs="黑体"/>
              </w:rPr>
              <w:t>考察师生对学校的满意度</w:t>
            </w:r>
          </w:p>
        </w:tc>
        <w:tc>
          <w:tcPr>
            <w:tcW w:w="567" w:type="dxa"/>
            <w:tcBorders>
              <w:tl2br w:val="nil"/>
              <w:tr2bl w:val="nil"/>
            </w:tcBorders>
            <w:vAlign w:val="center"/>
          </w:tcPr>
          <w:p>
            <w:pPr>
              <w:widowControl/>
              <w:adjustRightInd w:val="0"/>
              <w:snapToGrid w:val="0"/>
              <w:spacing w:line="300" w:lineRule="exact"/>
              <w:rPr>
                <w:rFonts w:ascii="黑体" w:hAnsi="黑体" w:eastAsia="黑体" w:cs="黑体"/>
                <w:kern w:val="0"/>
                <w:szCs w:val="21"/>
              </w:rPr>
            </w:pPr>
            <w:r>
              <w:rPr>
                <w:rFonts w:hint="eastAsia" w:ascii="黑体" w:hAnsi="黑体" w:eastAsia="黑体" w:cs="黑体"/>
              </w:rPr>
              <w:t>≥</w:t>
            </w:r>
          </w:p>
        </w:tc>
        <w:tc>
          <w:tcPr>
            <w:tcW w:w="709"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90</w:t>
            </w:r>
          </w:p>
        </w:tc>
        <w:tc>
          <w:tcPr>
            <w:tcW w:w="567"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w:t>
            </w:r>
          </w:p>
        </w:tc>
        <w:tc>
          <w:tcPr>
            <w:tcW w:w="2268" w:type="dxa"/>
            <w:tcBorders>
              <w:tl2br w:val="nil"/>
              <w:tr2bl w:val="nil"/>
            </w:tcBorders>
            <w:vAlign w:val="center"/>
          </w:tcPr>
          <w:p>
            <w:pPr>
              <w:widowControl/>
              <w:adjustRightInd w:val="0"/>
              <w:snapToGrid w:val="0"/>
              <w:spacing w:line="300" w:lineRule="exact"/>
              <w:rPr>
                <w:rFonts w:ascii="黑体" w:hAnsi="黑体" w:eastAsia="黑体" w:cs="黑体"/>
              </w:rPr>
            </w:pPr>
            <w:r>
              <w:rPr>
                <w:rFonts w:hint="eastAsia" w:ascii="黑体" w:hAnsi="黑体" w:eastAsia="黑体" w:cs="黑体"/>
              </w:rPr>
              <w:t>问卷调查</w:t>
            </w:r>
          </w:p>
        </w:tc>
      </w:tr>
    </w:tbl>
    <w:p>
      <w:pPr>
        <w:spacing w:line="584" w:lineRule="exact"/>
        <w:ind w:firstLine="640" w:firstLineChars="200"/>
        <w:rPr>
          <w:rFonts w:asciiTheme="minorEastAsia" w:hAnsiTheme="minorEastAsia" w:eastAsiaTheme="minorEastAsia" w:cstheme="minorEastAsia"/>
          <w:sz w:val="32"/>
          <w:szCs w:val="32"/>
        </w:rPr>
      </w:pPr>
    </w:p>
    <w:p>
      <w:pPr>
        <w:overflowPunct w:val="0"/>
        <w:adjustRightInd w:val="0"/>
        <w:snapToGrid w:val="0"/>
        <w:spacing w:afterLines="50" w:line="580" w:lineRule="exact"/>
        <w:ind w:firstLine="627" w:firstLineChars="196"/>
        <w:jc w:val="left"/>
        <w:rPr>
          <w:rFonts w:ascii="仿宋_GB2312" w:hAnsi="仿宋" w:eastAsia="仿宋_GB2312" w:cs="宋体"/>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b/>
          <w:szCs w:val="21"/>
        </w:rPr>
      </w:pPr>
      <w:r>
        <w:rPr>
          <w:rFonts w:ascii="Times New Roman" w:hAnsi="Times New Roman" w:eastAsia="仿宋_GB2312" w:cs="Times New Roman"/>
          <w:sz w:val="28"/>
        </w:rPr>
        <w:t>1.</w:t>
      </w:r>
      <w:bookmarkStart w:id="0" w:name="_Toc29799657"/>
      <w:bookmarkEnd w:id="0"/>
      <w:bookmarkStart w:id="1" w:name="_Toc67152570"/>
      <w:r>
        <w:rPr>
          <w:rFonts w:hint="eastAsia" w:ascii="方正仿宋_GBK" w:eastAsia="方正仿宋_GBK"/>
          <w:b/>
          <w:szCs w:val="21"/>
        </w:rPr>
        <w:t>城市区小学生均公用经费区级配套资金绩效目标表</w:t>
      </w:r>
      <w:bookmarkEnd w:id="1"/>
      <w:r>
        <w:rPr>
          <w:szCs w:val="21"/>
        </w:rPr>
        <w:fldChar w:fldCharType="begin"/>
      </w:r>
      <w:r>
        <w:rPr>
          <w:rFonts w:ascii="方正仿宋_GBK" w:eastAsia="方正仿宋_GBK"/>
          <w:b/>
          <w:szCs w:val="21"/>
        </w:rPr>
        <w:instrText xml:space="preserve"> </w:instrText>
      </w:r>
      <w:r>
        <w:rPr>
          <w:rFonts w:hint="eastAsia" w:ascii="方正仿宋_GBK" w:eastAsia="方正仿宋_GBK"/>
          <w:b/>
          <w:szCs w:val="21"/>
        </w:rPr>
        <w:instrText xml:space="preserve">TC 34、城市区小学生均公用经费区级配套资金绩效目标表 \f C \l 1</w:instrText>
      </w:r>
      <w:r>
        <w:rPr>
          <w:rFonts w:ascii="方正仿宋_GBK" w:eastAsia="方正仿宋_GBK"/>
          <w:b/>
          <w:szCs w:val="21"/>
        </w:rPr>
        <w:instrText xml:space="preserve"> </w:instrText>
      </w:r>
      <w:r>
        <w:rPr>
          <w:rFonts w:ascii="方正仿宋_GBK" w:eastAsia="方正仿宋_GBK"/>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430006</w:t>
            </w:r>
            <w:r>
              <w:rPr>
                <w:rFonts w:hint="eastAsia" w:ascii="方正书宋_GBK" w:eastAsia="方正书宋_GBK"/>
                <w:b/>
              </w:rPr>
              <w:t>廊坊市第二小学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131003211AW1FTVUMG99E</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城市区小学生均公用经费区级配套资金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72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72</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接受义务教育学生满意度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满意学生数量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3"/>
        <w:rPr>
          <w:rFonts w:ascii="Times New Roman" w:hAnsi="宋体"/>
          <w:b/>
          <w:szCs w:val="21"/>
        </w:rPr>
      </w:pPr>
      <w:r>
        <w:rPr>
          <w:rFonts w:ascii="Times New Roman" w:hAnsi="Times New Roman" w:eastAsia="仿宋_GB2312" w:cs="Times New Roman"/>
          <w:sz w:val="28"/>
        </w:rPr>
        <w:t>2.</w:t>
      </w:r>
      <w:r>
        <w:rPr>
          <w:rFonts w:hint="eastAsia" w:ascii="方正仿宋_GBK" w:eastAsia="方正仿宋_GBK"/>
          <w:b/>
          <w:szCs w:val="21"/>
        </w:rPr>
        <w:t>城市区小学生均公用经费中央（直达）配套资金绩效目标表</w:t>
      </w:r>
      <w:r>
        <w:rPr>
          <w:szCs w:val="21"/>
        </w:rPr>
        <w:fldChar w:fldCharType="begin"/>
      </w:r>
      <w:r>
        <w:rPr>
          <w:rFonts w:ascii="方正仿宋_GBK" w:eastAsia="方正仿宋_GBK"/>
          <w:b/>
          <w:szCs w:val="21"/>
        </w:rPr>
        <w:instrText xml:space="preserve"> </w:instrText>
      </w:r>
      <w:r>
        <w:rPr>
          <w:rFonts w:hint="eastAsia" w:ascii="方正仿宋_GBK" w:eastAsia="方正仿宋_GBK"/>
          <w:b/>
          <w:szCs w:val="21"/>
        </w:rPr>
        <w:instrText xml:space="preserve">TC 35、城市区小学生均公用经费中央（直达）配套资金绩效目标表 \f C \l 1</w:instrText>
      </w:r>
      <w:r>
        <w:rPr>
          <w:rFonts w:ascii="方正仿宋_GBK" w:eastAsia="方正仿宋_GBK"/>
          <w:b/>
          <w:szCs w:val="21"/>
        </w:rPr>
        <w:instrText xml:space="preserve"> </w:instrText>
      </w:r>
      <w:r>
        <w:rPr>
          <w:rFonts w:ascii="方正仿宋_GBK" w:eastAsia="方正仿宋_GBK"/>
          <w:b/>
          <w:szCs w:val="21"/>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430006</w:t>
            </w:r>
            <w:r>
              <w:rPr>
                <w:rFonts w:hint="eastAsia" w:ascii="方正书宋_GBK" w:eastAsia="方正书宋_GBK"/>
                <w:b/>
              </w:rPr>
              <w:t>廊坊市第二小学</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13100321YIU32LE8YOVLT</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城市区小学生均公用经费中央（直达）配套资金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59.35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59.35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保障学校正常运转、完成教育教学活动和其他日常工作任务等方面的支出，该经费的具体开支范围是：教学业务与管理、教学质量提升及第三方评价的政府购买服务、办公、会议、印刷、教师培训、文体活动、水电、取暖、交通差旅、邮电、教育信息化网络费用、及图书资料等购置、学生课桌凳、零星补充购置及维修维护，房屋、建筑物、校园内道路、围墙、大门、运动场地、教室内教师讲台及仪器设备的日常维修维护，学校勤工俭学购买生产设备和工具、校园绿化美化、校园文化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3" w:name="_Toc64920910"/>
      <w:r>
        <w:rPr>
          <w:rFonts w:hint="eastAsia" w:ascii="方正小标宋_GBK" w:eastAsia="方正小标宋_GBK" w:cs="Times New Roman"/>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Cs w:val="21"/>
              </w:rPr>
            </w:pPr>
            <w:r>
              <w:rPr>
                <w:rFonts w:hint="eastAsia" w:ascii="方正小标宋_GBK" w:eastAsia="方正小标宋_GBK"/>
                <w:sz w:val="24"/>
              </w:rPr>
              <w:t>[430005]廊坊市第二小学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第二小学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268.18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p>
      <w:pPr>
        <w:spacing w:line="584" w:lineRule="exact"/>
        <w:ind w:firstLine="640"/>
        <w:rPr>
          <w:rFonts w:ascii="Times New Roman" w:hAnsi="Times New Roman" w:eastAsia="仿宋_GB2312" w:cs="Times New Roman"/>
          <w:sz w:val="32"/>
          <w:szCs w:val="32"/>
        </w:rPr>
      </w:pP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第二小学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第二小学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268.18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88.37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__WRD_EMBED_SUB_3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A174B"/>
    <w:multiLevelType w:val="singleLevel"/>
    <w:tmpl w:val="82CA174B"/>
    <w:lvl w:ilvl="0" w:tentative="0">
      <w:start w:val="4"/>
      <w:numFmt w:val="decimal"/>
      <w:lvlText w:val="%1."/>
      <w:lvlJc w:val="left"/>
      <w:pPr>
        <w:tabs>
          <w:tab w:val="left" w:pos="312"/>
        </w:tabs>
      </w:pPr>
    </w:lvl>
  </w:abstractNum>
  <w:abstractNum w:abstractNumId="1">
    <w:nsid w:val="418C64C0"/>
    <w:multiLevelType w:val="multilevel"/>
    <w:tmpl w:val="418C64C0"/>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456E0"/>
    <w:rsid w:val="0026772A"/>
    <w:rsid w:val="00301F9F"/>
    <w:rsid w:val="00356683"/>
    <w:rsid w:val="004A54AA"/>
    <w:rsid w:val="004F3BF0"/>
    <w:rsid w:val="006B5FED"/>
    <w:rsid w:val="006C2D2C"/>
    <w:rsid w:val="00722827"/>
    <w:rsid w:val="00807A76"/>
    <w:rsid w:val="008F0EB4"/>
    <w:rsid w:val="00A218C6"/>
    <w:rsid w:val="00A7716D"/>
    <w:rsid w:val="00AD7C29"/>
    <w:rsid w:val="00B17B32"/>
    <w:rsid w:val="00B80935"/>
    <w:rsid w:val="00D347CC"/>
    <w:rsid w:val="00E27CE3"/>
    <w:rsid w:val="04A7247A"/>
    <w:rsid w:val="0B8E7A2E"/>
    <w:rsid w:val="0E8376D3"/>
    <w:rsid w:val="15E15F95"/>
    <w:rsid w:val="170A61BC"/>
    <w:rsid w:val="191944E8"/>
    <w:rsid w:val="1D077A5D"/>
    <w:rsid w:val="1DCD477F"/>
    <w:rsid w:val="24D72C92"/>
    <w:rsid w:val="319342F2"/>
    <w:rsid w:val="4B052B1F"/>
    <w:rsid w:val="4DF254EE"/>
    <w:rsid w:val="50BC43F3"/>
    <w:rsid w:val="67742DEC"/>
    <w:rsid w:val="70DC0E8F"/>
    <w:rsid w:val="729B4DBD"/>
    <w:rsid w:val="74372A81"/>
    <w:rsid w:val="77FD12BD"/>
    <w:rsid w:val="79A0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916</Words>
  <Characters>5227</Characters>
  <Lines>43</Lines>
  <Paragraphs>12</Paragraphs>
  <TotalTime>12</TotalTime>
  <ScaleCrop>false</ScaleCrop>
  <LinksUpToDate>false</LinksUpToDate>
  <CharactersWithSpaces>6131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2022-07-08T01:33:40Z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B6995B40E80C45768EFF9E8E4CDDFDEA</vt:lpwstr>
  </property>
</Properties>
</file>