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5" w:name="_GoBack"/>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3960" w:firstLineChars="900"/>
        <w:rPr>
          <w:rFonts w:ascii="Times New Roman" w:hAnsi="Times New Roman" w:eastAsia="方正小标宋简体" w:cs="Times New Roman"/>
          <w:sz w:val="44"/>
          <w:szCs w:val="44"/>
        </w:rPr>
      </w:pPr>
      <w:bookmarkStart w:id="0" w:name="_Hlk68471605"/>
      <w:r>
        <w:rPr>
          <w:rFonts w:hint="eastAsia" w:ascii="Times New Roman" w:hAnsi="Times New Roman" w:eastAsia="方正小标宋简体" w:cs="Times New Roman"/>
          <w:sz w:val="44"/>
          <w:szCs w:val="44"/>
        </w:rPr>
        <w:t>中国共产党廊坊市广阳区委员会宣传部</w:t>
      </w:r>
      <w:bookmarkEnd w:id="0"/>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中国共产党廊坊市广阳区委员会宣传部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办公室：</w:t>
      </w:r>
      <w:r>
        <w:rPr>
          <w:rFonts w:hint="eastAsia" w:ascii="仿宋_GB2312" w:hAnsi="仿宋_GB2312" w:eastAsia="仿宋_GB2312" w:cs="仿宋_GB2312"/>
          <w:bCs/>
          <w:sz w:val="32"/>
          <w:szCs w:val="32"/>
        </w:rPr>
        <w:t>负责内外联系、综合协调、机关文秘和行政工作；负责部分综合文字材料的起草；负责公文审核把关、督导督办、保密机要、信息报送、信访接待。</w:t>
      </w:r>
      <w:r>
        <w:rPr>
          <w:rFonts w:hint="eastAsia" w:ascii="仿宋_GB2312" w:hAnsi="仿宋_GB2312" w:eastAsia="仿宋_GB2312" w:cs="仿宋_GB2312"/>
          <w:b/>
          <w:sz w:val="32"/>
          <w:szCs w:val="32"/>
        </w:rPr>
        <w:t>宣教股</w:t>
      </w:r>
      <w:r>
        <w:rPr>
          <w:rFonts w:hint="eastAsia" w:ascii="仿宋_GB2312" w:hAnsi="仿宋_GB2312" w:eastAsia="仿宋_GB2312" w:cs="仿宋_GB2312"/>
          <w:bCs/>
          <w:sz w:val="32"/>
          <w:szCs w:val="32"/>
        </w:rPr>
        <w:t>（区委意识形态工作领导小组办公室）：负责区委理论中心组学习的服务工作，负责全区党委（党组）理论中心组学习的指导、协调、督导；负责对全区理论研究理论学习、理论宣传和理论队伍建设的指导协调，负责讲师团工作的经验交流，以及与有关理论社科部门的业务联系；负责统筹协调全区意识形态工作责任制落实和日常监督检查，结合巡察工作开展专项检查。</w:t>
      </w:r>
      <w:r>
        <w:rPr>
          <w:rFonts w:hint="eastAsia" w:ascii="仿宋_GB2312" w:hAnsi="仿宋_GB2312" w:eastAsia="仿宋_GB2312" w:cs="仿宋_GB2312"/>
          <w:b/>
          <w:sz w:val="32"/>
          <w:szCs w:val="32"/>
        </w:rPr>
        <w:t>新闻外宣股（区突发公共事件应急新闻办公室）</w:t>
      </w:r>
      <w:r>
        <w:rPr>
          <w:rFonts w:hint="eastAsia" w:ascii="仿宋_GB2312" w:hAnsi="仿宋_GB2312" w:eastAsia="仿宋_GB2312" w:cs="仿宋_GB2312"/>
          <w:bCs/>
          <w:sz w:val="32"/>
          <w:szCs w:val="32"/>
        </w:rPr>
        <w:t>负责统筹指导全区新闻舆论宏观管理业务和新闻队伍建设，负责组织协调重大新闻宣传报道活动，负责从宏观上指导协调互联网宣传和信息内容管理相关工作，研究提出新媒体运行和管理规律。</w:t>
      </w:r>
      <w:r>
        <w:rPr>
          <w:rFonts w:hint="eastAsia" w:ascii="仿宋_GB2312" w:hAnsi="仿宋_GB2312" w:eastAsia="仿宋_GB2312" w:cs="仿宋_GB2312"/>
          <w:b/>
          <w:sz w:val="32"/>
          <w:szCs w:val="32"/>
        </w:rPr>
        <w:t>精神文明创建股：</w:t>
      </w:r>
      <w:r>
        <w:rPr>
          <w:rFonts w:hint="eastAsia" w:ascii="仿宋_GB2312" w:hAnsi="仿宋_GB2312" w:eastAsia="仿宋_GB2312" w:cs="仿宋_GB2312"/>
          <w:bCs/>
          <w:sz w:val="32"/>
          <w:szCs w:val="32"/>
        </w:rPr>
        <w:t>负责联系区精神文明建设委员会各成员单位，协调督促落实区精神文明内建设委员会及办公室领导交办事项，管理使用市拨付“文化事业建设费”；负责全区道德模范、身边好人评选推介工作；负责全区精神文明建设情况的调研工作，提出全区精神文明建设的工作意见和建议，起草区精神文明建设委员会文件。</w:t>
      </w:r>
      <w:r>
        <w:rPr>
          <w:rFonts w:hint="eastAsia" w:ascii="仿宋_GB2312" w:hAnsi="仿宋_GB2312" w:eastAsia="仿宋_GB2312" w:cs="仿宋_GB2312"/>
          <w:b/>
          <w:sz w:val="32"/>
          <w:szCs w:val="32"/>
        </w:rPr>
        <w:t>国防教育办公室：</w:t>
      </w:r>
      <w:r>
        <w:rPr>
          <w:rFonts w:hint="eastAsia" w:ascii="仿宋_GB2312" w:hAnsi="仿宋_GB2312" w:eastAsia="仿宋_GB2312" w:cs="仿宋_GB2312"/>
          <w:bCs/>
          <w:sz w:val="32"/>
          <w:szCs w:val="32"/>
        </w:rPr>
        <w:t>负责全区爱国主义教育基地的建设、管理、使用。负责组织和指导全区国防教育工作，组织制定全区国防教育规划，组织协调地方地方和军队有关部门宣传贯彻党和国家关于国防教育的方针政策，开展国防教育活动，检查督促全区国防教育工作的落实.</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宣教股文化方面：</w:t>
      </w:r>
      <w:r>
        <w:rPr>
          <w:rFonts w:hint="eastAsia" w:ascii="仿宋_GB2312" w:hAnsi="仿宋_GB2312" w:eastAsia="仿宋_GB2312" w:cs="仿宋_GB2312"/>
          <w:bCs/>
          <w:sz w:val="32"/>
          <w:szCs w:val="32"/>
        </w:rPr>
        <w:t>贯彻落实国家有关文化事业产业发展的法律法规、法规和方针、政策，对全区文化事业产业发展政策的贯彻落实；规划指导协调督促全区重要文化事业产业政策的贯彻落实；规划指导协调推进全区重大文化事业产业项目，指导协调公共文化服务体系建设。管理区级文化产业发展引导资金和基金。承担全区电影制片、发行、放映单位和业务的监督管理工作。</w:t>
      </w:r>
    </w:p>
    <w:p>
      <w:pPr>
        <w:autoSpaceDE w:val="0"/>
        <w:autoSpaceDN w:val="0"/>
        <w:adjustRightInd w:val="0"/>
        <w:spacing w:line="584" w:lineRule="exact"/>
        <w:ind w:firstLine="630" w:firstLineChars="196"/>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新闻外宣股方面：</w:t>
      </w:r>
      <w:r>
        <w:rPr>
          <w:rFonts w:hint="eastAsia" w:ascii="仿宋_GB2312" w:hAnsi="仿宋_GB2312" w:eastAsia="仿宋_GB2312" w:cs="仿宋_GB2312"/>
          <w:bCs/>
          <w:sz w:val="32"/>
          <w:szCs w:val="32"/>
        </w:rPr>
        <w:t>负责贯彻落实国家和省、市“扫黄打非”工作方针政策，拟定全区“扫黄打非”行动方案并组织实施;组织、指导、协调全区扫黄打非”工作，组织指导文化市场行政执法部门查处非法和违禁出版传播活动的大案要案;承担区“扫黄打非”领导小组办公室的日常工作。负责全区新闻出版管理和版权工作，组织起草相关法律法规的实施办法并组织实施;负责新闻出版的文档资料及情况汇总、信息处理等工作;指导推进全区新闻出版领城公共服务，指导和组织实施全民阅读、农家书屋工程;负责相关版权管理、宣传、队伍培训等工作，组织推进软件正版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中国共产党廊坊市广阳区委员会宣传部</w:t>
            </w:r>
          </w:p>
        </w:tc>
        <w:tc>
          <w:tcPr>
            <w:tcW w:w="1134"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行政单位</w:t>
            </w:r>
          </w:p>
        </w:tc>
        <w:tc>
          <w:tcPr>
            <w:tcW w:w="1276"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正科级</w:t>
            </w:r>
          </w:p>
        </w:tc>
        <w:tc>
          <w:tcPr>
            <w:tcW w:w="2902"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中国共产党廊坊市广阳区委员会宣传部</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596.76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578.76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，上年结转0万元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中国共产党廊坊市广阳区委员会宣传部2021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596.76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449.56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407.18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42.38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147.20</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政府机关软件正版化采购项目经费、2021年公共文化服务体系建设(农村文化建设）市级补助资金</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596.76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134.69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增加1.19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日常公用经费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减少135.88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文明城市创建、国防教育等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42.38</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8.76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 w:hAnsi="仿宋" w:eastAsia="仿宋" w:cs="仿宋"/>
          <w:sz w:val="32"/>
          <w:szCs w:val="32"/>
        </w:rPr>
      </w:pPr>
      <w:r>
        <w:rPr>
          <w:rFonts w:ascii="Times New Roman" w:hAnsi="Times New Roman" w:eastAsia="仿宋_GB2312" w:cs="Times New Roman"/>
          <w:sz w:val="32"/>
          <w:szCs w:val="32"/>
        </w:rP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三服务”质量和水平。</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eastAsia="方正仿宋_GBK"/>
          <w:sz w:val="28"/>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加强综合协调，进一步提升中枢运转水平。一是做好协调服务工作。对领导交办的任务，全力以赴协调，保证任务完成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对各部门提出的需求，兼顾各方需要，协助及时落实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基层群众反映的问题，耐心及时协调，认真听取意见，满腔热情办好办实。二是提高后勤保障能力。积极探索加强和改进后勤保障的新途径，加强办公室公务用车、耗材管理，从严控制公务接待，加强会议场所管理，坚持日常巡查巡防，及时对办公设施进行维护修缮，保障机关的正常运转。三是切实做好值班工作。严格值班管理，坚持值班制度和重大紧急情况处理报告制度，保证“收、发、办、传、接、值”等各项工作规范有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加强督查落实，进一步提升服务决策水平。一是突出重点督查督办。将督查工作的突破口放在区委部署要求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区委领导反馈落实进程，确保各项工作部署推进有效。二是推进改革任务落实。区委改革工作在落实会议召开、台账管理等常规制度的基础上，实行上级改革任务落实情况报告、督察通报、专项调研三项制度，引导和推进全区上下各负其责、认真履职，力促每项改革举措落地见效。三是扎实做好国安工作。紧紧聚焦政治安全、经济、科技、社会稳定、公共安全、生态环境、外部环境、意识形态、党的建设等九大领域，积极协调区委国安委成员单位，全面深入摸排风险隐患，及时采取有效措施进行化解，确保全区经济社会发展大局和谐稳定。</w:t>
      </w:r>
    </w:p>
    <w:p>
      <w:pPr>
        <w:autoSpaceDE w:val="0"/>
        <w:autoSpaceDN w:val="0"/>
        <w:adjustRightInd w:val="0"/>
        <w:spacing w:line="584" w:lineRule="exact"/>
        <w:ind w:left="197" w:leftChars="94" w:firstLine="640" w:firstLineChars="200"/>
        <w:jc w:val="left"/>
        <w:rPr>
          <w:rFonts w:ascii="Times New Roman" w:eastAsia="方正仿宋_GBK"/>
          <w:sz w:val="28"/>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加强自身建设，进一步提升“三服务”工作水平。一是加强政治建设。始终把“政治上忠诚可靠”作为第一要求，</w:t>
      </w:r>
      <w:r>
        <w:rPr>
          <w:rFonts w:hint="eastAsia" w:ascii="Times New Roman" w:hAnsi="Times New Roman" w:eastAsia="仿宋_GB2312" w:cs="Times New Roman"/>
          <w:sz w:val="32"/>
          <w:szCs w:val="32"/>
          <w:lang w:eastAsia="zh-CN"/>
        </w:rPr>
        <w:t>坚决做到“两个维护”</w:t>
      </w:r>
      <w:r>
        <w:rPr>
          <w:rFonts w:ascii="Times New Roman" w:hAnsi="Times New Roman" w:eastAsia="仿宋_GB2312" w:cs="Times New Roman"/>
          <w:sz w:val="32"/>
          <w:szCs w:val="32"/>
        </w:rPr>
        <w:t>，严肃党内政治生活，自觉加强党性锤炼，持续推进“两学一做”学习教育常态化制度化。二是加强干部作风建设。办公室干部要带头遵守政治纪律、组织纪律、保密纪律，持续开展纠正“四风”和作风纪律专项整治，认真查找在服务群众、文风会风、履职尽责等方面的突出问题，坚决整改到位；加强纪律教育和纪律执行，强化监督执纪问责，让党员干部知敬畏、存戒惧、守底线，习惯在受监督和约束的环境中工作生活。三是加强对全区党办系统指导。深入推进业务指导与互动，坚持跟班学习制度，采取集中培训、座谈交流、业务练兵等方式，提高干部业务能力，以实际行动维护党办系统的良好形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加强预算支出管理，确保支出进度达标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2.加强内部监督管理，确保资金安全有效</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3.加强宣传培训调研，确保绩效目标实现</w:t>
      </w:r>
    </w:p>
    <w:p>
      <w:pPr>
        <w:autoSpaceDE w:val="0"/>
        <w:autoSpaceDN w:val="0"/>
        <w:adjustRightInd w:val="0"/>
        <w:spacing w:line="584" w:lineRule="exact"/>
        <w:ind w:left="197" w:leftChars="94" w:firstLine="640" w:firstLineChars="200"/>
        <w:jc w:val="left"/>
        <w:rPr>
          <w:rFonts w:ascii="仿宋_GB2312" w:eastAsia="仿宋_GB2312" w:cs="Times New Roman"/>
          <w:sz w:val="32"/>
          <w:szCs w:val="32"/>
        </w:rPr>
      </w:pPr>
      <w:r>
        <w:rPr>
          <w:rFonts w:ascii="Times New Roman" w:hAnsi="Times New Roman" w:eastAsia="仿宋_GB2312" w:cs="Times New Roman"/>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722"/>
        <w:gridCol w:w="1112"/>
        <w:gridCol w:w="1985"/>
        <w:gridCol w:w="709"/>
        <w:gridCol w:w="708"/>
        <w:gridCol w:w="1124"/>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72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11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4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42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722" w:type="dxa"/>
            <w:vMerge w:val="continue"/>
            <w:tcBorders>
              <w:tl2br w:val="nil"/>
              <w:tr2bl w:val="nil"/>
            </w:tcBorders>
            <w:vAlign w:val="center"/>
          </w:tcPr>
          <w:p/>
        </w:tc>
        <w:tc>
          <w:tcPr>
            <w:tcW w:w="1112" w:type="dxa"/>
            <w:vMerge w:val="continue"/>
            <w:tcBorders>
              <w:tl2br w:val="nil"/>
              <w:tr2bl w:val="nil"/>
            </w:tcBorders>
            <w:vAlign w:val="center"/>
          </w:tcPr>
          <w:p/>
        </w:tc>
        <w:tc>
          <w:tcPr>
            <w:tcW w:w="1985" w:type="dxa"/>
            <w:vMerge w:val="continue"/>
            <w:tcBorders>
              <w:tl2br w:val="nil"/>
              <w:tr2bl w:val="nil"/>
            </w:tcBorders>
            <w:vAlign w:val="center"/>
          </w:tcP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0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12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42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722"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开展外宣活动数量</w:t>
            </w:r>
          </w:p>
        </w:tc>
        <w:tc>
          <w:tcPr>
            <w:tcW w:w="1112"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20</w:t>
            </w:r>
          </w:p>
        </w:tc>
        <w:tc>
          <w:tcPr>
            <w:tcW w:w="1985"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开展外宣活动数量</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w:t>
            </w:r>
          </w:p>
        </w:tc>
        <w:tc>
          <w:tcPr>
            <w:tcW w:w="708"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仿宋_GB2312" w:cs="Times New Roman"/>
              </w:rPr>
              <w:t>500</w:t>
            </w:r>
          </w:p>
        </w:tc>
        <w:tc>
          <w:tcPr>
            <w:tcW w:w="1124"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仿宋_GB2312" w:cs="Times New Roman"/>
              </w:rPr>
              <w:t>条</w:t>
            </w:r>
          </w:p>
        </w:tc>
        <w:tc>
          <w:tcPr>
            <w:tcW w:w="1428"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关于请将《时代广阳》运行经费列入2021年度财政预算的请示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722"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文化设施达标率</w:t>
            </w:r>
          </w:p>
        </w:tc>
        <w:tc>
          <w:tcPr>
            <w:tcW w:w="1112"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20</w:t>
            </w:r>
          </w:p>
        </w:tc>
        <w:tc>
          <w:tcPr>
            <w:tcW w:w="1985" w:type="dxa"/>
            <w:tcBorders>
              <w:tl2br w:val="nil"/>
              <w:tr2bl w:val="nil"/>
            </w:tcBorders>
            <w:vAlign w:val="center"/>
          </w:tcPr>
          <w:p>
            <w:pPr>
              <w:widowControl/>
              <w:adjustRightInd w:val="0"/>
              <w:snapToGrid w:val="0"/>
              <w:rPr>
                <w:rFonts w:ascii="方正书宋_GBK" w:eastAsia="方正书宋_GBK"/>
                <w:sz w:val="18"/>
                <w:szCs w:val="18"/>
              </w:rPr>
            </w:pPr>
            <w:r>
              <w:rPr>
                <w:rFonts w:hint="eastAsia" w:ascii="Times New Roman" w:hAnsi="Times New Roman" w:eastAsia="仿宋_GB2312" w:cs="Times New Roman"/>
                <w:sz w:val="18"/>
                <w:szCs w:val="18"/>
              </w:rPr>
              <w:t>实际文化设施达标数量占文化设施总数的比率</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w:t>
            </w:r>
          </w:p>
        </w:tc>
        <w:tc>
          <w:tcPr>
            <w:tcW w:w="708"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90</w:t>
            </w:r>
          </w:p>
        </w:tc>
        <w:tc>
          <w:tcPr>
            <w:tcW w:w="1124"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w:t>
            </w:r>
          </w:p>
        </w:tc>
        <w:tc>
          <w:tcPr>
            <w:tcW w:w="1428"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722"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工作按时完成率</w:t>
            </w:r>
          </w:p>
        </w:tc>
        <w:tc>
          <w:tcPr>
            <w:tcW w:w="1112"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15</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工作按时完成率</w:t>
            </w:r>
          </w:p>
        </w:tc>
        <w:tc>
          <w:tcPr>
            <w:tcW w:w="709"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708"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100</w:t>
            </w:r>
          </w:p>
        </w:tc>
        <w:tc>
          <w:tcPr>
            <w:tcW w:w="1124"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w:t>
            </w:r>
          </w:p>
        </w:tc>
        <w:tc>
          <w:tcPr>
            <w:tcW w:w="1428"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《关于进一步加强计算机软硬件采购源头管理工作的通知》冀版权字【2016】12号和《廊坊市使用正版软件工作领导小组关于政府机关使用正版软件工作的通知》廊正软字【2019】1号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9"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722"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成本控制</w:t>
            </w:r>
          </w:p>
        </w:tc>
        <w:tc>
          <w:tcPr>
            <w:tcW w:w="1112"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15</w:t>
            </w:r>
          </w:p>
        </w:tc>
        <w:tc>
          <w:tcPr>
            <w:tcW w:w="1985"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成本控制情况</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w:t>
            </w:r>
          </w:p>
        </w:tc>
        <w:tc>
          <w:tcPr>
            <w:tcW w:w="708"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20</w:t>
            </w:r>
          </w:p>
        </w:tc>
        <w:tc>
          <w:tcPr>
            <w:tcW w:w="1124"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万元</w:t>
            </w:r>
          </w:p>
        </w:tc>
        <w:tc>
          <w:tcPr>
            <w:tcW w:w="1428"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关于请将《时代广阳》运行经费列入2021年度财政预算的请示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722"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提高广阳知名度</w:t>
            </w:r>
          </w:p>
        </w:tc>
        <w:tc>
          <w:tcPr>
            <w:tcW w:w="1112"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15</w:t>
            </w:r>
          </w:p>
        </w:tc>
        <w:tc>
          <w:tcPr>
            <w:tcW w:w="1985" w:type="dxa"/>
            <w:tcBorders>
              <w:tl2br w:val="nil"/>
              <w:tr2bl w:val="nil"/>
            </w:tcBorders>
            <w:vAlign w:val="center"/>
          </w:tcPr>
          <w:p>
            <w:pPr>
              <w:widowControl/>
              <w:adjustRightInd w:val="0"/>
              <w:snapToGrid w:val="0"/>
              <w:rPr>
                <w:rFonts w:ascii="方正书宋_GBK" w:eastAsia="方正书宋_GBK"/>
              </w:rPr>
            </w:pPr>
            <w:r>
              <w:rPr>
                <w:rFonts w:hint="eastAsia" w:ascii="Times New Roman" w:hAnsi="Times New Roman" w:eastAsia="仿宋_GB2312" w:cs="Times New Roman"/>
              </w:rPr>
              <w:t>提高广阳知名度</w:t>
            </w:r>
          </w:p>
        </w:tc>
        <w:tc>
          <w:tcPr>
            <w:tcW w:w="709" w:type="dxa"/>
            <w:tcBorders>
              <w:tl2br w:val="nil"/>
              <w:tr2bl w:val="nil"/>
            </w:tcBorders>
            <w:vAlign w:val="center"/>
          </w:tcPr>
          <w:p>
            <w:pPr>
              <w:widowControl/>
              <w:adjustRightInd w:val="0"/>
              <w:snapToGrid w:val="0"/>
              <w:jc w:val="center"/>
              <w:rPr>
                <w:rFonts w:ascii="方正书宋_GBK" w:eastAsia="方正书宋_GBK"/>
              </w:rPr>
            </w:pPr>
          </w:p>
        </w:tc>
        <w:tc>
          <w:tcPr>
            <w:tcW w:w="708" w:type="dxa"/>
            <w:tcBorders>
              <w:tl2br w:val="nil"/>
              <w:tr2bl w:val="nil"/>
            </w:tcBorders>
            <w:vAlign w:val="center"/>
          </w:tcPr>
          <w:p>
            <w:pPr>
              <w:widowControl/>
              <w:adjustRightInd w:val="0"/>
              <w:snapToGrid w:val="0"/>
              <w:jc w:val="center"/>
              <w:rPr>
                <w:rFonts w:ascii="Times New Roman" w:hAnsi="Times New Roman" w:eastAsia="方正书宋_GBK" w:cs="Times New Roman"/>
              </w:rPr>
            </w:pPr>
          </w:p>
        </w:tc>
        <w:tc>
          <w:tcPr>
            <w:tcW w:w="1124"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提高</w:t>
            </w:r>
          </w:p>
        </w:tc>
        <w:tc>
          <w:tcPr>
            <w:tcW w:w="1428"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关于请将《时代广阳》运行经费列入2021年度财政预算的请示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722"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112"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15</w:t>
            </w:r>
          </w:p>
        </w:tc>
        <w:tc>
          <w:tcPr>
            <w:tcW w:w="1985"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满意群众人数占总人数的比率</w:t>
            </w:r>
          </w:p>
        </w:tc>
        <w:tc>
          <w:tcPr>
            <w:tcW w:w="709"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w:t>
            </w:r>
          </w:p>
        </w:tc>
        <w:tc>
          <w:tcPr>
            <w:tcW w:w="708"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90</w:t>
            </w:r>
          </w:p>
        </w:tc>
        <w:tc>
          <w:tcPr>
            <w:tcW w:w="1124" w:type="dxa"/>
            <w:tcBorders>
              <w:tl2br w:val="nil"/>
              <w:tr2bl w:val="nil"/>
            </w:tcBorders>
            <w:vAlign w:val="center"/>
          </w:tcPr>
          <w:p>
            <w:pPr>
              <w:widowControl/>
              <w:adjustRightInd w:val="0"/>
              <w:snapToGrid w:val="0"/>
              <w:jc w:val="center"/>
              <w:rPr>
                <w:rFonts w:ascii="Times New Roman" w:hAnsi="Times New Roman" w:eastAsia="方正书宋_GBK" w:cs="Times New Roman"/>
              </w:rPr>
            </w:pPr>
            <w:r>
              <w:rPr>
                <w:rFonts w:hint="eastAsia" w:ascii="Times New Roman" w:hAnsi="Times New Roman" w:eastAsia="方正书宋_GBK" w:cs="Times New Roman"/>
              </w:rPr>
              <w:t>%</w:t>
            </w:r>
          </w:p>
        </w:tc>
        <w:tc>
          <w:tcPr>
            <w:tcW w:w="1428" w:type="dxa"/>
            <w:tcBorders>
              <w:tl2br w:val="nil"/>
              <w:tr2bl w:val="nil"/>
            </w:tcBorders>
            <w:vAlign w:val="center"/>
          </w:tcPr>
          <w:p>
            <w:pPr>
              <w:widowControl/>
              <w:adjustRightInd w:val="0"/>
              <w:snapToGrid w:val="0"/>
              <w:jc w:val="center"/>
              <w:rPr>
                <w:rFonts w:ascii="方正书宋_GBK" w:eastAsia="方正书宋_GBK"/>
              </w:rPr>
            </w:pPr>
            <w:r>
              <w:rPr>
                <w:rFonts w:hint="eastAsia" w:ascii="Times New Roman" w:hAnsi="Times New Roman" w:eastAsia="仿宋_GB2312" w:cs="Times New Roman"/>
              </w:rPr>
              <w:t>关于请将《时代广阳》运行经费列入2021年度财政预算的请示</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bookmarkStart w:id="1" w:name="_Toc29799657"/>
      <w:bookmarkEnd w:id="1"/>
      <w:r>
        <w:rPr>
          <w:rFonts w:hint="eastAsia" w:ascii="方正仿宋_GBK" w:eastAsia="方正仿宋_GBK"/>
          <w:b/>
          <w:sz w:val="28"/>
        </w:rPr>
        <w:t xml:space="preserve"> 政府机关软件正版化采购项目经费绩效目标表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1.软件正版化率100%是全国版权示范城市的一条主要标准，广阳区各级各部门完成软件正版化率100%。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政府机关安装正版软件计算机台数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正版办公软件覆盖率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《关于进一步加强计算机软硬件采购源头管理工作的通知》冀版权字【2016】12号和《廊坊市使用正版软件工作领导小组关于政府机关使用正版软件工作的通知》廊正软字【2019】1号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政府机关软件正版率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政府机关软件正版率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《关于进一步加强计算机软硬件采购源头管理工作的通知》冀版权字【2016】12号和《廊坊市使用正版软件工作领导小组关于政府机关使用正版软件工作的通知》廊正软字【2019】1号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按照要求和计划完成</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《关于进一步加强计算机软硬件采购源头管理工作的通知》冀版权字【2016】12号和《廊坊市使用正版软件工作领导小组关于政府机关使用正版软件工作的通知》廊正软字【2019】1号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≤40万元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《关于进一步加强计算机软硬件采购源头管理工作的通知》冀版权字【2016】12号和《廊坊市使用正版软件工作领导小组关于政府机关使用正版软件工作的通知》廊正软字【2019】1号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政府带头使用正版软件使用期限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政府机关带头使用正版软件持续长效使用</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2年</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《关于进一步加强计算机软硬件采购源头管理工作的通知》冀版权字【2016】12号和《廊坊市使用正版软件工作领导小组关于政府机关使用正版软件工作的通知》廊正软字【2019】1号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机关工作人员满意度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机关工作人员对国产办公软件操作整体满意度</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《关于进一步加强计算机软硬件采购源头管理工作的通知》冀版权字【2016】12号和《廊坊市使用正版软件工作领导小组关于政府机关使用正版软件工作的通知》廊正软字【2019】1号</w:t>
            </w:r>
          </w:p>
        </w:tc>
      </w:tr>
    </w:tbl>
    <w:p>
      <w:pPr>
        <w:ind w:firstLine="560" w:firstLineChars="200"/>
        <w:jc w:val="left"/>
        <w:outlineLvl w:val="3"/>
        <w:rPr>
          <w:rFonts w:ascii="Times New Roman" w:hAnsi="宋体"/>
          <w:b/>
          <w:sz w:val="28"/>
        </w:rPr>
      </w:pPr>
      <w:r>
        <w:rPr>
          <w:rFonts w:ascii="Times New Roman" w:hAnsi="Times New Roman" w:eastAsia="仿宋_GB2312" w:cs="Times New Roman"/>
          <w:sz w:val="28"/>
        </w:rPr>
        <w:t>2.</w:t>
      </w:r>
      <w:r>
        <w:rPr>
          <w:rFonts w:hint="eastAsia" w:ascii="方正仿宋_GBK" w:eastAsia="方正仿宋_GBK"/>
          <w:b/>
          <w:sz w:val="28"/>
        </w:rPr>
        <w:t xml:space="preserve"> 2021年公共文化服务体系建设(农村文化建设）市级补助资金绩效目标表</w:t>
      </w:r>
      <w:r>
        <w:fldChar w:fldCharType="begin"/>
      </w:r>
      <w:r>
        <w:rPr>
          <w:rFonts w:hint="eastAsia" w:ascii="方正仿宋_GBK" w:eastAsia="方正仿宋_GBK"/>
          <w:b/>
          <w:sz w:val="28"/>
        </w:rPr>
        <w:instrText xml:space="preserve">TC 7、2021年公共文化服务体系建设(农村文化建设）市级补助资金绩效目标表 \f C \l 1</w:instrText>
      </w:r>
      <w:r>
        <w:rPr>
          <w:rFonts w:ascii="方正仿宋_GBK" w:eastAsia="方正仿宋_GBK"/>
          <w:b/>
          <w:sz w:val="28"/>
        </w:rPr>
        <w:fldChar w:fldCharType="end"/>
      </w:r>
    </w:p>
    <w:p>
      <w:pPr>
        <w:ind w:firstLine="420" w:firstLineChars="200"/>
        <w:jc w:val="left"/>
        <w:outlineLvl w:val="1"/>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1.引导和支持地方提供基本公共文化项目，改善基础公共文化体育设施条件，加强基础公共文化服务人才建设等，支出加快构建现代公共文化服务体系，促进基本公共文化服务标准化、均等化。</w:t>
            </w:r>
          </w:p>
          <w:p>
            <w:pPr>
              <w:spacing w:line="300" w:lineRule="exact"/>
              <w:jc w:val="left"/>
              <w:rPr>
                <w:rFonts w:ascii="方正书宋_GBK" w:eastAsia="方正书宋_GBK"/>
              </w:rPr>
            </w:pPr>
            <w:r>
              <w:rPr>
                <w:rFonts w:hint="eastAsia" w:ascii="Times New Roman" w:hAnsi="Times New Roman" w:eastAsia="仿宋_GB2312" w:cs="Times New Roman"/>
              </w:rPr>
              <w:t>2.更好地开展展演、展映、展播、展示，长期满足人民群众对精神文化的需求，达到良好的社会效益。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送公益流动文化服务进基层完成率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年度内送公益文艺展览、演出的实际场次数占计划场次数比率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文化设施达标率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实际文化设施达标数量占文化设施总数的比率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年度内提供文化服务完成率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年度内提供文化服务完成数量占总计划数量的比率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≤11.08万元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基本公共文化水平</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基本公共文化水平提高率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系列文化活动参与者满意人数占参与人数的比率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bl>
    <w:p>
      <w:pPr>
        <w:ind w:firstLine="560" w:firstLineChars="200"/>
        <w:jc w:val="left"/>
        <w:outlineLvl w:val="3"/>
        <w:rPr>
          <w:rFonts w:ascii="Times New Roman" w:hAnsi="宋体"/>
          <w:b/>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方正仿宋_GBK" w:eastAsia="方正仿宋_GBK"/>
          <w:b/>
          <w:sz w:val="28"/>
        </w:rPr>
        <w:t xml:space="preserve"> 2021年原乡镇（公社）老电影放映员生活补助区级专项资金绩效目标表</w:t>
      </w:r>
      <w:r>
        <w:fldChar w:fldCharType="begin"/>
      </w:r>
      <w:r>
        <w:rPr>
          <w:rFonts w:hint="eastAsia" w:ascii="方正仿宋_GBK" w:eastAsia="方正仿宋_GBK"/>
          <w:b/>
          <w:sz w:val="28"/>
        </w:rPr>
        <w:instrText xml:space="preserve">TC 8、2021年原乡镇（公社）老电影放映员生活补助区级专项资金绩效目标表 \f C \l 1</w:instrText>
      </w:r>
      <w:r>
        <w:rPr>
          <w:rFonts w:ascii="方正仿宋_GBK" w:eastAsia="方正仿宋_GBK"/>
          <w:b/>
          <w:sz w:val="28"/>
        </w:rPr>
        <w:fldChar w:fldCharType="end"/>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1.专项用于2021年原乡镇（公社）电影放映员生活补助，按照规定的补贴标准，及时足额发放到位。</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2.妥善解决原乡镇（公社）老放映员的历史遗留问题。</w:t>
            </w:r>
          </w:p>
          <w:p>
            <w:pPr>
              <w:spacing w:line="300" w:lineRule="exact"/>
              <w:jc w:val="left"/>
              <w:rPr>
                <w:rFonts w:ascii="方正书宋_GBK" w:eastAsia="方正书宋_GBK"/>
              </w:rPr>
            </w:pPr>
            <w:r>
              <w:rPr>
                <w:rFonts w:hint="eastAsia" w:ascii="Times New Roman" w:hAnsi="Times New Roman" w:eastAsia="仿宋_GB2312" w:cs="Times New Roman"/>
              </w:rPr>
              <w:t>3.妥善解决老放映员的保障和生活困难问题，积极改善民生。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补助人数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补助人数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7人</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公益性演出场次</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公益性演出场次</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1800场</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补贴资金到位率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补贴资金到位率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补助发放及时率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补助发放及时率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补助金额总量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补助金额总量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≤2.7万元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jc w:val="cente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提升老放映员生活保障</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提升老放映员生活保障</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关于妥善解决乡镇（公社）老放映员历史遗留问题实施方案（冀政办函〔2013〕17号）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受益人员满意度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满意的老放映员数量占总人数的比率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关于妥善解决乡镇（公社）老放映员历史遗留问题实施方案（冀政办函〔2013〕17号）</w:t>
            </w:r>
          </w:p>
        </w:tc>
      </w:tr>
    </w:tbl>
    <w:p>
      <w:pPr>
        <w:ind w:firstLine="560" w:firstLineChars="200"/>
        <w:jc w:val="left"/>
        <w:outlineLvl w:val="3"/>
        <w:rPr>
          <w:rFonts w:ascii="Times New Roman" w:hAnsi="宋体"/>
          <w:b/>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方正仿宋_GBK" w:eastAsia="方正仿宋_GBK"/>
          <w:b/>
          <w:sz w:val="28"/>
        </w:rPr>
        <w:t xml:space="preserve"> 2021年公共文化服务体系建设(农村文化建设）中央补助资金绩效目标表</w:t>
      </w:r>
      <w:r>
        <w:fldChar w:fldCharType="begin"/>
      </w:r>
      <w:r>
        <w:rPr>
          <w:rFonts w:hint="eastAsia" w:ascii="方正仿宋_GBK" w:eastAsia="方正仿宋_GBK"/>
          <w:b/>
          <w:sz w:val="28"/>
        </w:rPr>
        <w:instrText xml:space="preserve">TC 9、2021年公共文化服务体系建设(农村文化建设）中央补助资金绩效目标表 \f C \l 1</w:instrText>
      </w:r>
      <w:r>
        <w:rPr>
          <w:rFonts w:ascii="方正仿宋_GBK" w:eastAsia="方正仿宋_GBK"/>
          <w:b/>
          <w:sz w:val="28"/>
        </w:rPr>
        <w:fldChar w:fldCharType="end"/>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1.引导和支持地方提供基本公共文化项目，改善基础公共文化体育设施条件，加强基础公共文化服务人才建设等，支出加快构建现代公共文化服务体系，促进基本公共文化服务标准化、均等化。</w:t>
            </w:r>
          </w:p>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2.更好地开展展演、展映、展播、展示，长期满足人民群众对精神文化的需求，达到良好的社会效益。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送公益流动文化服务进基层完成率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年度内送公益文艺展览、演出的实际场次数占计划场次数比率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文化设施达标率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实际文化设施达标数量占文化设施总数的比率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年度内提供文化服务完成率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年度内提供文化服务完成数量占总计划数量的比率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≤33.22万元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基本公共文化水平</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基本公共文化水平提高率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系列文化活动参与者满意人数占参与人数的比率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方正仿宋_GBK" w:eastAsia="方正仿宋_GBK"/>
          <w:b/>
          <w:sz w:val="28"/>
        </w:rPr>
        <w:t xml:space="preserve"> 2021年电影事业发展中央补助专项资金绩效目标表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1.提高优良文化传播范围，进一步促进城市娱乐设施良好发展，加快经济发展速度。</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2.支持国家影视业发展，更充分特高人民群众的生活水平以及生活质量，突出解决国内影院东西部分布不均等问题，升级、整改落花影院。</w:t>
            </w:r>
          </w:p>
          <w:p>
            <w:pPr>
              <w:spacing w:line="300" w:lineRule="exact"/>
              <w:jc w:val="left"/>
              <w:rPr>
                <w:rFonts w:ascii="方正书宋_GBK" w:eastAsia="方正书宋_GBK"/>
              </w:rPr>
            </w:pPr>
            <w:r>
              <w:rPr>
                <w:rFonts w:hint="eastAsia" w:ascii="Times New Roman" w:hAnsi="Times New Roman" w:eastAsia="仿宋_GB2312" w:cs="Times New Roman"/>
              </w:rPr>
              <w:t>3.为推动我国国产电影产业繁荣发展，鼓励影院放映国产影片，根据相关部门规定，对放映国产影片予以奖励补助。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奖励放映国产影片突出影院</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按照国家相关文件规定区域内放映国产电影影院数量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≥5家</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财政部新闻出版广电总局关于印发《中央级国家电影事业发展专项资金预算管理办法》的通知（财教[2016]4号）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影院放映国产片收入占比</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影院放映国产片收入占比</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财政部新闻出版广电总局关于印发《中央级国家电影事业发展专项资金预算管理办法》的通知（财教[2016]4号）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国产影片放映完成率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按照相关规定全年放映国产电影数量占总放映量的比率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≥60%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财政部新闻出版广电总局关于印发《中央级国家电影事业发展专项资金预算管理办法》的通知（财教[2016]4号）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预算执行情况</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严格按照年初预算数执行</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≤18万元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财政部新闻出版广电总局关于印发《中央级国家电影事业发展专项资金预算管理办法》的通知（财教[2016]4号）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国产影片观影人次增长率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国产影片观影人次增长率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≥3%</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财政部新闻出版广电总局关于印发《中央级国家电影事业发展专项资金预算管理办法》的通知（财教[2016]4号）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群众对影院满意度</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财政部新闻出版广电总局关于印发《中央级国家电影事业发展专项资金预算管理办法》的通知（财教[2016]4号）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w:t>
      </w:r>
      <w:r>
        <w:rPr>
          <w:rFonts w:hint="eastAsia" w:ascii="方正仿宋_GBK" w:eastAsia="方正仿宋_GBK"/>
          <w:b/>
          <w:sz w:val="28"/>
        </w:rPr>
        <w:t xml:space="preserve"> 时代广阳运行经费绩效目标表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1.全面深入多渠道的宣传贯彻习近平新时代中国特色社会主义思想和党的十九大精神，为全区各级各部门宣传特色亮点工作，为领导决策提供</w:t>
            </w:r>
            <w:r>
              <w:rPr>
                <w:rFonts w:hint="eastAsia" w:ascii="Times New Roman" w:hAnsi="Times New Roman" w:eastAsia="仿宋_GB2312" w:cs="Times New Roman"/>
                <w:lang w:eastAsia="zh-CN"/>
              </w:rPr>
              <w:t>有力保障</w:t>
            </w:r>
            <w:r>
              <w:rPr>
                <w:rFonts w:hint="eastAsia" w:ascii="Times New Roman" w:hAnsi="Times New Roman" w:eastAsia="仿宋_GB2312" w:cs="Times New Roman"/>
              </w:rPr>
              <w:t>。</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2.能够长期坚持报纸高质量出版，为全区各级各部门宣传特色亮点工作，为领导决策提供</w:t>
            </w:r>
            <w:r>
              <w:rPr>
                <w:rFonts w:hint="eastAsia" w:ascii="Times New Roman" w:hAnsi="Times New Roman" w:eastAsia="仿宋_GB2312" w:cs="Times New Roman"/>
                <w:lang w:eastAsia="zh-CN"/>
              </w:rPr>
              <w:t>有力保障</w:t>
            </w:r>
            <w:r>
              <w:rPr>
                <w:rFonts w:hint="eastAsia" w:ascii="Times New Roman" w:hAnsi="Times New Roman" w:eastAsia="仿宋_GB2312"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p>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产生重要影响的作品数量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一年内在全区出版发行的重要作品数量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≥100个</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关于请将《时代广阳》运行经费列入2021年度财政预算的请示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每周完成作品数量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每周完成作品数量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≥1期</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关于请将《时代广阳》运行经费列入2021年度财政预算的请示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开展外宣活动数量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开展外宣活动数量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≥500条</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关于请将《时代广阳》运行经费列入2021年度财政预算的请示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业务工作完成率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业务工作完成率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关于请将《时代广阳》运行经费列入2021年度财政预算的请示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工作按时完成率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工作按时完成率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关于请将《时代广阳》运行经费列入2021年度财政预算的请示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成本控制情况</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≤40万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关于请将《时代广阳》运行经费列入2021年度财政预算的请示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提高广阳知名度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提高广阳知名度</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关于请将《时代广阳》运行经费列入2021年度财政预算的请示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满意群众人数占总人数的比率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关于请将《时代广阳》运行经费列入2021年度财政预算的请示</w:t>
            </w:r>
          </w:p>
        </w:tc>
      </w:tr>
    </w:tbl>
    <w:p>
      <w:pPr>
        <w:ind w:firstLine="560" w:firstLineChars="200"/>
        <w:jc w:val="left"/>
        <w:outlineLvl w:val="3"/>
        <w:rPr>
          <w:rFonts w:ascii="Times New Roman" w:hAnsi="宋体"/>
          <w:b/>
          <w:sz w:val="28"/>
        </w:rPr>
      </w:pPr>
      <w:r>
        <w:rPr>
          <w:rFonts w:ascii="Times New Roman" w:hAnsi="Times New Roman" w:eastAsia="仿宋_GB2312" w:cs="Times New Roman"/>
          <w:vanish/>
          <w:sz w:val="28"/>
        </w:rPr>
        <w:t>{ TC 2、办公自动化（OA）和督查督办系统升级及推广费绩效目标表 \f C \l 1 }{ TC 2、办公自动化（OA）和督查督办系统升级及推广费绩效目标表 \f C \l 1 }</w:t>
      </w:r>
      <w:bookmarkStart w:id="2" w:name="_Toc67149202"/>
      <w:r>
        <w:rPr>
          <w:rFonts w:hint="eastAsia" w:ascii="方正仿宋_GBK" w:eastAsia="方正仿宋_GBK"/>
          <w:b/>
          <w:sz w:val="28"/>
        </w:rPr>
        <w:t>7.公共文化服务体系建设（农村文化建设）区级资金绩效目标表</w:t>
      </w:r>
      <w:bookmarkEnd w:id="2"/>
      <w:r>
        <w:fldChar w:fldCharType="begin"/>
      </w:r>
      <w:r>
        <w:rPr>
          <w:rFonts w:hint="eastAsia" w:ascii="方正仿宋_GBK" w:eastAsia="方正仿宋_GBK"/>
          <w:b/>
          <w:sz w:val="28"/>
        </w:rPr>
        <w:instrText xml:space="preserve">TC 12、公共文化服务体系建设（农村文化建设）区级资金绩效目标表 \f C \l 1</w:instrText>
      </w:r>
      <w:r>
        <w:rPr>
          <w:rFonts w:ascii="方正仿宋_GBK" w:eastAsia="方正仿宋_GBK"/>
          <w:b/>
          <w:sz w:val="28"/>
        </w:rPr>
        <w:fldChar w:fldCharType="end"/>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1.丰富人民群众精神文化生活，加快构建现代公共文化服务体系建设。</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2.推进公共文化服务水平的提高。</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3.推进公共文化服务体系标准化、均等化发展。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补助农村电影放映、农家书屋行政村数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补助农村电影放映、农家书屋行政村数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≤151个</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公益电影放映场次</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公益电影放映场次</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≥1800场</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全民阅读率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全民阅读率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工作按时完成率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工作按时完成率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经费控制数</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经费控制数</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≤22.2万元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提升人民群众对精神文化的需求</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能够长期较好地开展展演、展映、展播、展示，长期满足人民群众对精神文化的需求</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调查中满意和较满意的人数占调查总人数的比率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关于印发《中央补助地方公共文化服务体系建设专项资金管理暂行办法》的通知（财教【2015】527号）</w:t>
            </w:r>
          </w:p>
        </w:tc>
      </w:tr>
    </w:tbl>
    <w:p>
      <w:pPr>
        <w:jc w:val="left"/>
        <w:outlineLvl w:val="1"/>
        <w:rPr>
          <w:rFonts w:ascii="Times New Roman" w:hAnsi="Times New Roman" w:eastAsia="仿宋_GB2312" w:cs="Times New Roman"/>
          <w:sz w:val="28"/>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4" w:name="_Toc64920910"/>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4"/>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【260018】中国共产党廊坊市广阳区委员会宣传部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中国共产党廊坊市广阳区委员会宣传部</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96.9382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中国共产党廊坊市广阳区委员会宣传部部门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中国共产党廊坊市广阳区委员会宣传部</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96.9382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85.5382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53DD"/>
    <w:rsid w:val="0002143D"/>
    <w:rsid w:val="00034755"/>
    <w:rsid w:val="000B738D"/>
    <w:rsid w:val="00146D50"/>
    <w:rsid w:val="001642D4"/>
    <w:rsid w:val="00186B02"/>
    <w:rsid w:val="001D1AE2"/>
    <w:rsid w:val="00215322"/>
    <w:rsid w:val="00297D5A"/>
    <w:rsid w:val="002D2250"/>
    <w:rsid w:val="00301F9F"/>
    <w:rsid w:val="00337764"/>
    <w:rsid w:val="00356057"/>
    <w:rsid w:val="00356488"/>
    <w:rsid w:val="00356683"/>
    <w:rsid w:val="00361AC4"/>
    <w:rsid w:val="0039577F"/>
    <w:rsid w:val="003A1906"/>
    <w:rsid w:val="003C37B9"/>
    <w:rsid w:val="003D247B"/>
    <w:rsid w:val="003E7ABB"/>
    <w:rsid w:val="004A54AA"/>
    <w:rsid w:val="004B3524"/>
    <w:rsid w:val="004E525F"/>
    <w:rsid w:val="005107CD"/>
    <w:rsid w:val="00523500"/>
    <w:rsid w:val="00527D94"/>
    <w:rsid w:val="00543DD0"/>
    <w:rsid w:val="00576914"/>
    <w:rsid w:val="005C2277"/>
    <w:rsid w:val="005D08CD"/>
    <w:rsid w:val="005F4D03"/>
    <w:rsid w:val="005F6810"/>
    <w:rsid w:val="006B6CB2"/>
    <w:rsid w:val="006F4FDD"/>
    <w:rsid w:val="00732746"/>
    <w:rsid w:val="007E7A8A"/>
    <w:rsid w:val="00807A76"/>
    <w:rsid w:val="00834520"/>
    <w:rsid w:val="008C28CC"/>
    <w:rsid w:val="008F0EB4"/>
    <w:rsid w:val="00955925"/>
    <w:rsid w:val="009A70FF"/>
    <w:rsid w:val="00A044B2"/>
    <w:rsid w:val="00A218C6"/>
    <w:rsid w:val="00A42196"/>
    <w:rsid w:val="00AA3134"/>
    <w:rsid w:val="00AB0754"/>
    <w:rsid w:val="00AE4470"/>
    <w:rsid w:val="00B17B32"/>
    <w:rsid w:val="00B36F2F"/>
    <w:rsid w:val="00B4150C"/>
    <w:rsid w:val="00B453E2"/>
    <w:rsid w:val="00B60BDE"/>
    <w:rsid w:val="00B75277"/>
    <w:rsid w:val="00B80935"/>
    <w:rsid w:val="00B82040"/>
    <w:rsid w:val="00C471A7"/>
    <w:rsid w:val="00C66161"/>
    <w:rsid w:val="00C70C5F"/>
    <w:rsid w:val="00C81C12"/>
    <w:rsid w:val="00C90041"/>
    <w:rsid w:val="00CA2683"/>
    <w:rsid w:val="00CA4A2B"/>
    <w:rsid w:val="00D13C6C"/>
    <w:rsid w:val="00D347CC"/>
    <w:rsid w:val="00D44893"/>
    <w:rsid w:val="00D91904"/>
    <w:rsid w:val="00DA07C9"/>
    <w:rsid w:val="00DD2041"/>
    <w:rsid w:val="00DE09D0"/>
    <w:rsid w:val="00DE72BF"/>
    <w:rsid w:val="00E27CE3"/>
    <w:rsid w:val="00E417A6"/>
    <w:rsid w:val="00F2158A"/>
    <w:rsid w:val="00F249DB"/>
    <w:rsid w:val="00F65D09"/>
    <w:rsid w:val="00F7223E"/>
    <w:rsid w:val="00F741EF"/>
    <w:rsid w:val="00F76912"/>
    <w:rsid w:val="00F76E76"/>
    <w:rsid w:val="00F844FA"/>
    <w:rsid w:val="00F86225"/>
    <w:rsid w:val="00F8632C"/>
    <w:rsid w:val="03682F6B"/>
    <w:rsid w:val="0F782F26"/>
    <w:rsid w:val="11AF1DA8"/>
    <w:rsid w:val="2C3C13CB"/>
    <w:rsid w:val="585857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Hyperlink"/>
    <w:basedOn w:val="9"/>
    <w:unhideWhenUsed/>
    <w:qFormat/>
    <w:uiPriority w:val="99"/>
    <w:rPr>
      <w:color w:val="0000FF"/>
      <w:u w:val="single"/>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CCE272-6AD4-4863-88B0-2E952BEE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1723</Words>
  <Characters>9826</Characters>
  <Lines>81</Lines>
  <Paragraphs>23</Paragraphs>
  <TotalTime>32</TotalTime>
  <ScaleCrop>false</ScaleCrop>
  <LinksUpToDate>false</LinksUpToDate>
  <CharactersWithSpaces>11526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2024-05-16T01:15:43Z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3AEB68E82E044E5D9B9A1A56C4759F5B</vt:lpwstr>
  </property>
</Properties>
</file>