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bookmarkStart w:id="0" w:name="_Hlk68470622"/>
      <w:r>
        <w:rPr>
          <w:rFonts w:hint="eastAsia" w:ascii="Times New Roman" w:hAnsi="Times New Roman" w:eastAsia="方正小标宋简体" w:cs="Times New Roman"/>
          <w:sz w:val="44"/>
          <w:szCs w:val="44"/>
        </w:rPr>
        <w:t>中国共产主义青年团廊坊市广阳区委员会</w:t>
      </w:r>
    </w:p>
    <w:bookmarkEnd w:id="0"/>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21</w:t>
      </w:r>
      <w:r>
        <w:rPr>
          <w:rFonts w:ascii="Times New Roman" w:hAnsi="Times New Roman" w:eastAsia="方正小标宋简体" w:cs="Times New Roman"/>
          <w:sz w:val="44"/>
          <w:szCs w:val="44"/>
        </w:rPr>
        <w:t>年部门预算信息公开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w:t>
      </w:r>
      <w:r>
        <w:rPr>
          <w:rFonts w:hint="eastAsia" w:ascii="Times New Roman" w:hAnsi="Times New Roman" w:eastAsia="仿宋_GB2312" w:cs="Times New Roman"/>
          <w:sz w:val="32"/>
          <w:szCs w:val="32"/>
        </w:rPr>
        <w:t>中国共产主义青年团廊坊市广阳区委员会</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（一）行使领导全区共青团工作、领导全区少先队工作的职权，对全区青年社团组织进行指</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导和管理。</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（二）参与制定广阳区的青少年事业发展规划和青少年工作方针、政策，对青少年活动阵地</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和青少年服务机构的建设等事务进行规划和管理。</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（三）调查青年思想动态和青年工作状况，研究青少年运动、青少年工作理论和思想教育问</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题，提出相应对策，开展各种活动。</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（四）协助区政府教育部门做好中、小学生的教育管理工作。</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（五）在经济建设中，组织和带领青年发挥生力军和突击队作用。</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（六）制定青年志愿者行动发展规划，做好青年志愿者行动的组织指导工作。</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（七）会同有关部门依法维护青少年合法权益。</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103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322"/>
        <w:gridCol w:w="1623"/>
        <w:gridCol w:w="1360"/>
        <w:gridCol w:w="30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4" w:hRule="atLeast"/>
          <w:tblHeader/>
          <w:jc w:val="center"/>
        </w:trPr>
        <w:tc>
          <w:tcPr>
            <w:tcW w:w="432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62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360"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309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4" w:hRule="atLeast"/>
          <w:tblHeader/>
          <w:jc w:val="center"/>
        </w:trPr>
        <w:tc>
          <w:tcPr>
            <w:tcW w:w="4322" w:type="dxa"/>
            <w:vMerge w:val="continue"/>
            <w:shd w:val="clear" w:color="auto" w:fill="auto"/>
            <w:vAlign w:val="center"/>
          </w:tcPr>
          <w:p/>
        </w:tc>
        <w:tc>
          <w:tcPr>
            <w:tcW w:w="1623" w:type="dxa"/>
            <w:vMerge w:val="continue"/>
            <w:shd w:val="clear" w:color="auto" w:fill="auto"/>
            <w:vAlign w:val="center"/>
          </w:tcPr>
          <w:p/>
        </w:tc>
        <w:tc>
          <w:tcPr>
            <w:tcW w:w="1360" w:type="dxa"/>
            <w:vMerge w:val="continue"/>
            <w:shd w:val="clear" w:color="auto" w:fill="auto"/>
            <w:vAlign w:val="center"/>
          </w:tcPr>
          <w:p/>
        </w:tc>
        <w:tc>
          <w:tcPr>
            <w:tcW w:w="3093"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3" w:hRule="atLeast"/>
          <w:jc w:val="center"/>
        </w:trPr>
        <w:tc>
          <w:tcPr>
            <w:tcW w:w="4322" w:type="dxa"/>
            <w:shd w:val="clear" w:color="auto" w:fill="auto"/>
            <w:vAlign w:val="center"/>
          </w:tcPr>
          <w:p>
            <w:pPr>
              <w:widowControl/>
              <w:spacing w:line="225" w:lineRule="atLeast"/>
              <w:jc w:val="center"/>
              <w:rPr>
                <w:rFonts w:ascii="仿宋_GB2312" w:eastAsia="仿宋_GB2312" w:cs="宋体" w:hAnsiTheme="minorHAnsi"/>
                <w:kern w:val="0"/>
                <w:szCs w:val="21"/>
              </w:rPr>
            </w:pPr>
            <w:r>
              <w:rPr>
                <w:rFonts w:hint="eastAsia" w:ascii="仿宋_GB2312" w:eastAsia="仿宋_GB2312" w:cs="宋体"/>
                <w:kern w:val="0"/>
                <w:szCs w:val="21"/>
              </w:rPr>
              <w:t>中国共产主义青年团廊坊市广阳区委员会</w:t>
            </w:r>
          </w:p>
        </w:tc>
        <w:tc>
          <w:tcPr>
            <w:tcW w:w="1623" w:type="dxa"/>
            <w:shd w:val="clear" w:color="auto" w:fill="auto"/>
            <w:vAlign w:val="center"/>
          </w:tcPr>
          <w:p>
            <w:pPr>
              <w:widowControl/>
              <w:spacing w:line="225" w:lineRule="atLeast"/>
              <w:jc w:val="center"/>
              <w:rPr>
                <w:rFonts w:ascii="仿宋_GB2312" w:eastAsia="仿宋_GB2312" w:cs="宋体" w:hAnsiTheme="minorHAnsi"/>
                <w:color w:val="000000" w:themeColor="text1"/>
                <w:kern w:val="0"/>
                <w:szCs w:val="21"/>
                <w:highlight w:val="yellow"/>
                <w14:textFill>
                  <w14:solidFill>
                    <w14:schemeClr w14:val="tx1"/>
                  </w14:solidFill>
                </w14:textFill>
              </w:rPr>
            </w:pPr>
            <w:r>
              <w:rPr>
                <w:rFonts w:hint="eastAsia" w:ascii="仿宋_GB2312" w:eastAsia="仿宋_GB2312" w:cs="宋体"/>
                <w:color w:val="000000" w:themeColor="text1"/>
                <w:kern w:val="0"/>
                <w:szCs w:val="21"/>
                <w14:textFill>
                  <w14:solidFill>
                    <w14:schemeClr w14:val="tx1"/>
                  </w14:solidFill>
                </w14:textFill>
              </w:rPr>
              <w:t>行政</w:t>
            </w:r>
          </w:p>
        </w:tc>
        <w:tc>
          <w:tcPr>
            <w:tcW w:w="1360" w:type="dxa"/>
            <w:shd w:val="clear" w:color="auto" w:fill="auto"/>
            <w:vAlign w:val="center"/>
          </w:tcPr>
          <w:p>
            <w:pPr>
              <w:widowControl/>
              <w:spacing w:line="225" w:lineRule="atLeast"/>
              <w:jc w:val="center"/>
              <w:rPr>
                <w:rFonts w:ascii="仿宋_GB2312" w:eastAsia="仿宋_GB2312" w:cs="宋体" w:hAnsiTheme="minorHAnsi"/>
                <w:kern w:val="0"/>
                <w:szCs w:val="21"/>
              </w:rPr>
            </w:pPr>
            <w:r>
              <w:rPr>
                <w:rFonts w:hint="eastAsia" w:ascii="仿宋_GB2312" w:eastAsia="仿宋_GB2312" w:cs="宋体"/>
                <w:kern w:val="0"/>
                <w:szCs w:val="21"/>
              </w:rPr>
              <w:t>正科级</w:t>
            </w:r>
          </w:p>
        </w:tc>
        <w:tc>
          <w:tcPr>
            <w:tcW w:w="3093" w:type="dxa"/>
            <w:shd w:val="clear" w:color="auto" w:fill="auto"/>
            <w:vAlign w:val="center"/>
          </w:tcPr>
          <w:p>
            <w:pPr>
              <w:widowControl/>
              <w:spacing w:line="225" w:lineRule="atLeast"/>
              <w:jc w:val="center"/>
              <w:rPr>
                <w:rFonts w:ascii="仿宋_GB2312" w:eastAsia="仿宋_GB2312" w:cs="宋体" w:hAnsiTheme="minorHAnsi"/>
                <w:kern w:val="0"/>
                <w:szCs w:val="21"/>
              </w:rPr>
            </w:pPr>
            <w:r>
              <w:rPr>
                <w:rFonts w:hint="eastAsia" w:ascii="仿宋_GB2312" w:eastAsia="仿宋_GB2312" w:cs="宋体"/>
                <w:kern w:val="0"/>
                <w:szCs w:val="21"/>
              </w:rPr>
              <w:t>财政拨款</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w:t>
      </w:r>
      <w:r>
        <w:rPr>
          <w:rFonts w:hint="eastAsia" w:ascii="Times New Roman" w:hAnsi="Times New Roman" w:eastAsia="仿宋_GB2312" w:cs="Times New Roman"/>
          <w:sz w:val="32"/>
          <w:szCs w:val="32"/>
        </w:rPr>
        <w:t>中国共产主义青年团廊坊市广阳区委员会</w:t>
      </w:r>
      <w:r>
        <w:rPr>
          <w:rFonts w:ascii="Times New Roman" w:hAnsi="Times New Roman" w:eastAsia="仿宋_GB2312" w:cs="Times New Roman"/>
          <w:sz w:val="32"/>
          <w:szCs w:val="32"/>
        </w:rPr>
        <w:t>机关收支包含在部门预算中。</w:t>
      </w:r>
    </w:p>
    <w:p>
      <w:pPr>
        <w:spacing w:line="584" w:lineRule="exact"/>
        <w:ind w:firstLine="640"/>
        <w:rPr>
          <w:rFonts w:ascii="楷体" w:hAnsi="楷体" w:eastAsia="楷体" w:cs="Times New Roman"/>
          <w:b/>
          <w:sz w:val="32"/>
          <w:szCs w:val="32"/>
        </w:rPr>
      </w:pPr>
      <w:r>
        <w:rPr>
          <w:rFonts w:ascii="楷体" w:hAnsi="楷体" w:eastAsia="楷体"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rPr>
        <w:t>93.55</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93.55</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w:t>
      </w:r>
    </w:p>
    <w:p>
      <w:pPr>
        <w:spacing w:line="584" w:lineRule="exact"/>
        <w:ind w:firstLine="640"/>
        <w:rPr>
          <w:rFonts w:ascii="楷体" w:hAnsi="楷体" w:eastAsia="楷体" w:cs="Times New Roman"/>
          <w:b/>
          <w:sz w:val="32"/>
          <w:szCs w:val="32"/>
        </w:rPr>
      </w:pPr>
      <w:r>
        <w:rPr>
          <w:rFonts w:ascii="楷体" w:hAnsi="楷体" w:eastAsia="楷体"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w:t>
      </w:r>
      <w:r>
        <w:rPr>
          <w:rFonts w:hint="eastAsia" w:ascii="Times New Roman" w:hAnsi="Times New Roman" w:eastAsia="仿宋_GB2312" w:cs="Times New Roman"/>
          <w:sz w:val="32"/>
          <w:szCs w:val="32"/>
        </w:rPr>
        <w:t>中国共产主义青年团廊坊市广阳区委员会2</w:t>
      </w:r>
      <w:r>
        <w:rPr>
          <w:rFonts w:ascii="Times New Roman" w:hAnsi="Times New Roman" w:eastAsia="仿宋_GB2312" w:cs="Times New Roman"/>
          <w:sz w:val="32"/>
          <w:szCs w:val="32"/>
        </w:rPr>
        <w:t>021年度部门预算中支出预算的总体情况。20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rPr>
        <w:t>93.55</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93.55</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83.29</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10.26</w:t>
      </w:r>
      <w:r>
        <w:rPr>
          <w:rFonts w:ascii="Times New Roman" w:hAnsi="Times New Roman" w:eastAsia="仿宋_GB2312" w:cs="Times New Roman"/>
          <w:sz w:val="32"/>
          <w:szCs w:val="32"/>
        </w:rPr>
        <w:t>万元；运转类其他及特定目标类项目支出0万元；上缴上级支出0万元；其他支出0万元。</w:t>
      </w:r>
    </w:p>
    <w:p>
      <w:pPr>
        <w:spacing w:line="584" w:lineRule="exact"/>
        <w:ind w:firstLine="640"/>
        <w:rPr>
          <w:rFonts w:ascii="楷体" w:hAnsi="楷体" w:eastAsia="楷体" w:cs="Times New Roman"/>
          <w:b/>
          <w:sz w:val="32"/>
          <w:szCs w:val="32"/>
        </w:rPr>
      </w:pPr>
      <w:r>
        <w:rPr>
          <w:rFonts w:ascii="楷体" w:hAnsi="楷体" w:eastAsia="楷体"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年预算收支安排</w:t>
      </w:r>
      <w:r>
        <w:rPr>
          <w:rFonts w:hint="eastAsia" w:ascii="Times New Roman" w:hAnsi="Times New Roman" w:eastAsia="仿宋_GB2312" w:cs="Times New Roman"/>
          <w:sz w:val="32"/>
          <w:szCs w:val="32"/>
        </w:rPr>
        <w:t>93.55</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年预算减少</w:t>
      </w:r>
      <w:r>
        <w:rPr>
          <w:rFonts w:hint="eastAsia" w:ascii="Times New Roman" w:hAnsi="Times New Roman" w:eastAsia="仿宋_GB2312" w:cs="Times New Roman"/>
          <w:sz w:val="32"/>
          <w:szCs w:val="32"/>
        </w:rPr>
        <w:t>16.07</w:t>
      </w:r>
      <w:r>
        <w:rPr>
          <w:rFonts w:ascii="Times New Roman" w:hAnsi="Times New Roman" w:eastAsia="仿宋_GB2312" w:cs="Times New Roman"/>
          <w:sz w:val="32"/>
          <w:szCs w:val="32"/>
        </w:rPr>
        <w:t>万元，其中：基本支出减少</w:t>
      </w:r>
      <w:r>
        <w:rPr>
          <w:rFonts w:hint="eastAsia" w:ascii="Times New Roman" w:hAnsi="Times New Roman" w:eastAsia="仿宋_GB2312" w:cs="Times New Roman"/>
          <w:sz w:val="32"/>
          <w:szCs w:val="32"/>
        </w:rPr>
        <w:t>16.07</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人员经费</w:t>
      </w:r>
      <w:r>
        <w:rPr>
          <w:rFonts w:ascii="Times New Roman" w:hAnsi="Times New Roman" w:eastAsia="仿宋_GB2312" w:cs="Times New Roman"/>
          <w:sz w:val="32"/>
          <w:szCs w:val="32"/>
        </w:rPr>
        <w:t>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rPr>
        <w:t>10.26</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主要用于机关办公区的日常维修、办公用房水电费、办公用房取暖费、物业管理费等日常运行支出</w:t>
      </w:r>
      <w:r>
        <w:rPr>
          <w:rFonts w:ascii="Times New Roman" w:hAnsi="Times New Roman" w:eastAsia="仿宋_GB2312" w:cs="Times New Roman"/>
          <w:sz w:val="32"/>
          <w:szCs w:val="32"/>
        </w:rPr>
        <w:t>。</w:t>
      </w:r>
    </w:p>
    <w:p>
      <w:pPr>
        <w:autoSpaceDE w:val="0"/>
        <w:autoSpaceDN w:val="0"/>
        <w:adjustRightInd w:val="0"/>
        <w:spacing w:line="584" w:lineRule="exact"/>
        <w:ind w:firstLine="627" w:firstLineChars="196"/>
        <w:jc w:val="left"/>
        <w:rPr>
          <w:rFonts w:ascii="黑体" w:hAnsi="黑体" w:eastAsia="黑体" w:cs="Times New Roman"/>
          <w:bCs/>
          <w:sz w:val="32"/>
          <w:szCs w:val="32"/>
        </w:rPr>
      </w:pPr>
      <w:r>
        <w:rPr>
          <w:rFonts w:ascii="黑体" w:hAnsi="黑体" w:eastAsia="黑体" w:cs="Times New Roman"/>
          <w:bCs/>
          <w:sz w:val="32"/>
          <w:szCs w:val="32"/>
        </w:rPr>
        <w:t>四、财政拨款“三公”经费预算情况及增减变化原因</w:t>
      </w:r>
    </w:p>
    <w:p>
      <w:pPr>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w:t>
      </w:r>
      <w:r>
        <w:rPr>
          <w:rFonts w:hint="eastAsia" w:ascii="Times New Roman" w:hAnsi="Times New Roman" w:eastAsia="仿宋_GB2312" w:cs="Times New Roman"/>
          <w:sz w:val="32"/>
          <w:szCs w:val="32"/>
        </w:rPr>
        <w:t>2020</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相比</w:t>
      </w:r>
      <w:r>
        <w:rPr>
          <w:rFonts w:ascii="Times New Roman" w:hAnsi="Times New Roman" w:eastAsia="仿宋_GB2312" w:cs="Times New Roman"/>
          <w:sz w:val="32"/>
          <w:szCs w:val="32"/>
        </w:rPr>
        <w:t>持平，无增减变化。</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五、绩效预算信息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第一部分部门整体绩效目标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spacing w:line="584" w:lineRule="exact"/>
        <w:ind w:firstLine="640" w:firstLineChars="200"/>
        <w:rPr>
          <w:rFonts w:ascii="仿宋_GB2312" w:hAnsi="仿宋_GB2312" w:eastAsia="仿宋_GB2312" w:cs="仿宋_GB2312"/>
          <w:b/>
          <w:bCs/>
          <w:sz w:val="32"/>
          <w:szCs w:val="32"/>
        </w:rPr>
      </w:pPr>
      <w:r>
        <w:rPr>
          <w:rFonts w:hint="eastAsia" w:ascii="Times New Roman" w:hAnsi="Times New Roman" w:eastAsia="仿宋_GB2312" w:cs="Times New Roman"/>
          <w:sz w:val="32"/>
          <w:szCs w:val="32"/>
        </w:rPr>
        <w:t>2021年，我们将继续坚持以“习近平新时代中国特色社会主义思想”为指导，深入学习党的十九届五中全会精神，不忘跟党初心、牢记青春使命，紧密围绕区委、区政府中心工作，团结带领全区广大团员青年为建设“活力广阳、实力广阳、魅力广阳”贡献青春力量。</w:t>
      </w:r>
    </w:p>
    <w:p>
      <w:pPr>
        <w:numPr>
          <w:ilvl w:val="0"/>
          <w:numId w:val="1"/>
        </w:num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分项绩效目标</w:t>
      </w:r>
    </w:p>
    <w:p>
      <w:pPr>
        <w:spacing w:line="584" w:lineRule="exact"/>
        <w:jc w:val="center"/>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共青团廊坊市广阳区委部门职责——绩效指标描述</w:t>
      </w:r>
    </w:p>
    <w:tbl>
      <w:tblPr>
        <w:tblStyle w:val="8"/>
        <w:tblW w:w="15938" w:type="dxa"/>
        <w:jc w:val="center"/>
        <w:tblLayout w:type="fixed"/>
        <w:tblCellMar>
          <w:top w:w="0" w:type="dxa"/>
          <w:left w:w="0" w:type="dxa"/>
          <w:bottom w:w="0" w:type="dxa"/>
          <w:right w:w="0" w:type="dxa"/>
        </w:tblCellMar>
      </w:tblPr>
      <w:tblGrid>
        <w:gridCol w:w="1185"/>
        <w:gridCol w:w="1625"/>
        <w:gridCol w:w="1173"/>
        <w:gridCol w:w="975"/>
        <w:gridCol w:w="1785"/>
        <w:gridCol w:w="1080"/>
        <w:gridCol w:w="1560"/>
        <w:gridCol w:w="1455"/>
        <w:gridCol w:w="1395"/>
        <w:gridCol w:w="915"/>
        <w:gridCol w:w="930"/>
        <w:gridCol w:w="930"/>
        <w:gridCol w:w="930"/>
      </w:tblGrid>
      <w:tr>
        <w:tblPrEx>
          <w:tblCellMar>
            <w:top w:w="0" w:type="dxa"/>
            <w:left w:w="0" w:type="dxa"/>
            <w:bottom w:w="0" w:type="dxa"/>
            <w:right w:w="0" w:type="dxa"/>
          </w:tblCellMar>
        </w:tblPrEx>
        <w:trPr>
          <w:trHeight w:val="332" w:hRule="atLeast"/>
          <w:jc w:val="center"/>
        </w:trPr>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职责名称</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职责描述</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职责目标</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活动名称</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活动描述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预算年度</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绩效目标</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绩效指标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指标描述</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优</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良</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中</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差</w:t>
            </w:r>
          </w:p>
        </w:tc>
      </w:tr>
      <w:tr>
        <w:tblPrEx>
          <w:tblCellMar>
            <w:top w:w="0" w:type="dxa"/>
            <w:left w:w="0" w:type="dxa"/>
            <w:bottom w:w="0" w:type="dxa"/>
            <w:right w:w="0" w:type="dxa"/>
          </w:tblCellMar>
        </w:tblPrEx>
        <w:trPr>
          <w:trHeight w:val="1440" w:hRule="atLeast"/>
          <w:jc w:val="center"/>
        </w:trPr>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组织建设和宣传教育</w:t>
            </w:r>
          </w:p>
        </w:tc>
        <w:tc>
          <w:tcPr>
            <w:tcW w:w="16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领导全区共青团工作；协助区政府教育部门做好学生教育管理工作。</w:t>
            </w:r>
          </w:p>
        </w:tc>
        <w:tc>
          <w:tcPr>
            <w:tcW w:w="11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基层团组织和青年组织建设加强，活力明显提升。</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组织建设及宣传教育</w:t>
            </w:r>
          </w:p>
        </w:tc>
        <w:tc>
          <w:tcPr>
            <w:tcW w:w="17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指导全区青联和少先队工作，对全区性青年社团组织进行指导和管理；有效利用网络和新媒体加强对青年的宣传力度，加强网络和新媒体正面宣传，用科学理论武装青年，用共同理想感召青年，用核心价值观引领青年，协助区委区政府教育部门做好大、中、小学学生的教育管理工作，维护学校稳定和社会安定团结。</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2021</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加强团干部配备和激励，加强思想、作风建设，团干部教育培训；加强青联、少先队工作的指导，加强青年社团组织以及青少年活动阵地的指导和管理。基层团组织服务能力不断提高；构建团的网络新媒体工作阵地，运用新媒体全方位推进团的工作；利用重要节点节日、各类阵地、各种形式进行思想引导，培养青年骨干，打造适应青少年特点的文化产品。维护青少年队伍稳定，促进和谐社会建设。</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区乡村三级团组织规范化建设完成率（%）</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区乡村三级团组织规范化建设完成数量占区乡村三级团组织总数的比率</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≧80.00%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≧60.00%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＜60.00%</w:t>
            </w:r>
          </w:p>
        </w:tc>
      </w:tr>
      <w:tr>
        <w:tblPrEx>
          <w:tblCellMar>
            <w:top w:w="0" w:type="dxa"/>
            <w:left w:w="0" w:type="dxa"/>
            <w:bottom w:w="0" w:type="dxa"/>
            <w:right w:w="0" w:type="dxa"/>
          </w:tblCellMar>
        </w:tblPrEx>
        <w:trPr>
          <w:trHeight w:val="820" w:hRule="atLeast"/>
          <w:jc w:val="center"/>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2021</w:t>
            </w: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希望工程资助完成率(%)</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全年希望工程资助计划的完成比率</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≧80.00%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≧60.00%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＜60.00%</w:t>
            </w:r>
          </w:p>
        </w:tc>
      </w:tr>
      <w:tr>
        <w:tblPrEx>
          <w:tblCellMar>
            <w:top w:w="0" w:type="dxa"/>
            <w:left w:w="0" w:type="dxa"/>
            <w:bottom w:w="0" w:type="dxa"/>
            <w:right w:w="0" w:type="dxa"/>
          </w:tblCellMar>
        </w:tblPrEx>
        <w:trPr>
          <w:trHeight w:val="1420" w:hRule="atLeast"/>
          <w:jc w:val="center"/>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2021</w:t>
            </w: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团干部培训覆盖率(%)</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培训团干部占覆盖团干部数的比率</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≧80.00%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≧60.00%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＜60.00%</w:t>
            </w:r>
          </w:p>
        </w:tc>
      </w:tr>
      <w:tr>
        <w:tblPrEx>
          <w:tblCellMar>
            <w:top w:w="0" w:type="dxa"/>
            <w:left w:w="0" w:type="dxa"/>
            <w:bottom w:w="0" w:type="dxa"/>
            <w:right w:w="0" w:type="dxa"/>
          </w:tblCellMar>
        </w:tblPrEx>
        <w:trPr>
          <w:trHeight w:val="1180" w:hRule="atLeast"/>
          <w:jc w:val="center"/>
        </w:trPr>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服务、引导青少年工作</w:t>
            </w:r>
          </w:p>
        </w:tc>
        <w:tc>
          <w:tcPr>
            <w:tcW w:w="16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调查青年思想动态和工作状况，研究青少年运动、青少年工作理论和思想教育问题并开展各种活动；组织和带领青年在经济建设中发挥生力军和突击队作用；丰富青少年活动，服务青年学习成才、交流交友、社会融入等现实需求。</w:t>
            </w:r>
          </w:p>
        </w:tc>
        <w:tc>
          <w:tcPr>
            <w:tcW w:w="11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围绕青年思想动态和青年工作现状，不断加强青少年社会主义核心价值观教育，加强青年教育引导工作，围绕党政中心工作开展各项活动。</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青少年服务引导工作</w:t>
            </w:r>
          </w:p>
        </w:tc>
        <w:tc>
          <w:tcPr>
            <w:tcW w:w="17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围绕青年思想动态和青年工作状况，研究青少年运动、青少年工作理论和思想教育问题开展调研活动；围绕经济建设开展团的各项活动。</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2021</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做好青年团结教育工作，为全区积极社会发展贡献力量。</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青年中心建设完成率（%）</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青年中心建设数的完成比率</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≧80.00%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≧60.00%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＜60.00%</w:t>
            </w:r>
          </w:p>
        </w:tc>
      </w:tr>
      <w:tr>
        <w:tblPrEx>
          <w:tblCellMar>
            <w:top w:w="0" w:type="dxa"/>
            <w:left w:w="0" w:type="dxa"/>
            <w:bottom w:w="0" w:type="dxa"/>
            <w:right w:w="0" w:type="dxa"/>
          </w:tblCellMar>
        </w:tblPrEx>
        <w:trPr>
          <w:trHeight w:val="1080" w:hRule="atLeast"/>
          <w:jc w:val="center"/>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2021</w:t>
            </w: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培训、联谊、竞赛活动完成率（%）</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培训、联谊、竞赛等活动完成数占全年计划数的比率</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≧80.00%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≧60.00%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＜60.00%</w:t>
            </w:r>
          </w:p>
        </w:tc>
      </w:tr>
      <w:tr>
        <w:tblPrEx>
          <w:tblCellMar>
            <w:top w:w="0" w:type="dxa"/>
            <w:left w:w="0" w:type="dxa"/>
            <w:bottom w:w="0" w:type="dxa"/>
            <w:right w:w="0" w:type="dxa"/>
          </w:tblCellMar>
        </w:tblPrEx>
        <w:trPr>
          <w:trHeight w:val="1360" w:hRule="atLeast"/>
          <w:jc w:val="center"/>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2021</w:t>
            </w: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服务团员青年比率（%）</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全年接受服务的团员青年的数量占全区青年总数的百分比</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≧80.00%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≧60.00%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＜60.00%</w:t>
            </w:r>
          </w:p>
        </w:tc>
      </w:tr>
      <w:tr>
        <w:tblPrEx>
          <w:tblCellMar>
            <w:top w:w="0" w:type="dxa"/>
            <w:left w:w="0" w:type="dxa"/>
            <w:bottom w:w="0" w:type="dxa"/>
            <w:right w:w="0" w:type="dxa"/>
          </w:tblCellMar>
        </w:tblPrEx>
        <w:trPr>
          <w:trHeight w:val="1320" w:hRule="atLeast"/>
          <w:jc w:val="center"/>
        </w:trPr>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维护青少年权益工作</w:t>
            </w:r>
          </w:p>
        </w:tc>
        <w:tc>
          <w:tcPr>
            <w:tcW w:w="16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研究有关青少年发展问题；参与监督青少年法规的执行、处理侵害青少年合法权益的问题。</w:t>
            </w:r>
          </w:p>
        </w:tc>
        <w:tc>
          <w:tcPr>
            <w:tcW w:w="11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加强法治宣传教育，促进青少年健康成长。</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预防青少年违法犯罪</w:t>
            </w:r>
          </w:p>
        </w:tc>
        <w:tc>
          <w:tcPr>
            <w:tcW w:w="17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做好中小学学生的教育管理工作，维护学校稳定和社会安定团结；推动青少年事务社会工作开展，提高源头治理力度，做好预防青少年违法犯罪工作。</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2021</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加强青少年法制宣传教育,增强青少年学法遵法守法用法意识。</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青少年事务社工组织建设完成率（%）</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成立从事青少年事务管理的社工组织机构数占总要求的比率</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≧80.00%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≧60.00%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＜60.00%</w:t>
            </w:r>
          </w:p>
        </w:tc>
      </w:tr>
      <w:tr>
        <w:tblPrEx>
          <w:tblCellMar>
            <w:top w:w="0" w:type="dxa"/>
            <w:left w:w="0" w:type="dxa"/>
            <w:bottom w:w="0" w:type="dxa"/>
            <w:right w:w="0" w:type="dxa"/>
          </w:tblCellMar>
        </w:tblPrEx>
        <w:trPr>
          <w:trHeight w:val="1220" w:hRule="atLeast"/>
          <w:jc w:val="center"/>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2021</w:t>
            </w: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法制宣传教育培训讲座完成率（%）</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全年开展法制宣传教育培训讲座的完成率</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≧80.00%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≧60.00%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＜60.00%</w:t>
            </w:r>
          </w:p>
        </w:tc>
      </w:tr>
      <w:tr>
        <w:tblPrEx>
          <w:tblCellMar>
            <w:top w:w="0" w:type="dxa"/>
            <w:left w:w="0" w:type="dxa"/>
            <w:bottom w:w="0" w:type="dxa"/>
            <w:right w:w="0" w:type="dxa"/>
          </w:tblCellMar>
        </w:tblPrEx>
        <w:trPr>
          <w:trHeight w:val="1200" w:hRule="atLeast"/>
          <w:jc w:val="center"/>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2021</w:t>
            </w: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全区专家、志愿服务队伍组建完成率</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全年全区专家、志愿服务队伍建设数量占总要求的比率</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≧80.00%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≧60.00%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＜60.00%</w:t>
            </w:r>
          </w:p>
        </w:tc>
      </w:tr>
      <w:tr>
        <w:tblPrEx>
          <w:tblCellMar>
            <w:top w:w="0" w:type="dxa"/>
            <w:left w:w="0" w:type="dxa"/>
            <w:bottom w:w="0" w:type="dxa"/>
            <w:right w:w="0" w:type="dxa"/>
          </w:tblCellMar>
        </w:tblPrEx>
        <w:trPr>
          <w:trHeight w:val="840" w:hRule="atLeast"/>
          <w:jc w:val="center"/>
        </w:trPr>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团委事务管理</w:t>
            </w:r>
          </w:p>
        </w:tc>
        <w:tc>
          <w:tcPr>
            <w:tcW w:w="16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负责团区委综合业务管理。</w:t>
            </w:r>
          </w:p>
        </w:tc>
        <w:tc>
          <w:tcPr>
            <w:tcW w:w="11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年度工作任务圆满完成，促进共青团事业发展。</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综合业务管理</w:t>
            </w:r>
          </w:p>
        </w:tc>
        <w:tc>
          <w:tcPr>
            <w:tcW w:w="17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参与制定全区的青少年事业发展规划和青少年工作方针、政策;承担区委、区政府和团中央交办的有关事项。</w:t>
            </w:r>
          </w:p>
        </w:tc>
        <w:tc>
          <w:tcPr>
            <w:tcW w:w="1080"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2021</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高质量完成全区青少年发展规划和方针政策的制定，圆满完成区委、区政府和团市委交办的各项任务。</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机关日常工作完成率（%）</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全年机关日常工作任务完成情况占总要求的比率</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≧80.00%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≧60.00%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＜60.00%</w:t>
            </w:r>
          </w:p>
        </w:tc>
      </w:tr>
      <w:tr>
        <w:tblPrEx>
          <w:tblCellMar>
            <w:top w:w="0" w:type="dxa"/>
            <w:left w:w="0" w:type="dxa"/>
            <w:bottom w:w="0" w:type="dxa"/>
            <w:right w:w="0" w:type="dxa"/>
          </w:tblCellMar>
        </w:tblPrEx>
        <w:trPr>
          <w:trHeight w:val="1260" w:hRule="atLeast"/>
          <w:jc w:val="center"/>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080"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18"/>
                <w:szCs w:val="18"/>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围绕区委、区政府开展活动完成率（%）</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围绕区委、区政府开展活动的次数占总计划的比率</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≧80.00%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≧60.00%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＜60.00%</w:t>
            </w:r>
          </w:p>
        </w:tc>
      </w:tr>
      <w:tr>
        <w:tblPrEx>
          <w:tblCellMar>
            <w:top w:w="0" w:type="dxa"/>
            <w:left w:w="0" w:type="dxa"/>
            <w:bottom w:w="0" w:type="dxa"/>
            <w:right w:w="0" w:type="dxa"/>
          </w:tblCellMar>
        </w:tblPrEx>
        <w:trPr>
          <w:trHeight w:val="1080" w:hRule="atLeast"/>
          <w:jc w:val="center"/>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2021</w:t>
            </w: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围绕团市委开展活动完成率（%）</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围绕团市委开展活动的数量占全年计划的百分比</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≧80.00%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≧60.00%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＜60.00%</w:t>
            </w:r>
          </w:p>
        </w:tc>
      </w:tr>
    </w:tbl>
    <w:p>
      <w:pPr>
        <w:spacing w:line="584" w:lineRule="exact"/>
        <w:rPr>
          <w:rFonts w:ascii="楷体_GB2312" w:eastAsia="楷体_GB2312" w:cs="Times New Roman"/>
          <w:b/>
          <w:sz w:val="32"/>
          <w:szCs w:val="32"/>
        </w:rPr>
      </w:pPr>
    </w:p>
    <w:p>
      <w:pPr>
        <w:numPr>
          <w:ilvl w:val="0"/>
          <w:numId w:val="2"/>
        </w:num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工作保障措施</w:t>
      </w:r>
    </w:p>
    <w:p>
      <w:pPr>
        <w:overflowPunct w:val="0"/>
        <w:adjustRightInd w:val="0"/>
        <w:snapToGrid w:val="0"/>
        <w:spacing w:afterLines="50" w:line="580" w:lineRule="exact"/>
        <w:ind w:firstLine="627" w:firstLineChars="196"/>
        <w:jc w:val="left"/>
        <w:rPr>
          <w:rFonts w:ascii="仿宋_GB2312" w:eastAsia="仿宋_GB2312" w:cs="Times New Roman"/>
          <w:sz w:val="32"/>
          <w:szCs w:val="32"/>
        </w:rPr>
      </w:pPr>
      <w:r>
        <w:rPr>
          <w:rFonts w:hint="eastAsia" w:ascii="仿宋_GB2312" w:eastAsia="仿宋_GB2312" w:cs="Times New Roman"/>
          <w:sz w:val="32"/>
          <w:szCs w:val="32"/>
        </w:rPr>
        <w:t>1、加强组织领导。将事前评估、目标管理、运行监控、绩效评价、结果应用等各项改革措施，有效融入预算管理的全过程环节，建立健全预算绩效管理的路径和制度体系。成立由主要领导同志任组长的预算绩效工作领导小组，建立统筹协调、分工协作、密切配合、合力推进的工作机制。围绕年度总体绩效目标和分类绩效目标，细化工作方案，明确责任主体、实施进度要求，确保如期完成。</w:t>
      </w:r>
    </w:p>
    <w:p>
      <w:pPr>
        <w:overflowPunct w:val="0"/>
        <w:adjustRightInd w:val="0"/>
        <w:snapToGrid w:val="0"/>
        <w:spacing w:afterLines="50" w:line="580" w:lineRule="exact"/>
        <w:ind w:firstLine="627" w:firstLineChars="196"/>
        <w:jc w:val="left"/>
        <w:rPr>
          <w:rFonts w:ascii="仿宋_GB2312" w:eastAsia="仿宋_GB2312" w:cs="Times New Roman"/>
          <w:sz w:val="32"/>
          <w:szCs w:val="32"/>
        </w:rPr>
      </w:pPr>
      <w:r>
        <w:rPr>
          <w:rFonts w:hint="eastAsia" w:ascii="仿宋_GB2312" w:eastAsia="仿宋_GB2312" w:cs="Times New Roman"/>
          <w:sz w:val="32"/>
          <w:szCs w:val="32"/>
        </w:rPr>
        <w:t>2、强化预算编制。按照部门预算的要求，认真编制预算方案。做到有预算安排、有支出标准、有制度依据，维护预算的严肃性和权威性。严格按《</w:t>
      </w:r>
      <w:r>
        <w:rPr>
          <w:rFonts w:ascii="Times New Roman" w:hAnsi="Times New Roman" w:eastAsia="仿宋_GB2312" w:cs="Times New Roman"/>
          <w:sz w:val="32"/>
          <w:szCs w:val="32"/>
        </w:rPr>
        <w:t>中华人民共和国预算法</w:t>
      </w:r>
      <w:bookmarkStart w:id="3" w:name="_GoBack"/>
      <w:bookmarkEnd w:id="3"/>
      <w:r>
        <w:rPr>
          <w:rFonts w:hint="eastAsia" w:ascii="仿宋_GB2312" w:eastAsia="仿宋_GB2312" w:cs="Times New Roman"/>
          <w:sz w:val="32"/>
          <w:szCs w:val="32"/>
        </w:rPr>
        <w:t>》的规定，进一步做细、做实、做准预算，为预算执行打下良好基础，提高预算到位率，切实把预算细化到部门，细化到基层单位，细化到具体项目。</w:t>
      </w:r>
    </w:p>
    <w:p>
      <w:pPr>
        <w:overflowPunct w:val="0"/>
        <w:adjustRightInd w:val="0"/>
        <w:snapToGrid w:val="0"/>
        <w:spacing w:afterLines="50" w:line="580" w:lineRule="exact"/>
        <w:ind w:firstLine="627" w:firstLineChars="196"/>
        <w:jc w:val="left"/>
        <w:rPr>
          <w:rFonts w:ascii="仿宋_GB2312" w:eastAsia="仿宋_GB2312" w:cs="Times New Roman"/>
          <w:sz w:val="32"/>
          <w:szCs w:val="32"/>
        </w:rPr>
      </w:pPr>
      <w:r>
        <w:rPr>
          <w:rFonts w:hint="eastAsia" w:ascii="仿宋_GB2312" w:eastAsia="仿宋_GB2312" w:cs="Times New Roman"/>
          <w:sz w:val="32"/>
          <w:szCs w:val="32"/>
        </w:rPr>
        <w:t>3、狠抓任务落实。强化财政预算执行的刚性约束，按照“谁花钱、谁负责，谁牵总、谁主责”的原则，明确业务预算绩效管理职责。按照预算经费支出进度要求，履行政府采购程序，优化部门预算支出结构，创新财政资金支出思路，合理改进支出方式，确保按照时间节点完成支出任务。</w:t>
      </w:r>
    </w:p>
    <w:p>
      <w:pPr>
        <w:overflowPunct w:val="0"/>
        <w:adjustRightInd w:val="0"/>
        <w:snapToGrid w:val="0"/>
        <w:spacing w:afterLines="50" w:line="580" w:lineRule="exact"/>
        <w:ind w:firstLine="627" w:firstLineChars="196"/>
        <w:jc w:val="left"/>
        <w:rPr>
          <w:rFonts w:ascii="仿宋_GB2312" w:eastAsia="仿宋_GB2312" w:cs="Times New Roman"/>
          <w:sz w:val="32"/>
          <w:szCs w:val="32"/>
        </w:rPr>
      </w:pPr>
      <w:r>
        <w:rPr>
          <w:rFonts w:hint="eastAsia" w:ascii="仿宋_GB2312" w:eastAsia="仿宋_GB2312" w:cs="Times New Roman"/>
          <w:sz w:val="32"/>
          <w:szCs w:val="32"/>
        </w:rPr>
        <w:t>4、规范资产管理。不断加强资产管理，定期开展清查盘点，核实清理资产，盘活存量资源，合理配置部内资产，及时发现和堵塞管理中的漏洞，妥善处理和解决管理中出现的各种问题，进一步努力提高资产使用效益。</w:t>
      </w:r>
    </w:p>
    <w:p>
      <w:pPr>
        <w:overflowPunct w:val="0"/>
        <w:adjustRightInd w:val="0"/>
        <w:snapToGrid w:val="0"/>
        <w:spacing w:afterLines="50" w:line="580" w:lineRule="exact"/>
        <w:ind w:firstLine="627" w:firstLineChars="196"/>
        <w:jc w:val="left"/>
        <w:rPr>
          <w:rFonts w:ascii="仿宋_GB2312" w:eastAsia="仿宋_GB2312" w:cs="Times New Roman"/>
          <w:sz w:val="32"/>
          <w:szCs w:val="32"/>
        </w:rPr>
      </w:pPr>
      <w:r>
        <w:rPr>
          <w:rFonts w:hint="eastAsia" w:ascii="仿宋_GB2312" w:eastAsia="仿宋_GB2312" w:cs="Times New Roman"/>
          <w:sz w:val="32"/>
          <w:szCs w:val="32"/>
        </w:rPr>
        <w:t>5、加强内部监督。建立健全内部控制为核心、实现不同岗位的内部牵制制度，充分发挥内控体系在明确权责方面的重要作用。进一步完善内控监督制度，有效行使内控体系的监督评价职责，促进内控体系的不断完善，规范权力运行，提高单位管理服务水平。加强预算资金事前、事中、事后的全方位监管，注重资金支出绩效，最大限度的发挥财政资金效益。对预算执行绩效情况进行跟踪监控，及时掌握项目实施进展、资金拨付和有关绩效指标完成情况，确保绩效目标实现。</w:t>
      </w:r>
    </w:p>
    <w:p>
      <w:pPr>
        <w:overflowPunct w:val="0"/>
        <w:adjustRightInd w:val="0"/>
        <w:snapToGrid w:val="0"/>
        <w:spacing w:afterLines="50" w:line="580" w:lineRule="exact"/>
        <w:ind w:firstLine="627" w:firstLineChars="196"/>
        <w:jc w:val="left"/>
        <w:rPr>
          <w:rFonts w:ascii="仿宋_GB2312" w:eastAsia="仿宋_GB2312" w:cs="Times New Roman"/>
          <w:sz w:val="32"/>
          <w:szCs w:val="32"/>
        </w:rPr>
      </w:pPr>
      <w:r>
        <w:rPr>
          <w:rFonts w:hint="eastAsia" w:ascii="仿宋_GB2312" w:eastAsia="仿宋_GB2312" w:cs="Times New Roman"/>
          <w:sz w:val="32"/>
          <w:szCs w:val="32"/>
        </w:rPr>
        <w:t>6、强化宣传引导。组织开展业务培训，使机关全体干部牢固树立绩效理念，熟悉管理流程，掌握工作方法，提升管理能力。探索工作经验，及时总结预算绩效管理成效，营造良好的舆论氛围。积极采取购买服务等方式，提升预算绩效管理科学水平。</w:t>
      </w:r>
    </w:p>
    <w:p>
      <w:pPr>
        <w:overflowPunct w:val="0"/>
        <w:adjustRightInd w:val="0"/>
        <w:snapToGrid w:val="0"/>
        <w:spacing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8"/>
        <w:tblW w:w="10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686"/>
        <w:gridCol w:w="1014"/>
        <w:gridCol w:w="1102"/>
        <w:gridCol w:w="2670"/>
        <w:gridCol w:w="1823"/>
        <w:gridCol w:w="667"/>
        <w:gridCol w:w="600"/>
        <w:gridCol w:w="705"/>
        <w:gridCol w:w="1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71" w:hRule="atLeast"/>
          <w:tblHeader/>
          <w:jc w:val="center"/>
        </w:trPr>
        <w:tc>
          <w:tcPr>
            <w:tcW w:w="686"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1014"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1102"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2670"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1823"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1972" w:type="dxa"/>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1570"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45" w:hRule="atLeast"/>
          <w:tblHeader/>
          <w:jc w:val="center"/>
        </w:trPr>
        <w:tc>
          <w:tcPr>
            <w:tcW w:w="686" w:type="dxa"/>
            <w:vMerge w:val="continue"/>
            <w:tcBorders>
              <w:tl2br w:val="nil"/>
              <w:tr2bl w:val="nil"/>
            </w:tcBorders>
            <w:vAlign w:val="center"/>
          </w:tcPr>
          <w:p/>
        </w:tc>
        <w:tc>
          <w:tcPr>
            <w:tcW w:w="1014" w:type="dxa"/>
            <w:vMerge w:val="continue"/>
            <w:tcBorders>
              <w:tl2br w:val="nil"/>
              <w:tr2bl w:val="nil"/>
            </w:tcBorders>
            <w:vAlign w:val="center"/>
          </w:tcPr>
          <w:p/>
        </w:tc>
        <w:tc>
          <w:tcPr>
            <w:tcW w:w="1102" w:type="dxa"/>
            <w:vMerge w:val="continue"/>
            <w:tcBorders>
              <w:tl2br w:val="nil"/>
              <w:tr2bl w:val="nil"/>
            </w:tcBorders>
            <w:vAlign w:val="center"/>
          </w:tcPr>
          <w:p/>
        </w:tc>
        <w:tc>
          <w:tcPr>
            <w:tcW w:w="2670" w:type="dxa"/>
            <w:vMerge w:val="continue"/>
            <w:tcBorders>
              <w:tl2br w:val="nil"/>
              <w:tr2bl w:val="nil"/>
            </w:tcBorders>
            <w:vAlign w:val="center"/>
          </w:tcPr>
          <w:p/>
        </w:tc>
        <w:tc>
          <w:tcPr>
            <w:tcW w:w="1823" w:type="dxa"/>
            <w:vMerge w:val="continue"/>
            <w:tcBorders>
              <w:tl2br w:val="nil"/>
              <w:tr2bl w:val="nil"/>
            </w:tcBorders>
            <w:vAlign w:val="center"/>
          </w:tcPr>
          <w:p/>
        </w:tc>
        <w:tc>
          <w:tcPr>
            <w:tcW w:w="667"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600"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705"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1570"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32" w:hRule="atLeast"/>
          <w:jc w:val="center"/>
        </w:trPr>
        <w:tc>
          <w:tcPr>
            <w:tcW w:w="686" w:type="dxa"/>
            <w:vMerge w:val="restar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部门产出</w:t>
            </w:r>
          </w:p>
        </w:tc>
        <w:tc>
          <w:tcPr>
            <w:tcW w:w="1014"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1102"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组织青年志愿服务活动次数</w:t>
            </w:r>
          </w:p>
        </w:tc>
        <w:tc>
          <w:tcPr>
            <w:tcW w:w="2670" w:type="dxa"/>
            <w:tcBorders>
              <w:tl2br w:val="nil"/>
              <w:tr2bl w:val="nil"/>
            </w:tcBorders>
            <w:vAlign w:val="center"/>
          </w:tcPr>
          <w:p>
            <w:pPr>
              <w:widowControl/>
              <w:adjustRightInd w:val="0"/>
              <w:snapToGrid w:val="0"/>
              <w:spacing w:line="320" w:lineRule="exact"/>
              <w:rPr>
                <w:rFonts w:ascii="方正书宋_GBK" w:eastAsia="方正书宋_GBK"/>
              </w:rPr>
            </w:pPr>
            <w:r>
              <w:rPr>
                <w:rFonts w:hint="eastAsia" w:ascii="方正书宋_GBK" w:eastAsia="方正书宋_GBK"/>
              </w:rPr>
              <w:t>2</w:t>
            </w:r>
            <w:r>
              <w:rPr>
                <w:rFonts w:ascii="方正书宋_GBK" w:eastAsia="方正书宋_GBK"/>
              </w:rPr>
              <w:t>0</w:t>
            </w:r>
            <w:r>
              <w:rPr>
                <w:rFonts w:hint="eastAsia" w:ascii="方正书宋_GBK" w:eastAsia="方正书宋_GBK"/>
              </w:rPr>
              <w:t>分</w:t>
            </w:r>
          </w:p>
        </w:tc>
        <w:tc>
          <w:tcPr>
            <w:tcW w:w="1823"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按照要求组织青年志愿者开展活动</w:t>
            </w:r>
          </w:p>
        </w:tc>
        <w:tc>
          <w:tcPr>
            <w:tcW w:w="667"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600"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3</w:t>
            </w:r>
          </w:p>
        </w:tc>
        <w:tc>
          <w:tcPr>
            <w:tcW w:w="70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次</w:t>
            </w:r>
          </w:p>
        </w:tc>
        <w:tc>
          <w:tcPr>
            <w:tcW w:w="1570"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活动组织方案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1094" w:hRule="atLeast"/>
          <w:jc w:val="center"/>
        </w:trPr>
        <w:tc>
          <w:tcPr>
            <w:tcW w:w="686" w:type="dxa"/>
            <w:vMerge w:val="continue"/>
            <w:tcBorders>
              <w:tl2br w:val="nil"/>
              <w:tr2bl w:val="nil"/>
            </w:tcBorders>
            <w:vAlign w:val="center"/>
          </w:tcPr>
          <w:p/>
        </w:tc>
        <w:tc>
          <w:tcPr>
            <w:tcW w:w="1014"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1102"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组织青年培训</w:t>
            </w:r>
          </w:p>
        </w:tc>
        <w:tc>
          <w:tcPr>
            <w:tcW w:w="2670"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1</w:t>
            </w:r>
            <w:r>
              <w:rPr>
                <w:rFonts w:ascii="方正书宋_GBK" w:eastAsia="方正书宋_GBK"/>
              </w:rPr>
              <w:t>0</w:t>
            </w:r>
            <w:r>
              <w:rPr>
                <w:rFonts w:hint="eastAsia" w:ascii="方正书宋_GBK" w:eastAsia="方正书宋_GBK"/>
              </w:rPr>
              <w:t>分</w:t>
            </w:r>
          </w:p>
        </w:tc>
        <w:tc>
          <w:tcPr>
            <w:tcW w:w="1823"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实施“青年马克思主义者培养工程”，全年组织青年进行培训次数</w:t>
            </w:r>
          </w:p>
        </w:tc>
        <w:tc>
          <w:tcPr>
            <w:tcW w:w="667"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600"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2</w:t>
            </w:r>
          </w:p>
        </w:tc>
        <w:tc>
          <w:tcPr>
            <w:tcW w:w="70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次</w:t>
            </w:r>
          </w:p>
        </w:tc>
        <w:tc>
          <w:tcPr>
            <w:tcW w:w="1570"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内部培训记录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1094" w:hRule="atLeast"/>
          <w:jc w:val="center"/>
        </w:trPr>
        <w:tc>
          <w:tcPr>
            <w:tcW w:w="686" w:type="dxa"/>
            <w:vMerge w:val="continue"/>
            <w:tcBorders>
              <w:tl2br w:val="nil"/>
              <w:tr2bl w:val="nil"/>
            </w:tcBorders>
            <w:vAlign w:val="center"/>
          </w:tcPr>
          <w:p/>
        </w:tc>
        <w:tc>
          <w:tcPr>
            <w:tcW w:w="1014"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时效</w:t>
            </w:r>
          </w:p>
        </w:tc>
        <w:tc>
          <w:tcPr>
            <w:tcW w:w="1102"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资金发放完成时间</w:t>
            </w:r>
          </w:p>
        </w:tc>
        <w:tc>
          <w:tcPr>
            <w:tcW w:w="2670"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1</w:t>
            </w:r>
            <w:r>
              <w:rPr>
                <w:rFonts w:ascii="方正书宋_GBK" w:eastAsia="方正书宋_GBK"/>
              </w:rPr>
              <w:t>0</w:t>
            </w:r>
            <w:r>
              <w:rPr>
                <w:rFonts w:hint="eastAsia" w:ascii="方正书宋_GBK" w:eastAsia="方正书宋_GBK"/>
              </w:rPr>
              <w:t>分</w:t>
            </w:r>
          </w:p>
        </w:tc>
        <w:tc>
          <w:tcPr>
            <w:tcW w:w="1823"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规定时间内完成各项资金发放</w:t>
            </w:r>
          </w:p>
        </w:tc>
        <w:tc>
          <w:tcPr>
            <w:tcW w:w="667"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w:t>
            </w:r>
          </w:p>
        </w:tc>
        <w:tc>
          <w:tcPr>
            <w:tcW w:w="600"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1</w:t>
            </w:r>
            <w:r>
              <w:rPr>
                <w:rFonts w:ascii="方正书宋_GBK" w:eastAsia="方正书宋_GBK"/>
              </w:rPr>
              <w:t>2</w:t>
            </w:r>
          </w:p>
        </w:tc>
        <w:tc>
          <w:tcPr>
            <w:tcW w:w="70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月</w:t>
            </w:r>
          </w:p>
        </w:tc>
        <w:tc>
          <w:tcPr>
            <w:tcW w:w="1570"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按照工作计划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32" w:hRule="atLeast"/>
          <w:jc w:val="center"/>
        </w:trPr>
        <w:tc>
          <w:tcPr>
            <w:tcW w:w="686" w:type="dxa"/>
            <w:vMerge w:val="continue"/>
            <w:tcBorders>
              <w:tl2br w:val="nil"/>
              <w:tr2bl w:val="nil"/>
            </w:tcBorders>
            <w:vAlign w:val="center"/>
          </w:tcPr>
          <w:p/>
        </w:tc>
        <w:tc>
          <w:tcPr>
            <w:tcW w:w="1014"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成本</w:t>
            </w:r>
          </w:p>
        </w:tc>
        <w:tc>
          <w:tcPr>
            <w:tcW w:w="1102"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控制成本</w:t>
            </w:r>
          </w:p>
        </w:tc>
        <w:tc>
          <w:tcPr>
            <w:tcW w:w="2670"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2</w:t>
            </w:r>
            <w:r>
              <w:rPr>
                <w:rFonts w:ascii="方正书宋_GBK" w:eastAsia="方正书宋_GBK"/>
              </w:rPr>
              <w:t>0</w:t>
            </w:r>
            <w:r>
              <w:rPr>
                <w:rFonts w:hint="eastAsia" w:ascii="方正书宋_GBK" w:eastAsia="方正书宋_GBK"/>
              </w:rPr>
              <w:t>分</w:t>
            </w:r>
          </w:p>
        </w:tc>
        <w:tc>
          <w:tcPr>
            <w:tcW w:w="1823"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按照年初预算安排控制各项工作成本</w:t>
            </w:r>
          </w:p>
        </w:tc>
        <w:tc>
          <w:tcPr>
            <w:tcW w:w="667" w:type="dxa"/>
            <w:tcBorders>
              <w:tl2br w:val="nil"/>
              <w:tr2bl w:val="nil"/>
            </w:tcBorders>
            <w:vAlign w:val="center"/>
          </w:tcPr>
          <w:p>
            <w:pPr>
              <w:widowControl/>
              <w:adjustRightInd w:val="0"/>
              <w:snapToGrid w:val="0"/>
              <w:jc w:val="center"/>
              <w:rPr>
                <w:rFonts w:ascii="方正书宋_GBK" w:eastAsia="方正书宋_GBK"/>
              </w:rPr>
            </w:pPr>
          </w:p>
        </w:tc>
        <w:tc>
          <w:tcPr>
            <w:tcW w:w="600" w:type="dxa"/>
            <w:tcBorders>
              <w:tl2br w:val="nil"/>
              <w:tr2bl w:val="nil"/>
            </w:tcBorders>
            <w:vAlign w:val="center"/>
          </w:tcPr>
          <w:p>
            <w:pPr>
              <w:widowControl/>
              <w:adjustRightInd w:val="0"/>
              <w:snapToGrid w:val="0"/>
              <w:jc w:val="center"/>
              <w:rPr>
                <w:rFonts w:ascii="方正书宋_GBK" w:eastAsia="方正书宋_GBK"/>
              </w:rPr>
            </w:pPr>
          </w:p>
        </w:tc>
        <w:tc>
          <w:tcPr>
            <w:tcW w:w="705" w:type="dxa"/>
            <w:tcBorders>
              <w:tl2br w:val="nil"/>
              <w:tr2bl w:val="nil"/>
            </w:tcBorders>
            <w:vAlign w:val="center"/>
          </w:tcPr>
          <w:p>
            <w:pPr>
              <w:widowControl/>
              <w:adjustRightInd w:val="0"/>
              <w:snapToGrid w:val="0"/>
              <w:jc w:val="center"/>
              <w:rPr>
                <w:rFonts w:ascii="方正书宋_GBK" w:eastAsia="方正书宋_GBK"/>
              </w:rPr>
            </w:pPr>
          </w:p>
        </w:tc>
        <w:tc>
          <w:tcPr>
            <w:tcW w:w="1570"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按照年初各项工作预算安排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1094" w:hRule="atLeast"/>
          <w:jc w:val="center"/>
        </w:trPr>
        <w:tc>
          <w:tcPr>
            <w:tcW w:w="686" w:type="dxa"/>
            <w:vMerge w:val="restart"/>
            <w:tcBorders>
              <w:tl2br w:val="nil"/>
              <w:tr2bl w:val="nil"/>
            </w:tcBorders>
            <w:vAlign w:val="center"/>
          </w:tcPr>
          <w:p>
            <w:pPr>
              <w:adjustRightInd w:val="0"/>
              <w:snapToGrid w:val="0"/>
              <w:jc w:val="center"/>
              <w:rPr>
                <w:rFonts w:ascii="方正书宋_GBK" w:eastAsia="方正书宋_GBK"/>
              </w:rPr>
            </w:pPr>
            <w:r>
              <w:rPr>
                <w:rFonts w:ascii="方正书宋_GBK" w:eastAsia="方正书宋_GBK"/>
              </w:rPr>
              <w:t>部门</w:t>
            </w:r>
            <w:r>
              <w:rPr>
                <w:rFonts w:hint="eastAsia" w:ascii="方正书宋_GBK" w:eastAsia="方正书宋_GBK"/>
              </w:rPr>
              <w:t>效果</w:t>
            </w:r>
          </w:p>
        </w:tc>
        <w:tc>
          <w:tcPr>
            <w:tcW w:w="1014"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1102"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组织建设水平</w:t>
            </w:r>
          </w:p>
        </w:tc>
        <w:tc>
          <w:tcPr>
            <w:tcW w:w="2670"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1</w:t>
            </w:r>
            <w:r>
              <w:rPr>
                <w:rFonts w:ascii="方正书宋_GBK" w:eastAsia="方正书宋_GBK"/>
              </w:rPr>
              <w:t>0</w:t>
            </w:r>
            <w:r>
              <w:rPr>
                <w:rFonts w:hint="eastAsia" w:ascii="方正书宋_GBK" w:eastAsia="方正书宋_GBK"/>
              </w:rPr>
              <w:t>分</w:t>
            </w:r>
          </w:p>
        </w:tc>
        <w:tc>
          <w:tcPr>
            <w:tcW w:w="1823"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稳步提升团区委组织建设水平</w:t>
            </w:r>
          </w:p>
        </w:tc>
        <w:tc>
          <w:tcPr>
            <w:tcW w:w="667"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文字描述</w:t>
            </w:r>
          </w:p>
        </w:tc>
        <w:tc>
          <w:tcPr>
            <w:tcW w:w="600" w:type="dxa"/>
            <w:tcBorders>
              <w:tl2br w:val="nil"/>
              <w:tr2bl w:val="nil"/>
            </w:tcBorders>
            <w:vAlign w:val="center"/>
          </w:tcPr>
          <w:p>
            <w:pPr>
              <w:widowControl/>
              <w:adjustRightInd w:val="0"/>
              <w:snapToGrid w:val="0"/>
              <w:jc w:val="center"/>
              <w:rPr>
                <w:rFonts w:ascii="方正书宋_GBK" w:eastAsia="方正书宋_GBK"/>
              </w:rPr>
            </w:pPr>
          </w:p>
        </w:tc>
        <w:tc>
          <w:tcPr>
            <w:tcW w:w="70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稳步有序提升</w:t>
            </w:r>
          </w:p>
        </w:tc>
        <w:tc>
          <w:tcPr>
            <w:tcW w:w="1570"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按照工作计划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32" w:hRule="atLeast"/>
          <w:jc w:val="center"/>
        </w:trPr>
        <w:tc>
          <w:tcPr>
            <w:tcW w:w="686" w:type="dxa"/>
            <w:vMerge w:val="continue"/>
            <w:tcBorders>
              <w:tl2br w:val="nil"/>
              <w:tr2bl w:val="nil"/>
            </w:tcBorders>
            <w:vAlign w:val="center"/>
          </w:tcPr>
          <w:p/>
        </w:tc>
        <w:tc>
          <w:tcPr>
            <w:tcW w:w="1014"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经济</w:t>
            </w:r>
          </w:p>
          <w:p>
            <w:pPr>
              <w:widowControl/>
              <w:adjustRightInd w:val="0"/>
              <w:snapToGrid w:val="0"/>
              <w:jc w:val="center"/>
              <w:rPr>
                <w:rFonts w:ascii="方正书宋_GBK" w:eastAsia="方正书宋_GBK"/>
              </w:rPr>
            </w:pPr>
            <w:r>
              <w:rPr>
                <w:rFonts w:hint="eastAsia" w:ascii="方正书宋_GBK" w:eastAsia="方正书宋_GBK"/>
              </w:rPr>
              <w:t>效益</w:t>
            </w:r>
          </w:p>
        </w:tc>
        <w:tc>
          <w:tcPr>
            <w:tcW w:w="1102" w:type="dxa"/>
            <w:tcBorders>
              <w:tl2br w:val="nil"/>
              <w:tr2bl w:val="nil"/>
            </w:tcBorders>
            <w:vAlign w:val="center"/>
          </w:tcPr>
          <w:p>
            <w:pPr>
              <w:widowControl/>
              <w:adjustRightInd w:val="0"/>
              <w:snapToGrid w:val="0"/>
              <w:rPr>
                <w:rFonts w:ascii="方正书宋_GBK" w:eastAsia="方正书宋_GBK"/>
              </w:rPr>
            </w:pPr>
          </w:p>
        </w:tc>
        <w:tc>
          <w:tcPr>
            <w:tcW w:w="2670" w:type="dxa"/>
            <w:tcBorders>
              <w:tl2br w:val="nil"/>
              <w:tr2bl w:val="nil"/>
            </w:tcBorders>
            <w:vAlign w:val="center"/>
          </w:tcPr>
          <w:p>
            <w:pPr>
              <w:widowControl/>
              <w:adjustRightInd w:val="0"/>
              <w:snapToGrid w:val="0"/>
              <w:rPr>
                <w:rFonts w:ascii="方正书宋_GBK" w:eastAsia="方正书宋_GBK"/>
              </w:rPr>
            </w:pPr>
          </w:p>
        </w:tc>
        <w:tc>
          <w:tcPr>
            <w:tcW w:w="1823" w:type="dxa"/>
            <w:tcBorders>
              <w:tl2br w:val="nil"/>
              <w:tr2bl w:val="nil"/>
            </w:tcBorders>
            <w:vAlign w:val="center"/>
          </w:tcPr>
          <w:p>
            <w:pPr>
              <w:widowControl/>
              <w:adjustRightInd w:val="0"/>
              <w:snapToGrid w:val="0"/>
              <w:rPr>
                <w:rFonts w:ascii="方正书宋_GBK" w:eastAsia="方正书宋_GBK"/>
              </w:rPr>
            </w:pPr>
          </w:p>
        </w:tc>
        <w:tc>
          <w:tcPr>
            <w:tcW w:w="667" w:type="dxa"/>
            <w:tcBorders>
              <w:tl2br w:val="nil"/>
              <w:tr2bl w:val="nil"/>
            </w:tcBorders>
            <w:vAlign w:val="center"/>
          </w:tcPr>
          <w:p>
            <w:pPr>
              <w:widowControl/>
              <w:adjustRightInd w:val="0"/>
              <w:snapToGrid w:val="0"/>
              <w:rPr>
                <w:rFonts w:ascii="方正书宋_GBK" w:eastAsia="方正书宋_GBK"/>
              </w:rPr>
            </w:pPr>
          </w:p>
        </w:tc>
        <w:tc>
          <w:tcPr>
            <w:tcW w:w="600" w:type="dxa"/>
            <w:tcBorders>
              <w:tl2br w:val="nil"/>
              <w:tr2bl w:val="nil"/>
            </w:tcBorders>
            <w:vAlign w:val="center"/>
          </w:tcPr>
          <w:p>
            <w:pPr>
              <w:widowControl/>
              <w:adjustRightInd w:val="0"/>
              <w:snapToGrid w:val="0"/>
              <w:rPr>
                <w:rFonts w:ascii="方正书宋_GBK" w:eastAsia="方正书宋_GBK"/>
              </w:rPr>
            </w:pPr>
          </w:p>
        </w:tc>
        <w:tc>
          <w:tcPr>
            <w:tcW w:w="705" w:type="dxa"/>
            <w:tcBorders>
              <w:tl2br w:val="nil"/>
              <w:tr2bl w:val="nil"/>
            </w:tcBorders>
            <w:vAlign w:val="center"/>
          </w:tcPr>
          <w:p>
            <w:pPr>
              <w:widowControl/>
              <w:adjustRightInd w:val="0"/>
              <w:snapToGrid w:val="0"/>
              <w:rPr>
                <w:rFonts w:ascii="方正书宋_GBK" w:eastAsia="方正书宋_GBK"/>
              </w:rPr>
            </w:pPr>
          </w:p>
        </w:tc>
        <w:tc>
          <w:tcPr>
            <w:tcW w:w="1570" w:type="dxa"/>
            <w:tcBorders>
              <w:tl2br w:val="nil"/>
              <w:tr2bl w:val="nil"/>
            </w:tcBorders>
            <w:vAlign w:val="center"/>
          </w:tcPr>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32" w:hRule="atLeast"/>
          <w:jc w:val="center"/>
        </w:trPr>
        <w:tc>
          <w:tcPr>
            <w:tcW w:w="686" w:type="dxa"/>
            <w:vMerge w:val="continue"/>
            <w:tcBorders>
              <w:tl2br w:val="nil"/>
              <w:tr2bl w:val="nil"/>
            </w:tcBorders>
            <w:vAlign w:val="center"/>
          </w:tcPr>
          <w:p/>
        </w:tc>
        <w:tc>
          <w:tcPr>
            <w:tcW w:w="1014"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生态</w:t>
            </w:r>
          </w:p>
          <w:p>
            <w:pPr>
              <w:widowControl/>
              <w:adjustRightInd w:val="0"/>
              <w:snapToGrid w:val="0"/>
              <w:jc w:val="center"/>
              <w:rPr>
                <w:rFonts w:ascii="方正书宋_GBK" w:eastAsia="方正书宋_GBK"/>
              </w:rPr>
            </w:pPr>
            <w:r>
              <w:rPr>
                <w:rFonts w:hint="eastAsia" w:ascii="方正书宋_GBK" w:eastAsia="方正书宋_GBK"/>
              </w:rPr>
              <w:t>效益</w:t>
            </w:r>
          </w:p>
        </w:tc>
        <w:tc>
          <w:tcPr>
            <w:tcW w:w="1102" w:type="dxa"/>
            <w:tcBorders>
              <w:tl2br w:val="nil"/>
              <w:tr2bl w:val="nil"/>
            </w:tcBorders>
            <w:vAlign w:val="center"/>
          </w:tcPr>
          <w:p>
            <w:pPr>
              <w:widowControl/>
              <w:adjustRightInd w:val="0"/>
              <w:snapToGrid w:val="0"/>
              <w:rPr>
                <w:rFonts w:ascii="方正书宋_GBK" w:eastAsia="方正书宋_GBK"/>
              </w:rPr>
            </w:pPr>
          </w:p>
        </w:tc>
        <w:tc>
          <w:tcPr>
            <w:tcW w:w="2670" w:type="dxa"/>
            <w:tcBorders>
              <w:tl2br w:val="nil"/>
              <w:tr2bl w:val="nil"/>
            </w:tcBorders>
            <w:vAlign w:val="center"/>
          </w:tcPr>
          <w:p>
            <w:pPr>
              <w:widowControl/>
              <w:adjustRightInd w:val="0"/>
              <w:snapToGrid w:val="0"/>
              <w:rPr>
                <w:rFonts w:ascii="方正书宋_GBK" w:eastAsia="方正书宋_GBK"/>
              </w:rPr>
            </w:pPr>
          </w:p>
        </w:tc>
        <w:tc>
          <w:tcPr>
            <w:tcW w:w="1823" w:type="dxa"/>
            <w:tcBorders>
              <w:tl2br w:val="nil"/>
              <w:tr2bl w:val="nil"/>
            </w:tcBorders>
            <w:vAlign w:val="center"/>
          </w:tcPr>
          <w:p>
            <w:pPr>
              <w:widowControl/>
              <w:adjustRightInd w:val="0"/>
              <w:snapToGrid w:val="0"/>
              <w:rPr>
                <w:rFonts w:ascii="方正书宋_GBK" w:eastAsia="方正书宋_GBK"/>
              </w:rPr>
            </w:pPr>
          </w:p>
        </w:tc>
        <w:tc>
          <w:tcPr>
            <w:tcW w:w="667" w:type="dxa"/>
            <w:tcBorders>
              <w:tl2br w:val="nil"/>
              <w:tr2bl w:val="nil"/>
            </w:tcBorders>
            <w:vAlign w:val="center"/>
          </w:tcPr>
          <w:p>
            <w:pPr>
              <w:widowControl/>
              <w:adjustRightInd w:val="0"/>
              <w:snapToGrid w:val="0"/>
              <w:rPr>
                <w:rFonts w:ascii="方正书宋_GBK" w:eastAsia="方正书宋_GBK"/>
              </w:rPr>
            </w:pPr>
          </w:p>
        </w:tc>
        <w:tc>
          <w:tcPr>
            <w:tcW w:w="600" w:type="dxa"/>
            <w:tcBorders>
              <w:tl2br w:val="nil"/>
              <w:tr2bl w:val="nil"/>
            </w:tcBorders>
            <w:vAlign w:val="center"/>
          </w:tcPr>
          <w:p>
            <w:pPr>
              <w:widowControl/>
              <w:adjustRightInd w:val="0"/>
              <w:snapToGrid w:val="0"/>
              <w:rPr>
                <w:rFonts w:ascii="方正书宋_GBK" w:eastAsia="方正书宋_GBK"/>
              </w:rPr>
            </w:pPr>
          </w:p>
        </w:tc>
        <w:tc>
          <w:tcPr>
            <w:tcW w:w="705" w:type="dxa"/>
            <w:tcBorders>
              <w:tl2br w:val="nil"/>
              <w:tr2bl w:val="nil"/>
            </w:tcBorders>
            <w:vAlign w:val="center"/>
          </w:tcPr>
          <w:p>
            <w:pPr>
              <w:widowControl/>
              <w:adjustRightInd w:val="0"/>
              <w:snapToGrid w:val="0"/>
              <w:rPr>
                <w:rFonts w:ascii="方正书宋_GBK" w:eastAsia="方正书宋_GBK"/>
              </w:rPr>
            </w:pPr>
          </w:p>
        </w:tc>
        <w:tc>
          <w:tcPr>
            <w:tcW w:w="1570" w:type="dxa"/>
            <w:tcBorders>
              <w:tl2br w:val="nil"/>
              <w:tr2bl w:val="nil"/>
            </w:tcBorders>
            <w:vAlign w:val="center"/>
          </w:tcPr>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179" w:hRule="atLeast"/>
          <w:jc w:val="center"/>
        </w:trPr>
        <w:tc>
          <w:tcPr>
            <w:tcW w:w="686" w:type="dxa"/>
            <w:vMerge w:val="continue"/>
            <w:tcBorders>
              <w:tl2br w:val="nil"/>
              <w:tr2bl w:val="nil"/>
            </w:tcBorders>
            <w:vAlign w:val="center"/>
          </w:tcPr>
          <w:p/>
        </w:tc>
        <w:tc>
          <w:tcPr>
            <w:tcW w:w="1014" w:type="dxa"/>
            <w:tcBorders>
              <w:tl2br w:val="nil"/>
              <w:tr2bl w:val="nil"/>
            </w:tcBorders>
            <w:vAlign w:val="center"/>
          </w:tcPr>
          <w:p>
            <w:pPr>
              <w:adjustRightInd w:val="0"/>
              <w:snapToGrid w:val="0"/>
              <w:jc w:val="center"/>
              <w:rPr>
                <w:rFonts w:ascii="方正书宋_GBK" w:eastAsia="方正书宋_GBK"/>
              </w:rPr>
            </w:pPr>
            <w:r>
              <w:rPr>
                <w:rFonts w:hint="eastAsia" w:ascii="方正书宋_GBK" w:eastAsia="方正书宋_GBK"/>
              </w:rPr>
              <w:t>可持续影响</w:t>
            </w:r>
          </w:p>
        </w:tc>
        <w:tc>
          <w:tcPr>
            <w:tcW w:w="1102" w:type="dxa"/>
            <w:tcBorders>
              <w:tl2br w:val="nil"/>
              <w:tr2bl w:val="nil"/>
            </w:tcBorders>
            <w:noWrap/>
            <w:vAlign w:val="center"/>
          </w:tcPr>
          <w:p>
            <w:pPr>
              <w:widowControl/>
              <w:adjustRightInd w:val="0"/>
              <w:snapToGrid w:val="0"/>
              <w:rPr>
                <w:rFonts w:ascii="方正书宋_GBK" w:eastAsia="方正书宋_GBK"/>
              </w:rPr>
            </w:pPr>
            <w:r>
              <w:rPr>
                <w:rFonts w:hint="eastAsia" w:ascii="方正书宋_GBK" w:eastAsia="方正书宋_GBK"/>
              </w:rPr>
              <w:t>长期使用性</w:t>
            </w:r>
          </w:p>
        </w:tc>
        <w:tc>
          <w:tcPr>
            <w:tcW w:w="2670" w:type="dxa"/>
            <w:tcBorders>
              <w:tl2br w:val="nil"/>
              <w:tr2bl w:val="nil"/>
            </w:tcBorders>
            <w:noWrap/>
            <w:vAlign w:val="center"/>
          </w:tcPr>
          <w:p>
            <w:pPr>
              <w:widowControl/>
              <w:adjustRightInd w:val="0"/>
              <w:snapToGrid w:val="0"/>
              <w:rPr>
                <w:rFonts w:ascii="方正书宋_GBK" w:eastAsia="方正书宋_GBK"/>
              </w:rPr>
            </w:pPr>
            <w:r>
              <w:rPr>
                <w:rFonts w:hint="eastAsia" w:ascii="方正书宋_GBK" w:eastAsia="方正书宋_GBK"/>
              </w:rPr>
              <w:t>1</w:t>
            </w:r>
            <w:r>
              <w:rPr>
                <w:rFonts w:ascii="方正书宋_GBK" w:eastAsia="方正书宋_GBK"/>
              </w:rPr>
              <w:t>0</w:t>
            </w:r>
            <w:r>
              <w:rPr>
                <w:rFonts w:hint="eastAsia" w:ascii="方正书宋_GBK" w:eastAsia="方正书宋_GBK"/>
              </w:rPr>
              <w:t>分</w:t>
            </w:r>
          </w:p>
        </w:tc>
        <w:tc>
          <w:tcPr>
            <w:tcW w:w="1823" w:type="dxa"/>
            <w:tcBorders>
              <w:tl2br w:val="nil"/>
              <w:tr2bl w:val="nil"/>
            </w:tcBorders>
            <w:noWrap/>
            <w:vAlign w:val="center"/>
          </w:tcPr>
          <w:p>
            <w:pPr>
              <w:widowControl/>
              <w:adjustRightInd w:val="0"/>
              <w:snapToGrid w:val="0"/>
              <w:rPr>
                <w:rFonts w:ascii="方正书宋_GBK" w:eastAsia="方正书宋_GBK"/>
              </w:rPr>
            </w:pPr>
            <w:r>
              <w:rPr>
                <w:rFonts w:hint="eastAsia" w:ascii="方正书宋_GBK" w:eastAsia="方正书宋_GBK"/>
              </w:rPr>
              <w:t>能够长期较好地开展团区委工作，更好的服务团员青年的需求。</w:t>
            </w:r>
          </w:p>
        </w:tc>
        <w:tc>
          <w:tcPr>
            <w:tcW w:w="667"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文字描述</w:t>
            </w:r>
          </w:p>
        </w:tc>
        <w:tc>
          <w:tcPr>
            <w:tcW w:w="600" w:type="dxa"/>
            <w:tcBorders>
              <w:tl2br w:val="nil"/>
              <w:tr2bl w:val="nil"/>
            </w:tcBorders>
            <w:vAlign w:val="center"/>
          </w:tcPr>
          <w:p>
            <w:pPr>
              <w:widowControl/>
              <w:adjustRightInd w:val="0"/>
              <w:snapToGrid w:val="0"/>
              <w:jc w:val="center"/>
              <w:rPr>
                <w:rFonts w:ascii="方正书宋_GBK" w:eastAsia="方正书宋_GBK"/>
              </w:rPr>
            </w:pPr>
          </w:p>
        </w:tc>
        <w:tc>
          <w:tcPr>
            <w:tcW w:w="70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长期较好的开展团区委工作</w:t>
            </w:r>
          </w:p>
        </w:tc>
        <w:tc>
          <w:tcPr>
            <w:tcW w:w="1570"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按照工作计划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1104" w:hRule="atLeast"/>
          <w:jc w:val="center"/>
        </w:trPr>
        <w:tc>
          <w:tcPr>
            <w:tcW w:w="686" w:type="dxa"/>
            <w:vMerge w:val="continue"/>
            <w:tcBorders>
              <w:tl2br w:val="nil"/>
              <w:tr2bl w:val="nil"/>
            </w:tcBorders>
            <w:vAlign w:val="center"/>
          </w:tcPr>
          <w:p/>
        </w:tc>
        <w:tc>
          <w:tcPr>
            <w:tcW w:w="1014"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满意度</w:t>
            </w:r>
          </w:p>
        </w:tc>
        <w:tc>
          <w:tcPr>
            <w:tcW w:w="1102" w:type="dxa"/>
            <w:tcBorders>
              <w:tl2br w:val="nil"/>
              <w:tr2bl w:val="nil"/>
            </w:tcBorders>
            <w:noWrap/>
            <w:vAlign w:val="center"/>
          </w:tcPr>
          <w:p>
            <w:pPr>
              <w:widowControl/>
              <w:adjustRightInd w:val="0"/>
              <w:snapToGrid w:val="0"/>
              <w:rPr>
                <w:rFonts w:ascii="方正书宋_GBK" w:eastAsia="方正书宋_GBK"/>
              </w:rPr>
            </w:pPr>
            <w:r>
              <w:rPr>
                <w:rFonts w:hint="eastAsia" w:ascii="方正书宋_GBK" w:eastAsia="方正书宋_GBK"/>
              </w:rPr>
              <w:t>团员青年满意度</w:t>
            </w:r>
          </w:p>
        </w:tc>
        <w:tc>
          <w:tcPr>
            <w:tcW w:w="2670" w:type="dxa"/>
            <w:tcBorders>
              <w:tl2br w:val="nil"/>
              <w:tr2bl w:val="nil"/>
            </w:tcBorders>
            <w:noWrap/>
            <w:vAlign w:val="center"/>
          </w:tcPr>
          <w:p>
            <w:pPr>
              <w:widowControl/>
              <w:adjustRightInd w:val="0"/>
              <w:snapToGrid w:val="0"/>
              <w:rPr>
                <w:rFonts w:ascii="方正书宋_GBK" w:eastAsia="方正书宋_GBK"/>
              </w:rPr>
            </w:pPr>
            <w:r>
              <w:rPr>
                <w:rFonts w:hint="eastAsia" w:ascii="方正书宋_GBK" w:eastAsia="方正书宋_GBK"/>
              </w:rPr>
              <w:t>2</w:t>
            </w:r>
            <w:r>
              <w:rPr>
                <w:rFonts w:ascii="方正书宋_GBK" w:eastAsia="方正书宋_GBK"/>
              </w:rPr>
              <w:t>0</w:t>
            </w:r>
            <w:r>
              <w:rPr>
                <w:rFonts w:hint="eastAsia" w:ascii="方正书宋_GBK" w:eastAsia="方正书宋_GBK"/>
              </w:rPr>
              <w:t>分</w:t>
            </w:r>
          </w:p>
        </w:tc>
        <w:tc>
          <w:tcPr>
            <w:tcW w:w="1823" w:type="dxa"/>
            <w:tcBorders>
              <w:tl2br w:val="nil"/>
              <w:tr2bl w:val="nil"/>
            </w:tcBorders>
            <w:noWrap/>
            <w:vAlign w:val="center"/>
          </w:tcPr>
          <w:p>
            <w:pPr>
              <w:widowControl/>
              <w:adjustRightInd w:val="0"/>
              <w:snapToGrid w:val="0"/>
              <w:rPr>
                <w:rFonts w:ascii="方正书宋_GBK" w:eastAsia="方正书宋_GBK"/>
              </w:rPr>
            </w:pPr>
            <w:r>
              <w:rPr>
                <w:rFonts w:hint="eastAsia" w:ascii="方正书宋_GBK" w:eastAsia="方正书宋_GBK"/>
              </w:rPr>
              <w:t>服务对象对活动实施的满意度</w:t>
            </w:r>
          </w:p>
        </w:tc>
        <w:tc>
          <w:tcPr>
            <w:tcW w:w="66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w:t>
            </w:r>
          </w:p>
        </w:tc>
        <w:tc>
          <w:tcPr>
            <w:tcW w:w="600" w:type="dxa"/>
            <w:tcBorders>
              <w:tl2br w:val="nil"/>
              <w:tr2bl w:val="nil"/>
            </w:tcBorders>
            <w:vAlign w:val="center"/>
          </w:tcPr>
          <w:p>
            <w:pPr>
              <w:widowControl/>
              <w:adjustRightInd w:val="0"/>
              <w:snapToGrid w:val="0"/>
              <w:rPr>
                <w:rFonts w:ascii="方正书宋_GBK" w:eastAsia="方正书宋_GBK"/>
              </w:rPr>
            </w:pPr>
            <w:r>
              <w:rPr>
                <w:rFonts w:ascii="方正书宋_GBK" w:eastAsia="方正书宋_GBK"/>
              </w:rPr>
              <w:t>90</w:t>
            </w:r>
          </w:p>
        </w:tc>
        <w:tc>
          <w:tcPr>
            <w:tcW w:w="705"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w:t>
            </w:r>
          </w:p>
        </w:tc>
        <w:tc>
          <w:tcPr>
            <w:tcW w:w="1570"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按照工作计划</w:t>
            </w:r>
          </w:p>
        </w:tc>
      </w:tr>
    </w:tbl>
    <w:p>
      <w:pPr>
        <w:spacing w:line="584" w:lineRule="exact"/>
        <w:rPr>
          <w:rFonts w:ascii="仿宋_GB2312" w:eastAsia="仿宋_GB2312"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方正小标宋_GBK" w:eastAsia="方正小标宋_GBK" w:cs="Times New Roman"/>
          <w:sz w:val="32"/>
        </w:rPr>
      </w:pPr>
      <w:bookmarkStart w:id="1"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21</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bookmarkEnd w:id="1"/>
      <w:bookmarkStart w:id="2" w:name="_Toc64920910"/>
    </w:p>
    <w:p>
      <w:pPr>
        <w:jc w:val="center"/>
        <w:outlineLvl w:val="1"/>
        <w:rPr>
          <w:rFonts w:ascii="方正小标宋_GBK" w:eastAsia="方正小标宋_GBK" w:cs="Times New Roman"/>
          <w:sz w:val="32"/>
        </w:rPr>
      </w:pPr>
    </w:p>
    <w:p>
      <w:pPr>
        <w:jc w:val="center"/>
        <w:outlineLvl w:val="1"/>
        <w:rPr>
          <w:rFonts w:ascii="方正小标宋_GBK" w:eastAsia="方正小标宋_GBK" w:cs="Times New Roman"/>
          <w:sz w:val="32"/>
        </w:rPr>
      </w:pPr>
    </w:p>
    <w:p>
      <w:pPr>
        <w:jc w:val="center"/>
        <w:outlineLvl w:val="1"/>
        <w:rPr>
          <w:rFonts w:ascii="Times New Roman" w:hAnsi="Times New Roman" w:cs="Times New Roman"/>
          <w:sz w:val="32"/>
        </w:rPr>
      </w:pPr>
      <w:r>
        <w:rPr>
          <w:rFonts w:hint="eastAsia" w:ascii="方正小标宋_GBK" w:eastAsia="方正小标宋_GBK" w:cs="Times New Roman"/>
          <w:sz w:val="32"/>
        </w:rPr>
        <w:t>部门政府采购预算</w:t>
      </w:r>
      <w:bookmarkEnd w:id="2"/>
    </w:p>
    <w:tbl>
      <w:tblPr>
        <w:tblStyle w:val="8"/>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cs="Times New Roman"/>
                <w:sz w:val="24"/>
              </w:rPr>
            </w:pPr>
            <w:r>
              <w:rPr>
                <w:rFonts w:hint="eastAsia" w:ascii="Times New Roman" w:hAnsi="Times New Roman" w:eastAsia="仿宋_GB2312" w:cs="Times New Roman"/>
                <w:sz w:val="24"/>
              </w:rPr>
              <w:t>[260012]中国共产主义青年团廊坊市广阳区委员会</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cs="Times New Roman"/>
                <w:sz w:val="24"/>
              </w:rPr>
            </w:pPr>
            <w:r>
              <w:rPr>
                <w:rFonts w:ascii="方正书宋_GBK" w:eastAsia="方正书宋_GBK"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政府采购项目来源</w:t>
            </w:r>
          </w:p>
        </w:tc>
        <w:tc>
          <w:tcPr>
            <w:tcW w:w="1531"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采购物品名称</w:t>
            </w:r>
          </w:p>
        </w:tc>
        <w:tc>
          <w:tcPr>
            <w:tcW w:w="1531"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政府采购目录序号</w:t>
            </w:r>
          </w:p>
        </w:tc>
        <w:tc>
          <w:tcPr>
            <w:tcW w:w="709"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计量单位</w:t>
            </w:r>
          </w:p>
        </w:tc>
        <w:tc>
          <w:tcPr>
            <w:tcW w:w="907"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数量</w:t>
            </w:r>
          </w:p>
        </w:tc>
        <w:tc>
          <w:tcPr>
            <w:tcW w:w="907"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单价</w:t>
            </w:r>
          </w:p>
        </w:tc>
        <w:tc>
          <w:tcPr>
            <w:tcW w:w="6804" w:type="dxa"/>
            <w:gridSpan w:val="6"/>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项目名称</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预算资金</w:t>
            </w:r>
          </w:p>
        </w:tc>
        <w:tc>
          <w:tcPr>
            <w:tcW w:w="1531" w:type="dxa"/>
            <w:vMerge w:val="continue"/>
            <w:shd w:val="clear" w:color="auto" w:fill="auto"/>
            <w:vAlign w:val="center"/>
          </w:tcPr>
          <w:p/>
        </w:tc>
        <w:tc>
          <w:tcPr>
            <w:tcW w:w="1531" w:type="dxa"/>
            <w:vMerge w:val="continue"/>
            <w:shd w:val="clear" w:color="auto" w:fill="auto"/>
            <w:vAlign w:val="center"/>
          </w:tcPr>
          <w:p/>
        </w:tc>
        <w:tc>
          <w:tcPr>
            <w:tcW w:w="709" w:type="dxa"/>
            <w:vMerge w:val="continue"/>
            <w:shd w:val="clear" w:color="auto" w:fill="auto"/>
            <w:vAlign w:val="center"/>
          </w:tcPr>
          <w:p/>
        </w:tc>
        <w:tc>
          <w:tcPr>
            <w:tcW w:w="907" w:type="dxa"/>
            <w:vMerge w:val="continue"/>
            <w:shd w:val="clear" w:color="auto" w:fill="auto"/>
            <w:vAlign w:val="center"/>
          </w:tcPr>
          <w:p/>
        </w:tc>
        <w:tc>
          <w:tcPr>
            <w:tcW w:w="907" w:type="dxa"/>
            <w:vMerge w:val="continue"/>
            <w:shd w:val="clear" w:color="auto" w:fill="auto"/>
            <w:vAlign w:val="center"/>
          </w:tcP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合计</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一般公共预算拨款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基金预算拨款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国有资本经营预算拨款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财政专户核拨</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合计</w:t>
            </w:r>
          </w:p>
        </w:tc>
        <w:tc>
          <w:tcPr>
            <w:tcW w:w="1134" w:type="dxa"/>
            <w:shd w:val="clear" w:color="auto" w:fill="auto"/>
            <w:vAlign w:val="center"/>
          </w:tcPr>
          <w:p>
            <w:pPr>
              <w:spacing w:line="300" w:lineRule="exact"/>
              <w:jc w:val="righ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709" w:type="dxa"/>
            <w:shd w:val="clear" w:color="auto" w:fill="auto"/>
            <w:vAlign w:val="center"/>
          </w:tcPr>
          <w:p>
            <w:pPr>
              <w:spacing w:line="300" w:lineRule="exact"/>
              <w:jc w:val="center"/>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709" w:type="dxa"/>
            <w:shd w:val="clear" w:color="auto" w:fill="auto"/>
            <w:vAlign w:val="center"/>
          </w:tcPr>
          <w:p>
            <w:pPr>
              <w:spacing w:line="300" w:lineRule="exact"/>
              <w:jc w:val="center"/>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bl>
    <w:p>
      <w:pPr>
        <w:spacing w:line="584" w:lineRule="exact"/>
        <w:jc w:val="left"/>
        <w:outlineLvl w:val="0"/>
        <w:rPr>
          <w:rFonts w:ascii="Times New Roman" w:hAnsi="Times New Roman" w:eastAsia="仿宋_GB2312" w:cs="Times New Roman"/>
        </w:rPr>
        <w:sectPr>
          <w:footerReference r:id="rId3" w:type="default"/>
          <w:pgSz w:w="16839" w:h="11907" w:orient="landscape"/>
          <w:pgMar w:top="1361" w:right="1020" w:bottom="1361" w:left="1020" w:header="851" w:footer="992" w:gutter="0"/>
          <w:cols w:space="720"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中国共产主义青年团廊坊市广阳区委员会</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5.564</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本年度我部门无拟购置固定资产。</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hint="eastAsia" w:ascii="Times New Roman" w:hAnsi="Times New Roman" w:eastAsia="仿宋_GB2312" w:cs="Times New Roman"/>
                <w:b/>
                <w:bCs/>
                <w:kern w:val="0"/>
                <w:sz w:val="32"/>
                <w:szCs w:val="32"/>
              </w:rPr>
              <w:t>中国共产主义青年团廊坊市广阳区委员会部门</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w:t>
            </w:r>
            <w:r>
              <w:rPr>
                <w:rFonts w:hint="eastAsia" w:ascii="Times New Roman" w:hAnsi="Times New Roman" w:eastAsia="仿宋_GB2312" w:cs="Times New Roman"/>
                <w:kern w:val="0"/>
                <w:sz w:val="22"/>
              </w:rPr>
              <w:t>中国共产主义青年团廊坊市广阳区委员会</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20</w:t>
            </w:r>
            <w:r>
              <w:rPr>
                <w:rFonts w:ascii="Times New Roman" w:hAnsi="Times New Roman" w:eastAsia="仿宋_GB2312" w:cs="Times New Roman"/>
                <w:kern w:val="0"/>
                <w:sz w:val="22"/>
              </w:rPr>
              <w:t>年12月31日</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5.</w:t>
            </w:r>
            <w:r>
              <w:rPr>
                <w:rFonts w:ascii="Times New Roman" w:hAnsi="Times New Roman" w:eastAsia="仿宋_GB2312" w:cs="Times New Roman"/>
                <w:sz w:val="22"/>
              </w:rPr>
              <w:t>564</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5.564</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3</w:t>
    </w:r>
    <w:r>
      <w:rPr>
        <w:lang w:val="zh-CN"/>
      </w:rPr>
      <w:fldChar w:fldCharType="end"/>
    </w:r>
    <w:r>
      <w:rPr>
        <w:rFonts w:hint="eastAsia"/>
      </w:rPr>
      <w:t>-</w: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A6CB7C"/>
    <w:multiLevelType w:val="singleLevel"/>
    <w:tmpl w:val="87A6CB7C"/>
    <w:lvl w:ilvl="0" w:tentative="0">
      <w:start w:val="2"/>
      <w:numFmt w:val="chineseCounting"/>
      <w:suff w:val="nothing"/>
      <w:lvlText w:val="（%1）"/>
      <w:lvlJc w:val="left"/>
      <w:rPr>
        <w:rFonts w:hint="eastAsia"/>
      </w:rPr>
    </w:lvl>
  </w:abstractNum>
  <w:abstractNum w:abstractNumId="1">
    <w:nsid w:val="2238EC9E"/>
    <w:multiLevelType w:val="singleLevel"/>
    <w:tmpl w:val="2238EC9E"/>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0267F5"/>
    <w:rsid w:val="000B5867"/>
    <w:rsid w:val="00246182"/>
    <w:rsid w:val="00301F9F"/>
    <w:rsid w:val="00352BB8"/>
    <w:rsid w:val="00356683"/>
    <w:rsid w:val="003A0F49"/>
    <w:rsid w:val="004A54AA"/>
    <w:rsid w:val="005743EC"/>
    <w:rsid w:val="005E36D4"/>
    <w:rsid w:val="00774E04"/>
    <w:rsid w:val="00807A76"/>
    <w:rsid w:val="008F0EB4"/>
    <w:rsid w:val="009C62A0"/>
    <w:rsid w:val="00A218C6"/>
    <w:rsid w:val="00B04D28"/>
    <w:rsid w:val="00B17B32"/>
    <w:rsid w:val="00B80935"/>
    <w:rsid w:val="00D347CC"/>
    <w:rsid w:val="00E27CE3"/>
    <w:rsid w:val="00F6166F"/>
    <w:rsid w:val="0B382B2F"/>
    <w:rsid w:val="3EDF7F13"/>
    <w:rsid w:val="4C6F04EC"/>
    <w:rsid w:val="4CCF0902"/>
    <w:rsid w:val="57436794"/>
    <w:rsid w:val="62764595"/>
    <w:rsid w:val="732F5A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uiPriority w:val="0"/>
    <w:rPr>
      <w:sz w:val="18"/>
      <w:szCs w:val="18"/>
    </w:rPr>
  </w:style>
  <w:style w:type="paragraph" w:styleId="3">
    <w:name w:val="footer"/>
    <w:basedOn w:val="1"/>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Pages>
  <Words>888</Words>
  <Characters>5064</Characters>
  <Lines>42</Lines>
  <Paragraphs>11</Paragraphs>
  <TotalTime>0</TotalTime>
  <ScaleCrop>false</ScaleCrop>
  <LinksUpToDate>false</LinksUpToDate>
  <CharactersWithSpaces>5941</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Administrator</cp:lastModifiedBy>
  <cp:lastPrinted>2021-03-26T07:27:00Z</cp:lastPrinted>
  <dcterms:modified xsi:type="dcterms:W3CDTF">2024-01-11T06:12:53Z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B0A12F8EF708455991E64F12A1D0E4DC</vt:lpwstr>
  </property>
</Properties>
</file>