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3" w:firstLineChars="200"/>
        <w:jc w:val="center"/>
        <w:rPr>
          <w:rFonts w:ascii="黑体" w:hAnsi="黑体" w:eastAsia="黑体" w:cs="Times New Roman"/>
          <w:b/>
          <w:sz w:val="44"/>
          <w:szCs w:val="44"/>
        </w:rPr>
      </w:pPr>
      <w:bookmarkStart w:id="0" w:name="_Hlk68469757"/>
      <w:r>
        <w:rPr>
          <w:rFonts w:ascii="黑体" w:hAnsi="黑体" w:eastAsia="黑体" w:cs="Times New Roman"/>
          <w:b/>
          <w:sz w:val="44"/>
          <w:szCs w:val="44"/>
        </w:rPr>
        <w:t>廊坊市</w:t>
      </w:r>
      <w:r>
        <w:rPr>
          <w:rFonts w:hint="eastAsia" w:ascii="黑体" w:hAnsi="黑体" w:eastAsia="黑体" w:cs="Times New Roman"/>
          <w:b/>
          <w:sz w:val="44"/>
          <w:szCs w:val="44"/>
        </w:rPr>
        <w:t>广阳区工商业联合会</w:t>
      </w:r>
      <w:bookmarkEnd w:id="0"/>
    </w:p>
    <w:p>
      <w:pPr>
        <w:spacing w:line="584" w:lineRule="exact"/>
        <w:ind w:firstLine="883" w:firstLineChars="200"/>
        <w:jc w:val="center"/>
        <w:rPr>
          <w:rFonts w:ascii="黑体" w:hAnsi="黑体" w:eastAsia="黑体" w:cs="Times New Roman"/>
          <w:b/>
          <w:sz w:val="44"/>
          <w:szCs w:val="44"/>
        </w:rPr>
      </w:pPr>
      <w:r>
        <w:rPr>
          <w:rFonts w:ascii="黑体" w:hAnsi="黑体" w:eastAsia="黑体" w:cs="Times New Roman"/>
          <w:b/>
          <w:sz w:val="44"/>
          <w:szCs w:val="44"/>
        </w:rPr>
        <w:t>20</w:t>
      </w:r>
      <w:r>
        <w:rPr>
          <w:rFonts w:hint="eastAsia" w:ascii="黑体" w:hAnsi="黑体" w:eastAsia="黑体" w:cs="Times New Roman"/>
          <w:b/>
          <w:sz w:val="44"/>
          <w:szCs w:val="44"/>
        </w:rPr>
        <w:t>21</w:t>
      </w:r>
      <w:r>
        <w:rPr>
          <w:rFonts w:ascii="黑体" w:hAnsi="黑体" w:eastAsia="黑体" w:cs="Times New Roman"/>
          <w:b/>
          <w:sz w:val="44"/>
          <w:szCs w:val="44"/>
        </w:rPr>
        <w:t>年部门预算信息公开</w:t>
      </w:r>
      <w:r>
        <w:rPr>
          <w:rFonts w:hint="eastAsia" w:ascii="黑体" w:hAnsi="黑体" w:eastAsia="黑体" w:cs="Times New Roman"/>
          <w:b/>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廊坊市广阳区工商业联合会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（一）、参政议政：参政议政、社会服务等事项。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组织建设：发展工商联会员，指导基层商（协）会组织建设等各项工作。职责目标：贯彻全国和省市工商联组织建设工作方针，指导全区基层商会的建设，维护会员合法权益；组织换届、培训、思想政治和基层建设工作；对非公有制经济优秀人士进行宣传。</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（三）、工商联事务管理：综合性事务管理等事项。职责目标：为做好机关档案、信息、财务、会务、保密、安全保卫、固定资产和日常工作提供保障和服务。</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促进民营经济发展：加强对民营经济的宏观指导、综合协调，优化发展环境，激活市场主体，破解要素制约，强化公共服务，加强督导、检查和考核，提高民营经济发展质量和水平。职责目标：推动民营经济持续、健康发展。</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autoSpaceDE w:val="0"/>
              <w:autoSpaceDN w:val="0"/>
              <w:spacing w:line="540" w:lineRule="exact"/>
              <w:jc w:val="center"/>
              <w:rPr>
                <w:rFonts w:ascii="仿宋_GB2312" w:eastAsia="仿宋_GB2312"/>
                <w:szCs w:val="21"/>
              </w:rPr>
            </w:pPr>
            <w:r>
              <w:rPr>
                <w:rFonts w:hint="eastAsia" w:ascii="仿宋_GB2312" w:eastAsia="仿宋_GB2312"/>
                <w:color w:val="000000"/>
                <w:szCs w:val="21"/>
              </w:rPr>
              <w:t>廊坊市广阳区工商业联合会</w:t>
            </w:r>
          </w:p>
        </w:tc>
        <w:tc>
          <w:tcPr>
            <w:tcW w:w="1134" w:type="dxa"/>
            <w:shd w:val="clear" w:color="auto" w:fill="auto"/>
            <w:vAlign w:val="center"/>
          </w:tcPr>
          <w:p>
            <w:pPr>
              <w:autoSpaceDE w:val="0"/>
              <w:autoSpaceDN w:val="0"/>
              <w:spacing w:line="540" w:lineRule="exact"/>
              <w:jc w:val="center"/>
              <w:rPr>
                <w:rFonts w:ascii="仿宋_GB2312" w:eastAsia="仿宋_GB2312"/>
                <w:szCs w:val="21"/>
              </w:rPr>
            </w:pPr>
            <w:r>
              <w:rPr>
                <w:rFonts w:hint="eastAsia" w:ascii="仿宋_GB2312" w:eastAsia="仿宋_GB2312"/>
                <w:color w:val="000000"/>
                <w:szCs w:val="21"/>
              </w:rPr>
              <w:t>行政</w:t>
            </w:r>
          </w:p>
        </w:tc>
        <w:tc>
          <w:tcPr>
            <w:tcW w:w="1276" w:type="dxa"/>
            <w:shd w:val="clear" w:color="auto" w:fill="auto"/>
            <w:vAlign w:val="center"/>
          </w:tcPr>
          <w:p>
            <w:pPr>
              <w:spacing w:line="540" w:lineRule="exact"/>
              <w:jc w:val="center"/>
              <w:rPr>
                <w:rFonts w:ascii="仿宋_GB2312" w:eastAsia="仿宋_GB2312"/>
                <w:szCs w:val="21"/>
              </w:rPr>
            </w:pPr>
            <w:r>
              <w:rPr>
                <w:rFonts w:hint="eastAsia" w:ascii="仿宋_GB2312" w:eastAsia="仿宋_GB2312"/>
                <w:szCs w:val="21"/>
              </w:rPr>
              <w:t>正</w:t>
            </w:r>
            <w:r>
              <w:rPr>
                <w:rFonts w:ascii="仿宋_GB2312" w:eastAsia="仿宋_GB2312"/>
                <w:szCs w:val="21"/>
              </w:rPr>
              <w:t>科</w:t>
            </w:r>
            <w:r>
              <w:rPr>
                <w:rFonts w:hint="eastAsia" w:ascii="仿宋_GB2312" w:eastAsia="仿宋_GB2312"/>
                <w:szCs w:val="21"/>
              </w:rPr>
              <w:t>级</w:t>
            </w:r>
          </w:p>
        </w:tc>
        <w:tc>
          <w:tcPr>
            <w:tcW w:w="2902" w:type="dxa"/>
            <w:shd w:val="clear" w:color="auto" w:fill="auto"/>
            <w:vAlign w:val="center"/>
          </w:tcPr>
          <w:p>
            <w:pPr>
              <w:autoSpaceDE w:val="0"/>
              <w:autoSpaceDN w:val="0"/>
              <w:spacing w:line="540" w:lineRule="exact"/>
              <w:jc w:val="center"/>
              <w:rPr>
                <w:rFonts w:ascii="仿宋_GB2312" w:eastAsia="仿宋_GB2312"/>
                <w:szCs w:val="21"/>
              </w:rPr>
            </w:pPr>
            <w:r>
              <w:rPr>
                <w:rFonts w:hint="eastAsia" w:ascii="仿宋_GB2312" w:eastAsia="仿宋_GB2312"/>
                <w:color w:val="00000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广阳区工商业联合会</w:t>
      </w:r>
      <w:r>
        <w:rPr>
          <w:rFonts w:ascii="Times New Roman" w:hAnsi="Times New Roman" w:eastAsia="仿宋_GB2312" w:cs="Times New Roman"/>
          <w:sz w:val="32"/>
          <w:szCs w:val="32"/>
        </w:rPr>
        <w:t>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年预算收入102.73万元，其中：一般公共预算收入102.73万元，基金预算收入0万元，财政专户核拨收入0万元，其他来源收入0万元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廊坊市广阳区工商业联合会2</w:t>
      </w:r>
      <w:r>
        <w:rPr>
          <w:rFonts w:ascii="Times New Roman" w:hAnsi="Times New Roman" w:eastAsia="仿宋_GB2312" w:cs="Times New Roman"/>
          <w:sz w:val="32"/>
          <w:szCs w:val="32"/>
        </w:rPr>
        <w:t>021年度部门预算中支出预算的总体情况。20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年支出预算102.73万元，其中基本支出102.73万元，包括人员类项目经费91.86万元和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公用项目经费10.87万元；运转类其他及特定目标类项目支出0万元；上缴上级支出0万元；其他支出0万元。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年预算收支安排102.73万元，较20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.65万元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其中：基本支出</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.65万元，主要为</w:t>
      </w:r>
      <w:r>
        <w:rPr>
          <w:rFonts w:hint="eastAsia" w:ascii="Times New Roman" w:hAnsi="Times New Roman" w:eastAsia="仿宋_GB2312" w:cs="Times New Roman"/>
          <w:sz w:val="32"/>
          <w:szCs w:val="32"/>
        </w:rPr>
        <w:t>日常公用经费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会</w:t>
      </w:r>
      <w:r>
        <w:rPr>
          <w:rFonts w:ascii="Times New Roman" w:hAnsi="Times New Roman" w:eastAsia="仿宋_GB2312" w:cs="Times New Roman"/>
          <w:sz w:val="32"/>
          <w:szCs w:val="32"/>
        </w:rPr>
        <w:t>机关运行经费共计安排10.87万元，</w:t>
      </w:r>
      <w:r>
        <w:rPr>
          <w:rFonts w:hint="eastAsia" w:ascii="Times New Roman" w:hAnsi="Times New Roman" w:eastAsia="仿宋_GB2312" w:cs="Times New Roman"/>
          <w:sz w:val="32"/>
          <w:szCs w:val="32"/>
        </w:rPr>
        <w:t>主要用于机关办公区的日常维修、办公用房水电费、办公用房取暖费、物业管理费等日常运行支出</w:t>
      </w:r>
      <w:r>
        <w:rPr>
          <w:rFonts w:ascii="Times New Roman" w:hAnsi="Times New Roman" w:eastAsia="仿宋_GB2312" w:cs="Times New Roman"/>
          <w:sz w:val="32"/>
          <w:szCs w:val="32"/>
        </w:rPr>
        <w:t>。</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会</w:t>
      </w:r>
      <w:r>
        <w:rPr>
          <w:rFonts w:ascii="Times New Roman" w:hAnsi="Times New Roman" w:eastAsia="仿宋_GB2312" w:cs="Times New Roman"/>
          <w:sz w:val="32"/>
          <w:szCs w:val="32"/>
        </w:rPr>
        <w:t>财政拨款“三公”经费预算安排2.19万元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万元；公务用车购置及运维费2.19万元（其中：公务用车购置费为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万元，公务用车运维费2.19万元)；公务接待费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（二）、贯彻全国和省市工商联组织建设工作方针，指导全区基层商会的建设，维护会员合法权益；组织换届、培训、思想政治和基层建设工作；对非公有制经济优秀人士进行宣传。</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（三）、做好机关档案、信息、财务、会务、保密、安全保卫、固定资产和日常工作提供保障和服务。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（四）、推动民营经济持续、健康发展。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1、参政议政</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绩效目标：组织开展调研，向区政协提交大会发言和集体提案，反映社情民意，与区政府对口单位紧密联系。</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绩效指标：年度内报送社情民意数量不低于</w:t>
      </w:r>
      <w:r>
        <w:rPr>
          <w:rFonts w:ascii="仿宋_GB2312" w:eastAsia="仿宋_GB2312" w:cs="Times New Roman"/>
          <w:sz w:val="32"/>
          <w:szCs w:val="32"/>
        </w:rPr>
        <w:t>3</w:t>
      </w:r>
      <w:r>
        <w:rPr>
          <w:rFonts w:hint="eastAsia" w:ascii="仿宋_GB2312" w:eastAsia="仿宋_GB2312" w:cs="Times New Roman"/>
          <w:sz w:val="32"/>
          <w:szCs w:val="32"/>
        </w:rPr>
        <w:t>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2、贯彻方针政策，加强组织建设。</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绩效目标：贯彻全国和省市工商联组织建设工作方针，维护会员合法权益；组织换届、培训、思想政治工作；对非公有制经济优秀人士进行宣传。</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绩效指标：按要求召开执</w:t>
      </w:r>
      <w:r>
        <w:rPr>
          <w:rFonts w:hint="eastAsia" w:ascii="仿宋_GB2312" w:eastAsia="仿宋_GB2312" w:cs="Times New Roman"/>
          <w:sz w:val="32"/>
          <w:szCs w:val="32"/>
          <w:lang w:eastAsia="zh-CN"/>
        </w:rPr>
        <w:t>常委会会议</w:t>
      </w:r>
      <w:r>
        <w:rPr>
          <w:rFonts w:hint="eastAsia" w:ascii="仿宋_GB2312" w:eastAsia="仿宋_GB2312" w:cs="Times New Roman"/>
          <w:sz w:val="32"/>
          <w:szCs w:val="32"/>
        </w:rPr>
        <w:t>，组织相关培训会议。</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3、增强社会服务工作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助力“京津冀”三地民营企业经济协同发展及三地工商联协同化，引导会员积极承担社会责任，热心公益事业，投身光彩事业，加强与海外社团沟通交流，发挥工商联在政府管理和服务非公有制经济中的助手作用，助力河北经济发展。</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绩效指标：定期不定期召开银企对接等会议不低于2次，进行法律维权等活动不低于2次。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1、加强组织领导。将事前评估、目标管理、运行监控、绩效评价、结果应用等各项改革措施，有效融入预算管理的全过程环节</w:t>
      </w:r>
      <w:r>
        <w:rPr>
          <w:rFonts w:hint="eastAsia" w:ascii="仿宋_GB2312" w:eastAsia="仿宋_GB2312" w:cs="Times New Roman"/>
          <w:color w:val="000000" w:themeColor="text1"/>
          <w:sz w:val="32"/>
          <w:szCs w:val="32"/>
          <w14:textFill>
            <w14:solidFill>
              <w14:schemeClr w14:val="tx1"/>
            </w14:solidFill>
          </w14:textFill>
        </w:rPr>
        <w:t>，建立健全预算绩效管理的路径和制度体系。成立由主要领导同志任组长的预算绩效工作领导小组，建立统筹协调</w:t>
      </w:r>
      <w:r>
        <w:rPr>
          <w:rFonts w:hint="eastAsia" w:ascii="仿宋_GB2312" w:eastAsia="仿宋_GB2312" w:cs="Times New Roman"/>
          <w:sz w:val="32"/>
          <w:szCs w:val="32"/>
        </w:rPr>
        <w:t>、分工协作、密切配合、合力推进的工作机制。围绕年度总体绩效目标和分类绩效目标，细化工作方案，明确责任主体、实施进度要求，确保如期完成。</w:t>
      </w:r>
      <w:bookmarkStart w:id="3" w:name="_GoBack"/>
      <w:bookmarkEnd w:id="3"/>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2、强化预算编制。按照部门预算的要求，认真编制预算方案。做到有预算安排、有支出标准、有制度依据，维护预算的严肃性和权威性。严格按《</w:t>
      </w:r>
      <w:r>
        <w:rPr>
          <w:rFonts w:hint="eastAsia" w:ascii="仿宋_GB2312" w:eastAsia="仿宋_GB2312" w:cs="Times New Roman"/>
          <w:sz w:val="32"/>
          <w:szCs w:val="32"/>
          <w:lang w:eastAsia="zh-CN"/>
        </w:rPr>
        <w:t>中华人民共和国</w:t>
      </w:r>
      <w:r>
        <w:rPr>
          <w:rFonts w:hint="eastAsia" w:ascii="仿宋_GB2312" w:eastAsia="仿宋_GB2312" w:cs="Times New Roman"/>
          <w:sz w:val="32"/>
          <w:szCs w:val="32"/>
        </w:rPr>
        <w:t>预算法》的规定，进一步做细、做实、做准预算，为预算执行打下良好基础，提高预算到位率，切实把预算细化到部门，细化到基层单位，细化到具体项目。</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3、狠抓任务落实。强化财政预算执行的刚性约束，按照“谁花钱、谁负责，谁牵总、谁主责”的原则，明确业务预算绩效管理职责。按照预算经费支出进度要求，履行政府采购程序，优化部门预算支出结构，创新财政资金支出思路，合理改进支出方式，确保按照时间节点完成支出任务。</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5、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6、强化宣传引导。组织开展业务培训，使机关全体干部牢固树立绩效理念，熟悉管理流程，掌握工作方法，提升管理能力。探索工作经验，及时总</w:t>
      </w:r>
      <w:r>
        <w:rPr>
          <w:rFonts w:hint="eastAsia" w:ascii="仿宋_GB2312" w:eastAsia="仿宋_GB2312" w:cs="Times New Roman"/>
          <w:color w:val="000000" w:themeColor="text1"/>
          <w:sz w:val="32"/>
          <w:szCs w:val="32"/>
          <w14:textFill>
            <w14:solidFill>
              <w14:schemeClr w14:val="tx1"/>
            </w14:solidFill>
          </w14:textFill>
        </w:rPr>
        <w:t>结预算绩效管理成</w:t>
      </w:r>
      <w:r>
        <w:rPr>
          <w:rFonts w:hint="eastAsia" w:ascii="仿宋_GB2312" w:eastAsia="仿宋_GB2312" w:cs="Times New Roman"/>
          <w:sz w:val="32"/>
          <w:szCs w:val="32"/>
        </w:rPr>
        <w:t>效，营造良好的舆论氛围。积极采取购买服务等方式，提升预算绩效管理科学水平。</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825"/>
        <w:gridCol w:w="2830"/>
        <w:gridCol w:w="543"/>
        <w:gridCol w:w="488"/>
        <w:gridCol w:w="81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8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47"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0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825" w:type="dxa"/>
            <w:vMerge w:val="continue"/>
            <w:tcBorders>
              <w:tl2br w:val="nil"/>
              <w:tr2bl w:val="nil"/>
            </w:tcBorders>
            <w:vAlign w:val="center"/>
          </w:tcPr>
          <w:p/>
        </w:tc>
        <w:tc>
          <w:tcPr>
            <w:tcW w:w="283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1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03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rPr>
              <w:t>召开执</w:t>
            </w:r>
            <w:r>
              <w:rPr>
                <w:rFonts w:hint="eastAsia" w:ascii="方正书宋_GBK" w:eastAsia="方正书宋_GBK"/>
                <w:lang w:eastAsia="zh-CN"/>
              </w:rPr>
              <w:t>常委会会议</w:t>
            </w:r>
          </w:p>
        </w:tc>
        <w:tc>
          <w:tcPr>
            <w:tcW w:w="825" w:type="dxa"/>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rPr>
              <w:t>按照要求召开执</w:t>
            </w:r>
            <w:r>
              <w:rPr>
                <w:rFonts w:hint="eastAsia" w:ascii="方正书宋_GBK" w:eastAsia="方正书宋_GBK"/>
                <w:lang w:eastAsia="zh-CN"/>
              </w:rPr>
              <w:t>常委会会议</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召开</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召开</w:t>
            </w: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召开</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反映社情民意数</w:t>
            </w:r>
          </w:p>
        </w:tc>
        <w:tc>
          <w:tcPr>
            <w:tcW w:w="82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反映向区委区政府报送社情民意数量</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3</w:t>
            </w: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次</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资金发放完成时间</w:t>
            </w:r>
          </w:p>
        </w:tc>
        <w:tc>
          <w:tcPr>
            <w:tcW w:w="82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规定时间内完成各项资金发放</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w:t>
            </w:r>
            <w:r>
              <w:rPr>
                <w:rFonts w:ascii="方正书宋_GBK" w:eastAsia="方正书宋_GBK"/>
              </w:rPr>
              <w:t>2</w:t>
            </w: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月</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控制成本</w:t>
            </w:r>
          </w:p>
        </w:tc>
        <w:tc>
          <w:tcPr>
            <w:tcW w:w="82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按照年初预算安排控制各项工作成本</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816" w:type="dxa"/>
            <w:tcBorders>
              <w:tl2br w:val="nil"/>
              <w:tr2bl w:val="nil"/>
            </w:tcBorders>
            <w:vAlign w:val="center"/>
          </w:tcPr>
          <w:p>
            <w:pPr>
              <w:widowControl/>
              <w:adjustRightInd w:val="0"/>
              <w:snapToGrid w:val="0"/>
              <w:jc w:val="center"/>
              <w:rPr>
                <w:rFonts w:ascii="方正书宋_GBK" w:eastAsia="方正书宋_GBK"/>
              </w:rPr>
            </w:pP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按照年初各项工作预算安排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组织建设水平</w:t>
            </w:r>
          </w:p>
        </w:tc>
        <w:tc>
          <w:tcPr>
            <w:tcW w:w="82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稳步提升工商联组织建设水平</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稳步有序提升</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825" w:type="dxa"/>
            <w:tcBorders>
              <w:tl2br w:val="nil"/>
              <w:tr2bl w:val="nil"/>
            </w:tcBorders>
            <w:vAlign w:val="center"/>
          </w:tcPr>
          <w:p>
            <w:pPr>
              <w:widowControl/>
              <w:adjustRightInd w:val="0"/>
              <w:snapToGrid w:val="0"/>
              <w:rPr>
                <w:rFonts w:ascii="方正书宋_GBK" w:eastAsia="方正书宋_GBK"/>
              </w:rPr>
            </w:pPr>
          </w:p>
        </w:tc>
        <w:tc>
          <w:tcPr>
            <w:tcW w:w="283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816" w:type="dxa"/>
            <w:tcBorders>
              <w:tl2br w:val="nil"/>
              <w:tr2bl w:val="nil"/>
            </w:tcBorders>
            <w:vAlign w:val="center"/>
          </w:tcPr>
          <w:p>
            <w:pPr>
              <w:widowControl/>
              <w:adjustRightInd w:val="0"/>
              <w:snapToGrid w:val="0"/>
              <w:rPr>
                <w:rFonts w:ascii="方正书宋_GBK" w:eastAsia="方正书宋_GBK"/>
              </w:rPr>
            </w:pPr>
          </w:p>
        </w:tc>
        <w:tc>
          <w:tcPr>
            <w:tcW w:w="103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825" w:type="dxa"/>
            <w:tcBorders>
              <w:tl2br w:val="nil"/>
              <w:tr2bl w:val="nil"/>
            </w:tcBorders>
            <w:vAlign w:val="center"/>
          </w:tcPr>
          <w:p>
            <w:pPr>
              <w:widowControl/>
              <w:adjustRightInd w:val="0"/>
              <w:snapToGrid w:val="0"/>
              <w:rPr>
                <w:rFonts w:ascii="方正书宋_GBK" w:eastAsia="方正书宋_GBK"/>
              </w:rPr>
            </w:pPr>
          </w:p>
        </w:tc>
        <w:tc>
          <w:tcPr>
            <w:tcW w:w="283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816" w:type="dxa"/>
            <w:tcBorders>
              <w:tl2br w:val="nil"/>
              <w:tr2bl w:val="nil"/>
            </w:tcBorders>
            <w:vAlign w:val="center"/>
          </w:tcPr>
          <w:p>
            <w:pPr>
              <w:widowControl/>
              <w:adjustRightInd w:val="0"/>
              <w:snapToGrid w:val="0"/>
              <w:rPr>
                <w:rFonts w:ascii="方正书宋_GBK" w:eastAsia="方正书宋_GBK"/>
              </w:rPr>
            </w:pPr>
          </w:p>
        </w:tc>
        <w:tc>
          <w:tcPr>
            <w:tcW w:w="103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长期使用性</w:t>
            </w:r>
          </w:p>
        </w:tc>
        <w:tc>
          <w:tcPr>
            <w:tcW w:w="825"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283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能够长期较好地开展工商联工作，更好的服务人民群众的需求。</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81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长期较好的开展工商联工作</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活动参与满意度</w:t>
            </w:r>
          </w:p>
        </w:tc>
        <w:tc>
          <w:tcPr>
            <w:tcW w:w="825"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2</w:t>
            </w:r>
            <w:r>
              <w:rPr>
                <w:rFonts w:ascii="方正书宋_GBK" w:eastAsia="方正书宋_GBK"/>
              </w:rPr>
              <w:t>0</w:t>
            </w:r>
            <w:r>
              <w:rPr>
                <w:rFonts w:hint="eastAsia" w:ascii="方正书宋_GBK" w:eastAsia="方正书宋_GBK"/>
              </w:rPr>
              <w:t>分</w:t>
            </w:r>
          </w:p>
        </w:tc>
        <w:tc>
          <w:tcPr>
            <w:tcW w:w="283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反映民营企业家对活动的满意程度</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90</w:t>
            </w:r>
          </w:p>
        </w:tc>
        <w:tc>
          <w:tcPr>
            <w:tcW w:w="816"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0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bl>
    <w:p>
      <w:pPr>
        <w:spacing w:line="584" w:lineRule="exact"/>
        <w:rPr>
          <w:rFonts w:ascii="仿宋" w:hAnsi="仿宋" w:eastAsia="仿宋"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年，我部门安排政府采购预算0万元。具体内容见下表。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eastAsia="仿宋_GB2312" w:cs="Times New Roman"/>
          <w:b/>
          <w:sz w:val="32"/>
          <w:szCs w:val="24"/>
        </w:rPr>
      </w:pPr>
      <w:bookmarkStart w:id="2" w:name="_Toc64920910"/>
      <w:r>
        <w:rPr>
          <w:rFonts w:hint="eastAsia" w:ascii="Times New Roman" w:hAnsi="Times New Roman" w:eastAsia="仿宋_GB2312" w:cs="Times New Roman"/>
          <w:b/>
          <w:sz w:val="32"/>
          <w:szCs w:val="24"/>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w:t>
            </w:r>
            <w:r>
              <w:rPr>
                <w:rFonts w:ascii="方正小标宋_GBK" w:eastAsia="方正小标宋_GBK"/>
                <w:sz w:val="24"/>
              </w:rPr>
              <w:t>60011</w:t>
            </w:r>
            <w:r>
              <w:rPr>
                <w:rFonts w:hint="eastAsia" w:ascii="方正小标宋_GBK" w:eastAsia="方正小标宋_GBK"/>
                <w:sz w:val="24"/>
              </w:rPr>
              <w:t>]廊坊市广阳区工商业联合会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廊坊市广阳区工商业联合会</w:t>
      </w:r>
      <w:r>
        <w:rPr>
          <w:rFonts w:ascii="Times New Roman" w:hAnsi="Times New Roman" w:eastAsia="仿宋_GB2312" w:cs="Times New Roman"/>
          <w:sz w:val="32"/>
          <w:szCs w:val="32"/>
        </w:rPr>
        <w:t>上年末固定资产金额为22.64万元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廊坊市广阳区工商业联合会部门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廊坊市广阳区工商业联合会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22.64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17.90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4.7</w:t>
            </w:r>
            <w:r>
              <w:rPr>
                <w:rFonts w:hint="eastAsia" w:ascii="Times New Roman" w:hAnsi="Times New Roman" w:eastAsia="仿宋_GB2312" w:cs="Times New Roman"/>
                <w:color w:val="000000" w:themeColor="text1"/>
                <w:sz w:val="22"/>
                <w14:textFill>
                  <w14:solidFill>
                    <w14:schemeClr w14:val="tx1"/>
                  </w14:solidFill>
                </w14:textFill>
              </w:rPr>
              <w:t>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1EAB"/>
    <w:rsid w:val="00041504"/>
    <w:rsid w:val="00050973"/>
    <w:rsid w:val="000C40AC"/>
    <w:rsid w:val="000F3D8A"/>
    <w:rsid w:val="00140316"/>
    <w:rsid w:val="00140A07"/>
    <w:rsid w:val="00160D44"/>
    <w:rsid w:val="00167A86"/>
    <w:rsid w:val="00184356"/>
    <w:rsid w:val="00186290"/>
    <w:rsid w:val="001940C1"/>
    <w:rsid w:val="00194C05"/>
    <w:rsid w:val="00252975"/>
    <w:rsid w:val="002C3828"/>
    <w:rsid w:val="002C65ED"/>
    <w:rsid w:val="002D6924"/>
    <w:rsid w:val="002E6E42"/>
    <w:rsid w:val="002F3B0B"/>
    <w:rsid w:val="002F45C3"/>
    <w:rsid w:val="00301F9F"/>
    <w:rsid w:val="0033174B"/>
    <w:rsid w:val="00346FE1"/>
    <w:rsid w:val="00356683"/>
    <w:rsid w:val="00361214"/>
    <w:rsid w:val="00370018"/>
    <w:rsid w:val="003B3535"/>
    <w:rsid w:val="003D126B"/>
    <w:rsid w:val="004202AB"/>
    <w:rsid w:val="00430A3C"/>
    <w:rsid w:val="00435ED8"/>
    <w:rsid w:val="004551D8"/>
    <w:rsid w:val="004A54AA"/>
    <w:rsid w:val="004A5E47"/>
    <w:rsid w:val="004D39FB"/>
    <w:rsid w:val="004D4900"/>
    <w:rsid w:val="004E0C7B"/>
    <w:rsid w:val="0052528A"/>
    <w:rsid w:val="00556BBE"/>
    <w:rsid w:val="00593F61"/>
    <w:rsid w:val="005972ED"/>
    <w:rsid w:val="005E7568"/>
    <w:rsid w:val="0066475B"/>
    <w:rsid w:val="00667947"/>
    <w:rsid w:val="006B321E"/>
    <w:rsid w:val="006E05FC"/>
    <w:rsid w:val="006E2168"/>
    <w:rsid w:val="007725DF"/>
    <w:rsid w:val="00786238"/>
    <w:rsid w:val="00787866"/>
    <w:rsid w:val="007B77C9"/>
    <w:rsid w:val="007D6BDE"/>
    <w:rsid w:val="00807A76"/>
    <w:rsid w:val="00822C47"/>
    <w:rsid w:val="00840FBC"/>
    <w:rsid w:val="0084378B"/>
    <w:rsid w:val="0086316B"/>
    <w:rsid w:val="008B26DF"/>
    <w:rsid w:val="008F0EB4"/>
    <w:rsid w:val="00902A7A"/>
    <w:rsid w:val="009077DB"/>
    <w:rsid w:val="00996A68"/>
    <w:rsid w:val="00A02518"/>
    <w:rsid w:val="00A218C6"/>
    <w:rsid w:val="00AD7028"/>
    <w:rsid w:val="00B17B32"/>
    <w:rsid w:val="00B23665"/>
    <w:rsid w:val="00B7137B"/>
    <w:rsid w:val="00B77B96"/>
    <w:rsid w:val="00B80935"/>
    <w:rsid w:val="00BD0C41"/>
    <w:rsid w:val="00BE5812"/>
    <w:rsid w:val="00C065AE"/>
    <w:rsid w:val="00C45E9F"/>
    <w:rsid w:val="00CA5B90"/>
    <w:rsid w:val="00CE766A"/>
    <w:rsid w:val="00D168A3"/>
    <w:rsid w:val="00D347CC"/>
    <w:rsid w:val="00D42497"/>
    <w:rsid w:val="00D52535"/>
    <w:rsid w:val="00D67A30"/>
    <w:rsid w:val="00D73919"/>
    <w:rsid w:val="00E24668"/>
    <w:rsid w:val="00E27CE3"/>
    <w:rsid w:val="00E4016B"/>
    <w:rsid w:val="00E633E2"/>
    <w:rsid w:val="00E82F7B"/>
    <w:rsid w:val="00EF239F"/>
    <w:rsid w:val="00EF55B8"/>
    <w:rsid w:val="00F0620D"/>
    <w:rsid w:val="00F10B34"/>
    <w:rsid w:val="00F21A6A"/>
    <w:rsid w:val="00FD27F5"/>
    <w:rsid w:val="00FD2EEF"/>
    <w:rsid w:val="00FE4FFF"/>
    <w:rsid w:val="322E3156"/>
    <w:rsid w:val="35822D46"/>
    <w:rsid w:val="69362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661</Words>
  <Characters>3770</Characters>
  <Lines>31</Lines>
  <Paragraphs>8</Paragraphs>
  <TotalTime>66</TotalTime>
  <ScaleCrop>false</ScaleCrop>
  <LinksUpToDate>false</LinksUpToDate>
  <CharactersWithSpaces>4423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2021-03-25T03:41:00Z</dcterms:created>
  <dc:creator>guest</dc:creator>
  <cp:lastModifiedBy>Administrator</cp:lastModifiedBy>
  <cp:lastPrinted>2018-01-30T06:12:00Z</cp:lastPrinted>
  <dcterms:modified xsi:type="dcterms:W3CDTF">2024-01-11T06:16:06Z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4585F7CE1EF244A98D24BA9ED51FE27E</vt:lpwstr>
  </property>
</Properties>
</file>