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4" w:name="_GoBack"/>
      <w:bookmarkEnd w:id="4"/>
    </w:p>
    <w:p>
      <w:pPr>
        <w:spacing w:line="584" w:lineRule="exact"/>
        <w:ind w:firstLine="883" w:firstLineChars="200"/>
        <w:jc w:val="center"/>
        <w:rPr>
          <w:rFonts w:ascii="黑体" w:hAnsi="黑体" w:eastAsia="黑体" w:cs="Times New Roman"/>
          <w:b/>
          <w:sz w:val="44"/>
          <w:szCs w:val="44"/>
        </w:rPr>
      </w:pPr>
      <w:bookmarkStart w:id="0" w:name="_Hlk68468133"/>
      <w:r>
        <w:rPr>
          <w:rFonts w:ascii="黑体" w:hAnsi="黑体" w:eastAsia="黑体" w:cs="Times New Roman"/>
          <w:b/>
          <w:sz w:val="44"/>
          <w:szCs w:val="44"/>
        </w:rPr>
        <w:t>廊坊市</w:t>
      </w:r>
      <w:r>
        <w:rPr>
          <w:rFonts w:hint="eastAsia" w:ascii="黑体" w:hAnsi="黑体" w:eastAsia="黑体" w:cs="Times New Roman"/>
          <w:b/>
          <w:sz w:val="44"/>
          <w:szCs w:val="44"/>
        </w:rPr>
        <w:t>广阳区妇女联合会</w:t>
      </w:r>
      <w:bookmarkEnd w:id="0"/>
      <w:r>
        <w:rPr>
          <w:rFonts w:ascii="黑体" w:hAnsi="黑体" w:eastAsia="黑体" w:cs="Times New Roman"/>
          <w:b/>
          <w:sz w:val="44"/>
          <w:szCs w:val="44"/>
        </w:rPr>
        <w:t>20</w:t>
      </w:r>
      <w:r>
        <w:rPr>
          <w:rFonts w:hint="eastAsia" w:ascii="黑体" w:hAnsi="黑体" w:eastAsia="黑体" w:cs="Times New Roman"/>
          <w:b/>
          <w:sz w:val="44"/>
          <w:szCs w:val="44"/>
        </w:rPr>
        <w:t>21</w:t>
      </w:r>
      <w:r>
        <w:rPr>
          <w:rFonts w:ascii="黑体" w:hAnsi="黑体" w:eastAsia="黑体" w:cs="Times New Roman"/>
          <w:b/>
          <w:sz w:val="44"/>
          <w:szCs w:val="44"/>
        </w:rPr>
        <w:t>年部门预算信息公开</w:t>
      </w:r>
      <w:r>
        <w:rPr>
          <w:rFonts w:hint="eastAsia" w:ascii="黑体" w:hAnsi="黑体" w:eastAsia="黑体" w:cs="Times New Roman"/>
          <w:b/>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廊坊市广阳区妇女联合会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仿宋" w:hAnsi="仿宋" w:eastAsia="仿宋" w:cs="Times New Roman"/>
          <w:sz w:val="32"/>
          <w:szCs w:val="32"/>
        </w:rPr>
      </w:pPr>
      <w:r>
        <w:rPr>
          <w:rFonts w:ascii="楷体" w:hAnsi="楷体" w:eastAsia="楷体" w:cs="Times New Roman"/>
          <w:b/>
          <w:bCs/>
          <w:sz w:val="32"/>
          <w:szCs w:val="32"/>
        </w:rPr>
        <w:t>部门职责：</w:t>
      </w:r>
    </w:p>
    <w:p>
      <w:pPr>
        <w:spacing w:line="584"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负责全区内外协调、政务服务、事务管理，组织开展有关妇女工作的综合性调研活动，综合反映妇女工作信息，起草和审核重要文件和文稿；负责妇联系统的内部考核工作和机关的各项管理工作；负责全区妇女理论、妇女政策及妇女社会问题的研究工作；负责收集、编写广阳区妇女运动历史史料工作。负责机关干部的管理，机构、编制、职称、工资、出国政审等人事工作；负责与各界妇女组织、妇女人士的联谊工作和外事工作；配合有关部门作好培养选拔妇女干部工作。负责基本国策及妇女先进典型、妇联各项工作的新闻宣传工作；负责妇女的思想教育工作；负责动员组织城乡妇女参与经济建设和社会发展，开发妇女人力资源；负责指导各级妇联组织搞好妇女文化科技培训和职业技能培训工作；负责开展社区妇女工作；负责动员和组织妇女参与扶贫、生态环境建设，促进农村妇女依靠科技致富；负责处理日常群众来信来访，接受各种渠道妇女投诉工作；参与有关维护妇女儿童权益政策和地方性法规草案的拟定和修改，参与有关的普法工作；负责维护妇女儿童权益工作；负责参与拟定和宣传有关保护儿童的法律法规；组织实施“春蕾计划”，开展助学工作，促进女童教育事业的发展；指导妇女儿童活动阵地的工作；负责家庭教育工作的协调与服务；参与并推进校外教育；协调推动全区为儿童的健康成长创造良好的社会环境。</w:t>
      </w:r>
    </w:p>
    <w:p>
      <w:pPr>
        <w:autoSpaceDE w:val="0"/>
        <w:autoSpaceDN w:val="0"/>
        <w:adjustRightInd w:val="0"/>
        <w:spacing w:line="584" w:lineRule="exact"/>
        <w:ind w:firstLine="630" w:firstLineChars="196"/>
        <w:jc w:val="left"/>
        <w:rPr>
          <w:rFonts w:ascii="楷体" w:hAnsi="楷体" w:eastAsia="楷体" w:cs="Times New Roman"/>
          <w:b/>
          <w:bCs/>
          <w:sz w:val="32"/>
          <w:szCs w:val="32"/>
        </w:rPr>
      </w:pPr>
      <w:r>
        <w:rPr>
          <w:rFonts w:ascii="楷体" w:hAnsi="楷体" w:eastAsia="楷体" w:cs="Times New Roman"/>
          <w:b/>
          <w:bCs/>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autoSpaceDE w:val="0"/>
              <w:autoSpaceDN w:val="0"/>
              <w:spacing w:line="540" w:lineRule="exact"/>
              <w:jc w:val="center"/>
              <w:rPr>
                <w:rFonts w:ascii="仿宋_GB2312" w:eastAsia="仿宋_GB2312"/>
                <w:szCs w:val="21"/>
              </w:rPr>
            </w:pPr>
            <w:bookmarkStart w:id="1" w:name="_Hlk68468444"/>
            <w:r>
              <w:rPr>
                <w:rFonts w:hint="eastAsia" w:ascii="仿宋_GB2312" w:eastAsia="仿宋_GB2312"/>
                <w:szCs w:val="21"/>
              </w:rPr>
              <w:t>廊坊市广阳区妇女联合会</w:t>
            </w:r>
            <w:bookmarkEnd w:id="1"/>
          </w:p>
        </w:tc>
        <w:tc>
          <w:tcPr>
            <w:tcW w:w="1134" w:type="dxa"/>
            <w:shd w:val="clear" w:color="auto" w:fill="auto"/>
            <w:vAlign w:val="center"/>
          </w:tcPr>
          <w:p>
            <w:pPr>
              <w:autoSpaceDE w:val="0"/>
              <w:autoSpaceDN w:val="0"/>
              <w:spacing w:line="540" w:lineRule="exact"/>
              <w:jc w:val="center"/>
              <w:rPr>
                <w:rFonts w:ascii="仿宋_GB2312" w:eastAsia="仿宋_GB2312"/>
                <w:szCs w:val="21"/>
              </w:rPr>
            </w:pPr>
            <w:r>
              <w:rPr>
                <w:rFonts w:hint="eastAsia" w:ascii="仿宋_GB2312" w:eastAsia="仿宋_GB2312"/>
                <w:color w:val="000000"/>
                <w:szCs w:val="21"/>
              </w:rPr>
              <w:t>行政</w:t>
            </w:r>
          </w:p>
        </w:tc>
        <w:tc>
          <w:tcPr>
            <w:tcW w:w="1276" w:type="dxa"/>
            <w:shd w:val="clear" w:color="auto" w:fill="auto"/>
            <w:vAlign w:val="center"/>
          </w:tcPr>
          <w:p>
            <w:pPr>
              <w:spacing w:line="540" w:lineRule="exact"/>
              <w:jc w:val="center"/>
              <w:rPr>
                <w:rFonts w:ascii="仿宋_GB2312" w:eastAsia="仿宋_GB2312"/>
                <w:szCs w:val="21"/>
              </w:rPr>
            </w:pPr>
            <w:r>
              <w:rPr>
                <w:rFonts w:hint="eastAsia" w:ascii="仿宋_GB2312" w:eastAsia="仿宋_GB2312"/>
                <w:szCs w:val="21"/>
              </w:rPr>
              <w:t>正</w:t>
            </w:r>
            <w:r>
              <w:rPr>
                <w:rFonts w:ascii="仿宋_GB2312" w:eastAsia="仿宋_GB2312"/>
                <w:szCs w:val="21"/>
              </w:rPr>
              <w:t>科</w:t>
            </w:r>
            <w:r>
              <w:rPr>
                <w:rFonts w:hint="eastAsia" w:ascii="仿宋_GB2312" w:eastAsia="仿宋_GB2312"/>
                <w:szCs w:val="21"/>
              </w:rPr>
              <w:t>级</w:t>
            </w:r>
          </w:p>
        </w:tc>
        <w:tc>
          <w:tcPr>
            <w:tcW w:w="2902" w:type="dxa"/>
            <w:shd w:val="clear" w:color="auto" w:fill="auto"/>
            <w:vAlign w:val="center"/>
          </w:tcPr>
          <w:p>
            <w:pPr>
              <w:autoSpaceDE w:val="0"/>
              <w:autoSpaceDN w:val="0"/>
              <w:spacing w:line="540" w:lineRule="exact"/>
              <w:jc w:val="center"/>
              <w:rPr>
                <w:rFonts w:ascii="仿宋_GB2312" w:eastAsia="仿宋_GB2312"/>
                <w:szCs w:val="21"/>
              </w:rPr>
            </w:pPr>
            <w:r>
              <w:rPr>
                <w:rFonts w:hint="eastAsia" w:ascii="仿宋_GB2312" w:eastAsia="仿宋_GB2312"/>
                <w:color w:val="000000"/>
                <w:szCs w:val="21"/>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cs="Times New Roman"/>
          <w:sz w:val="32"/>
          <w:szCs w:val="32"/>
        </w:rPr>
        <w:t>廊坊市广阳区妇女联合会</w:t>
      </w:r>
      <w:r>
        <w:rPr>
          <w:rFonts w:ascii="Times New Roman" w:hAnsi="Times New Roman" w:eastAsia="仿宋_GB2312" w:cs="Times New Roman"/>
          <w:sz w:val="32"/>
          <w:szCs w:val="32"/>
        </w:rPr>
        <w:t>机关的收支包含在部门预算中。</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年预算收入208.72万元，其中：一般公共预算收入208.72万元，基金预算收入0万元，财政专户核拨收入0万元，其他来源收入0万元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廊坊市广阳区妇女联合会2</w:t>
      </w:r>
      <w:r>
        <w:rPr>
          <w:rFonts w:ascii="Times New Roman" w:hAnsi="Times New Roman" w:eastAsia="仿宋_GB2312" w:cs="Times New Roman"/>
          <w:sz w:val="32"/>
          <w:szCs w:val="32"/>
        </w:rPr>
        <w:t>021年度部门预算中支出预算的总体情况。20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年支出预算208.72万元，其中基本支出208.72万元，包括人员类项目经费126.47万元和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公用项目经费82.25万元；运转类其他及特定目标类项目支出0万元；上缴上级支出0万元；其他支出0万元。</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3、比上年增减情况</w:t>
      </w:r>
    </w:p>
    <w:p>
      <w:pPr>
        <w:spacing w:line="584" w:lineRule="exact"/>
        <w:ind w:firstLine="64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年预算收支安排208.72万元，较20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w:t>
      </w:r>
      <w:r>
        <w:rPr>
          <w:rFonts w:hint="eastAsia" w:ascii="Times New Roman" w:hAnsi="Times New Roman" w:eastAsia="仿宋_GB2312" w:cs="Times New Roman"/>
          <w:color w:val="000000" w:themeColor="text1"/>
          <w:sz w:val="32"/>
          <w:szCs w:val="32"/>
          <w14:textFill>
            <w14:solidFill>
              <w14:schemeClr w14:val="tx1"/>
            </w14:solidFill>
          </w14:textFill>
        </w:rPr>
        <w:t>增加73.86</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14:textFill>
            <w14:solidFill>
              <w14:schemeClr w14:val="tx1"/>
            </w14:solidFill>
          </w14:textFill>
        </w:rPr>
        <w:t>其中:基本支出增加73.86万元,主要为人员经费支出。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w:t>
      </w:r>
      <w:r>
        <w:rPr>
          <w:rFonts w:ascii="Times New Roman" w:hAnsi="Times New Roman" w:eastAsia="仿宋_GB2312" w:cs="Times New Roman"/>
          <w:sz w:val="32"/>
          <w:szCs w:val="32"/>
        </w:rPr>
        <w:t>机关运行经费共计安排82.25万元，主要用于</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办公区的日常维修、办公用房水电费、办公用房取暖费、</w:t>
      </w:r>
      <w:r>
        <w:rPr>
          <w:rFonts w:hint="eastAsia" w:ascii="Times New Roman" w:hAnsi="Times New Roman" w:eastAsia="仿宋_GB2312" w:cs="Times New Roman"/>
          <w:sz w:val="32"/>
          <w:szCs w:val="32"/>
        </w:rPr>
        <w:t>租赁</w:t>
      </w:r>
      <w:r>
        <w:rPr>
          <w:rFonts w:ascii="Times New Roman" w:hAnsi="Times New Roman" w:eastAsia="仿宋_GB2312" w:cs="Times New Roman"/>
          <w:sz w:val="32"/>
          <w:szCs w:val="32"/>
        </w:rPr>
        <w:t>办公用房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物业管理费等日常运行支出。</w:t>
      </w:r>
    </w:p>
    <w:p>
      <w:pPr>
        <w:autoSpaceDE w:val="0"/>
        <w:autoSpaceDN w:val="0"/>
        <w:adjustRightInd w:val="0"/>
        <w:spacing w:line="584" w:lineRule="exact"/>
        <w:ind w:firstLine="947" w:firstLineChars="296"/>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w:t>
      </w:r>
      <w:r>
        <w:rPr>
          <w:rFonts w:ascii="Times New Roman" w:hAnsi="Times New Roman" w:eastAsia="仿宋_GB2312" w:cs="Times New Roman"/>
          <w:sz w:val="32"/>
          <w:szCs w:val="32"/>
        </w:rPr>
        <w:t>财政拨款“三公”经费预算安排2.19万元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万元；公务用车购置及运维费2.19万元（其中：公务用车购置费为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万元，公务用车运维费2.19万元)；公务接待费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一、工作职能</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区妇联机关按照自身的性质，建立区别于党政机关、符合妇联组织特点的运行机制，一是积极参与民主协商，沟通对话渠道，及时向区委、区政府反映妇女群众的意愿与要求，提出意见和建议。二是深入基层，调查研究，加强基层妇联组织自身建设，开发妇女人力资源，帮助妇女解决实际问题。</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二、主要职责</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（一）团结教育全区各族各界妇女以及各类妇女组织同党中央保持高度的一致。</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(二）紧密围绕区委和区政府的中心任务，团结、动员和组织妇女群众投身改革开放和社会主义物质文明、精神文明建设，积极促进我区经济发展和社会进步。</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（三）宣传马克思主义妇女观和男女平等思想，教育、引导妇女树立正确的世界观、人生观、价值观，积极推动和开展对妇女的科技文化及生产劳动技能教育，全面提高妇女素质。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四）代表妇女参与国家和社会事务的民主管理和民主监督；关注并加强研究涉及妇女切身利益的热点，难点问题，及时向区委和区政府反映社情民意，提出对策建议；参与有关妇女儿童政策、法规草案的拟定，从源头强化维护妇女儿童合法权益工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（五）坚持为妇女儿童服务，加强与社会各界的联系，协调推动全社会为妇女儿童办实事，办好事。</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（六)指导各乡镇、街办处妇联依据《中华全国妇女联合会章程》和妇女代表大会的任务，开展妇女儿童工作；联系团体会员并给予工作指导。</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（七）积极发展同各市、县（市、区）妇女和妇女组织的友好交往，增进了解和友谊，开展合作。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（八)承担广阳区妇女儿童工作委员会办公室的工作。</w:t>
      </w:r>
    </w:p>
    <w:p>
      <w:pPr>
        <w:spacing w:line="584" w:lineRule="exact"/>
        <w:ind w:firstLine="960" w:firstLineChars="300"/>
        <w:rPr>
          <w:rFonts w:ascii="仿宋_GB2312" w:eastAsia="仿宋_GB2312" w:cs="Times New Roman"/>
          <w:sz w:val="32"/>
          <w:szCs w:val="32"/>
        </w:rPr>
      </w:pPr>
      <w:r>
        <w:rPr>
          <w:rFonts w:hint="eastAsia" w:ascii="仿宋_GB2312" w:eastAsia="仿宋_GB2312" w:cs="Times New Roman"/>
          <w:sz w:val="32"/>
          <w:szCs w:val="32"/>
        </w:rPr>
        <w:t>(九)承办区委、区政府交办的有关工作。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1、巩固妇女维权工作，推动妇女合法权益事业发展。</w:t>
      </w:r>
    </w:p>
    <w:p>
      <w:pPr>
        <w:spacing w:line="584" w:lineRule="exact"/>
        <w:ind w:firstLine="640" w:firstLineChars="200"/>
        <w:rPr>
          <w:rFonts w:ascii="仿宋" w:hAnsi="仿宋" w:eastAsia="仿宋"/>
          <w:sz w:val="32"/>
          <w:szCs w:val="32"/>
        </w:rPr>
      </w:pPr>
      <w:r>
        <w:rPr>
          <w:rFonts w:hint="eastAsia" w:ascii="仿宋" w:hAnsi="仿宋" w:eastAsia="仿宋" w:cs="Times New Roman"/>
          <w:sz w:val="32"/>
          <w:szCs w:val="32"/>
        </w:rPr>
        <w:t>绩效目标：</w:t>
      </w:r>
      <w:r>
        <w:rPr>
          <w:rFonts w:hint="eastAsia" w:ascii="仿宋" w:hAnsi="仿宋" w:eastAsia="仿宋"/>
          <w:sz w:val="32"/>
          <w:szCs w:val="32"/>
        </w:rPr>
        <w:t>一是将婚姻家庭调解室建立维权服务、心理咨询、纠纷调解、家政服务等多项功能为一体服务组织，主动融入大调解工作格局。二是做好群众来电来访接待工作。</w:t>
      </w:r>
    </w:p>
    <w:p>
      <w:pPr>
        <w:spacing w:line="584"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绩效指标：年度内完成</w:t>
      </w:r>
      <w:r>
        <w:rPr>
          <w:rFonts w:hint="eastAsia" w:ascii="仿宋" w:hAnsi="仿宋" w:eastAsia="仿宋"/>
          <w:sz w:val="32"/>
          <w:szCs w:val="32"/>
        </w:rPr>
        <w:t>拓展“木兰有约”法治宣讲活动</w:t>
      </w:r>
      <w:r>
        <w:rPr>
          <w:rFonts w:hint="eastAsia" w:ascii="仿宋" w:hAnsi="仿宋" w:eastAsia="仿宋" w:cs="Times New Roman"/>
          <w:sz w:val="32"/>
          <w:szCs w:val="32"/>
        </w:rPr>
        <w:t>不低于1次。</w:t>
      </w:r>
    </w:p>
    <w:p>
      <w:pPr>
        <w:spacing w:line="584"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sz w:val="32"/>
          <w:szCs w:val="32"/>
        </w:rPr>
        <w:t>加大普法宣传，</w:t>
      </w:r>
      <w:r>
        <w:rPr>
          <w:rFonts w:hint="eastAsia" w:ascii="仿宋" w:hAnsi="仿宋" w:eastAsia="仿宋"/>
          <w:sz w:val="32"/>
          <w:szCs w:val="32"/>
          <w:lang w:eastAsia="zh-CN"/>
        </w:rPr>
        <w:t>增强法律意识</w:t>
      </w:r>
      <w:r>
        <w:rPr>
          <w:rFonts w:hint="eastAsia" w:ascii="仿宋" w:hAnsi="仿宋" w:eastAsia="仿宋"/>
          <w:sz w:val="32"/>
          <w:szCs w:val="32"/>
        </w:rPr>
        <w:t>。</w:t>
      </w:r>
    </w:p>
    <w:p>
      <w:pPr>
        <w:spacing w:line="584" w:lineRule="exact"/>
        <w:ind w:firstLine="640" w:firstLineChars="200"/>
        <w:rPr>
          <w:rFonts w:ascii="仿宋_GB2312" w:eastAsia="仿宋_GB2312"/>
          <w:sz w:val="32"/>
          <w:szCs w:val="32"/>
        </w:rPr>
      </w:pPr>
      <w:r>
        <w:rPr>
          <w:rFonts w:hint="eastAsia" w:ascii="仿宋" w:hAnsi="仿宋" w:eastAsia="仿宋" w:cs="Times New Roman"/>
          <w:sz w:val="32"/>
          <w:szCs w:val="32"/>
        </w:rPr>
        <w:t>绩效目标：联系、培养法律代表人士，开展法律维权工作，适时</w:t>
      </w:r>
      <w:r>
        <w:rPr>
          <w:rFonts w:hint="eastAsia" w:ascii="仿宋" w:hAnsi="仿宋" w:eastAsia="仿宋"/>
          <w:sz w:val="32"/>
          <w:szCs w:val="32"/>
        </w:rPr>
        <w:t>开展 “三八”维权周、国家安全教育日、禁毒日等时间。</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绩效指标：完成并实施贯彻落实上级关于上级妇联工作文件精神实施意见，举办维权工作交流会次数不低于1次。</w:t>
      </w:r>
    </w:p>
    <w:p>
      <w:pPr>
        <w:widowControl/>
        <w:pBdr>
          <w:bottom w:val="single" w:color="FFFFFF" w:sz="4" w:space="31"/>
        </w:pBdr>
        <w:autoSpaceDE w:val="0"/>
        <w:spacing w:line="579"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楷体"/>
          <w:bCs/>
          <w:sz w:val="32"/>
          <w:szCs w:val="32"/>
        </w:rPr>
        <w:t>助力乡村振兴，为经济建设贡献力量。</w:t>
      </w:r>
    </w:p>
    <w:p>
      <w:pPr>
        <w:widowControl/>
        <w:pBdr>
          <w:bottom w:val="single" w:color="FFFFFF" w:sz="4" w:space="31"/>
        </w:pBdr>
        <w:autoSpaceDE w:val="0"/>
        <w:spacing w:line="579" w:lineRule="exact"/>
        <w:ind w:firstLine="640" w:firstLineChars="200"/>
        <w:rPr>
          <w:rFonts w:ascii="仿宋" w:hAnsi="仿宋" w:eastAsia="仿宋"/>
          <w:sz w:val="32"/>
          <w:szCs w:val="32"/>
        </w:rPr>
      </w:pPr>
      <w:r>
        <w:rPr>
          <w:rFonts w:hint="eastAsia" w:ascii="仿宋" w:hAnsi="仿宋" w:eastAsia="仿宋" w:cs="Times New Roman"/>
          <w:sz w:val="32"/>
          <w:szCs w:val="32"/>
        </w:rPr>
        <w:t>绩效目标：</w:t>
      </w:r>
      <w:r>
        <w:rPr>
          <w:rFonts w:hint="eastAsia" w:ascii="仿宋" w:hAnsi="仿宋" w:eastAsia="仿宋" w:cs="仿宋_GB2312"/>
          <w:sz w:val="32"/>
          <w:szCs w:val="32"/>
        </w:rPr>
        <w:t>区委区政府高度重视，把美丽庭院创建工作作为全区农村人居环境整治十项重点工作之一。</w:t>
      </w:r>
      <w:r>
        <w:rPr>
          <w:rFonts w:hint="eastAsia" w:ascii="仿宋" w:hAnsi="仿宋" w:eastAsia="仿宋" w:cs="Times New Roman"/>
          <w:sz w:val="32"/>
          <w:szCs w:val="32"/>
        </w:rPr>
        <w:t>绩效指标：</w:t>
      </w:r>
      <w:r>
        <w:rPr>
          <w:rFonts w:hint="eastAsia" w:ascii="仿宋" w:hAnsi="仿宋" w:eastAsia="仿宋"/>
          <w:sz w:val="32"/>
          <w:szCs w:val="32"/>
        </w:rPr>
        <w:t>用典型示范带动更多的农村妇女和家庭参与创建美丽庭院，投身全区农村人居环境整治，助力乡村振兴。</w:t>
      </w:r>
      <w:r>
        <w:rPr>
          <w:rFonts w:hint="eastAsia" w:ascii="仿宋" w:hAnsi="仿宋" w:eastAsia="仿宋" w:cs="Times New Roman"/>
          <w:sz w:val="32"/>
          <w:szCs w:val="32"/>
        </w:rPr>
        <w:t>定期不定期开展美丽庭院工作不低于</w:t>
      </w:r>
      <w:r>
        <w:rPr>
          <w:rFonts w:ascii="仿宋" w:hAnsi="仿宋" w:eastAsia="仿宋" w:cs="Times New Roman"/>
          <w:sz w:val="32"/>
          <w:szCs w:val="32"/>
        </w:rPr>
        <w:t>4</w:t>
      </w:r>
      <w:r>
        <w:rPr>
          <w:rFonts w:hint="eastAsia" w:ascii="仿宋" w:hAnsi="仿宋" w:eastAsia="仿宋" w:cs="Times New Roman"/>
          <w:sz w:val="32"/>
          <w:szCs w:val="32"/>
        </w:rPr>
        <w:t>次。</w:t>
      </w:r>
    </w:p>
    <w:p>
      <w:pPr>
        <w:widowControl/>
        <w:pBdr>
          <w:bottom w:val="single" w:color="FFFFFF" w:sz="4" w:space="31"/>
        </w:pBdr>
        <w:autoSpaceDE w:val="0"/>
        <w:spacing w:line="579"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4、实施“巾帼脱贫”，</w:t>
      </w:r>
      <w:r>
        <w:rPr>
          <w:rFonts w:ascii="仿宋" w:hAnsi="仿宋" w:eastAsia="仿宋" w:cs="Times New Roman"/>
          <w:sz w:val="32"/>
          <w:szCs w:val="32"/>
        </w:rPr>
        <w:t>打响妇联家政服务品牌。</w:t>
      </w:r>
    </w:p>
    <w:p>
      <w:pPr>
        <w:widowControl/>
        <w:pBdr>
          <w:bottom w:val="single" w:color="FFFFFF" w:sz="4" w:space="31"/>
        </w:pBdr>
        <w:autoSpaceDE w:val="0"/>
        <w:spacing w:line="579" w:lineRule="exact"/>
        <w:ind w:firstLine="640" w:firstLineChars="200"/>
        <w:rPr>
          <w:rFonts w:ascii="仿宋" w:hAnsi="仿宋" w:eastAsia="仿宋"/>
          <w:sz w:val="32"/>
          <w:szCs w:val="32"/>
        </w:rPr>
      </w:pPr>
      <w:r>
        <w:rPr>
          <w:rFonts w:hint="eastAsia" w:ascii="仿宋" w:hAnsi="仿宋" w:eastAsia="仿宋" w:cs="Times New Roman"/>
          <w:sz w:val="32"/>
          <w:szCs w:val="32"/>
        </w:rPr>
        <w:t>绩效目标：</w:t>
      </w:r>
      <w:r>
        <w:rPr>
          <w:rFonts w:ascii="仿宋" w:hAnsi="仿宋" w:eastAsia="仿宋"/>
          <w:sz w:val="32"/>
          <w:szCs w:val="32"/>
        </w:rPr>
        <w:t>落实家政服务业提质扩容文件精神，对有意愿从事家政服务的女性进行免费培训。对培训机构和家政服务公司实行无缝对接，学员毕业取得证书即可上岗创收。</w:t>
      </w:r>
    </w:p>
    <w:p>
      <w:pPr>
        <w:widowControl/>
        <w:pBdr>
          <w:bottom w:val="single" w:color="FFFFFF" w:sz="4" w:space="31"/>
        </w:pBdr>
        <w:autoSpaceDE w:val="0"/>
        <w:spacing w:line="579" w:lineRule="exact"/>
        <w:ind w:firstLine="640" w:firstLineChars="200"/>
        <w:rPr>
          <w:rFonts w:ascii="仿宋_GB2312" w:eastAsia="仿宋_GB2312"/>
          <w:sz w:val="32"/>
          <w:szCs w:val="32"/>
        </w:rPr>
      </w:pPr>
      <w:r>
        <w:rPr>
          <w:rFonts w:hint="eastAsia" w:ascii="仿宋" w:hAnsi="仿宋" w:eastAsia="仿宋" w:cs="Times New Roman"/>
          <w:sz w:val="32"/>
          <w:szCs w:val="32"/>
        </w:rPr>
        <w:t>绩效指标：</w:t>
      </w:r>
      <w:r>
        <w:rPr>
          <w:rFonts w:hint="eastAsia" w:ascii="仿宋" w:hAnsi="仿宋" w:eastAsia="仿宋"/>
          <w:sz w:val="32"/>
          <w:szCs w:val="32"/>
        </w:rPr>
        <w:t>组织开展培训广阳区巾帼家政技能不低于3</w:t>
      </w:r>
      <w:r>
        <w:rPr>
          <w:rFonts w:ascii="仿宋" w:hAnsi="仿宋" w:eastAsia="仿宋"/>
          <w:sz w:val="32"/>
          <w:szCs w:val="32"/>
        </w:rPr>
        <w:t>00</w:t>
      </w:r>
      <w:r>
        <w:rPr>
          <w:rFonts w:hint="eastAsia" w:ascii="仿宋" w:hAnsi="仿宋" w:eastAsia="仿宋"/>
          <w:sz w:val="32"/>
          <w:szCs w:val="32"/>
        </w:rPr>
        <w:t>人。</w:t>
      </w:r>
    </w:p>
    <w:p>
      <w:pPr>
        <w:widowControl/>
        <w:pBdr>
          <w:bottom w:val="single" w:color="FFFFFF" w:sz="4" w:space="31"/>
        </w:pBdr>
        <w:autoSpaceDE w:val="0"/>
        <w:spacing w:line="579" w:lineRule="exact"/>
        <w:ind w:firstLine="643" w:firstLineChars="200"/>
        <w:rPr>
          <w:rFonts w:ascii="仿宋_GB2312" w:eastAsia="仿宋_GB2312"/>
          <w:sz w:val="32"/>
          <w:szCs w:val="32"/>
        </w:rPr>
      </w:pPr>
      <w:r>
        <w:rPr>
          <w:rFonts w:hint="eastAsia" w:ascii="楷体_GB2312" w:eastAsia="楷体_GB2312" w:cs="Times New Roman"/>
          <w:b/>
          <w:sz w:val="32"/>
          <w:szCs w:val="32"/>
        </w:rPr>
        <w:t>（三）工作保障措施</w:t>
      </w:r>
    </w:p>
    <w:p>
      <w:pPr>
        <w:widowControl/>
        <w:pBdr>
          <w:bottom w:val="single" w:color="FFFFFF" w:sz="4" w:space="31"/>
        </w:pBdr>
        <w:autoSpaceDE w:val="0"/>
        <w:spacing w:line="579" w:lineRule="exact"/>
        <w:ind w:firstLine="640" w:firstLineChars="200"/>
        <w:rPr>
          <w:rFonts w:ascii="仿宋_GB2312" w:eastAsia="仿宋_GB2312"/>
          <w:sz w:val="32"/>
          <w:szCs w:val="32"/>
        </w:rPr>
      </w:pPr>
      <w:r>
        <w:rPr>
          <w:rFonts w:hint="eastAsia" w:ascii="仿宋_GB2312" w:eastAsia="仿宋_GB2312" w:cs="Times New Roman"/>
          <w:sz w:val="32"/>
          <w:szCs w:val="32"/>
        </w:rPr>
        <w:t>1、加强组织领导。将事前评估、目标管理、运行监控、绩效评价、结果应用等各项改革措施，有效融入预算管理的全过程环节，建立健全妇女儿童领域预算绩效管理的路径和制度体系。成立由部主要领导同志任组长的预算绩效工作领导小组，建立统筹协调、分工协作、密切配合、合力推进的工作机制。围绕年度总体绩效目标和分类绩效目标，细化工作方案，明确责任主体、实施进度要求，确保如期完成。</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2、强化预算编制。按照部门预算的要求，认真编制预算方案。做到有预算安排、有支出标准、有制度依据，维护预算的严肃性和权威性。严格按《</w:t>
      </w:r>
      <w:r>
        <w:rPr>
          <w:rFonts w:ascii="Times New Roman" w:hAnsi="Times New Roman" w:eastAsia="仿宋_GB2312" w:cs="Times New Roman"/>
          <w:sz w:val="32"/>
          <w:szCs w:val="32"/>
        </w:rPr>
        <w:t>中华人民共和国预算法</w:t>
      </w:r>
      <w:r>
        <w:rPr>
          <w:rFonts w:hint="eastAsia" w:ascii="仿宋_GB2312" w:eastAsia="仿宋_GB2312" w:cs="Times New Roman"/>
          <w:sz w:val="32"/>
          <w:szCs w:val="32"/>
        </w:rPr>
        <w:t>》的规定，进一步做细、做实、做准预算，为预算执行打下良好基础，提高预算到位率，切实把预算细化到部门，细化到基层单位，细化到具体项目。</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3、狠抓任务落实。强化财政预算执行的刚性约束，按照“谁花钱、谁负责，谁牵总、谁主责”的原则，明确业务预算绩效管理职责。按照预算经费支出进度要求，履行政府采购程序，优化部门预算支出结构，创新财政资金支出思路，合理改进支出方式，确保按照时间节点完成支出任务。</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4、规范资产管理。不断加强资产管理，定期开展清查盘点，核实清理资产，盘活存量资源，合理配置部内资产，及时发现和堵塞管理中的漏洞，妥善处理和解决管理中出现的各种问题，进一步努力提高资产使用效益。</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5、加强内部监督。建立健全内部控制为核心、实现不同岗位的内部牵制制度，充分发挥内控体系在明确权责方面的重要作用。进一步完善内控监督制度，有效行使内控体系的监督评价职责，促进内控体系的不断完善，规范权力运行，提高单位管理服务水平。加强预算资金事前、事中、事后的全方位监管，注重资金支出绩效，最大限度的发挥财政资金效益。对预算执行绩效情况进行跟踪监控，及时掌握项目实施进展、资金拨付和有关绩效指标完成情况，确保绩效目标实现。</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6、强化宣传引导。组织开展业务培训，使机关全体干部牢固树立绩效理念，熟悉管理流程，掌握工作方法，提升管理能力。探索工作经验，及时总结妇联系统预算绩效管理成效，营造良好的舆论氛围。积极采取购买服务等方式，提升预算绩效管理科学水平。</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825"/>
        <w:gridCol w:w="2830"/>
        <w:gridCol w:w="543"/>
        <w:gridCol w:w="488"/>
        <w:gridCol w:w="816"/>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83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847"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03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825" w:type="dxa"/>
            <w:vMerge w:val="continue"/>
            <w:tcBorders>
              <w:tl2br w:val="nil"/>
              <w:tr2bl w:val="nil"/>
            </w:tcBorders>
            <w:vAlign w:val="center"/>
          </w:tcPr>
          <w:p/>
        </w:tc>
        <w:tc>
          <w:tcPr>
            <w:tcW w:w="2830"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816"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034"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完成率</w:t>
            </w:r>
          </w:p>
        </w:tc>
        <w:tc>
          <w:tcPr>
            <w:tcW w:w="825" w:type="dxa"/>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2</w:t>
            </w:r>
            <w:r>
              <w:rPr>
                <w:rFonts w:ascii="方正书宋_GBK" w:eastAsia="方正书宋_GBK"/>
              </w:rPr>
              <w:t>0</w:t>
            </w:r>
            <w:r>
              <w:rPr>
                <w:rFonts w:hint="eastAsia" w:ascii="方正书宋_GBK" w:eastAsia="方正书宋_GBK"/>
              </w:rPr>
              <w:t>分</w:t>
            </w:r>
          </w:p>
        </w:tc>
        <w:tc>
          <w:tcPr>
            <w:tcW w:w="283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按照要求和计划完成研究任务的项目在所有立项项目中的比例（百分比）</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8</w:t>
            </w:r>
            <w:r>
              <w:rPr>
                <w:rFonts w:ascii="方正书宋_GBK" w:eastAsia="方正书宋_GBK"/>
              </w:rPr>
              <w:t>5</w:t>
            </w:r>
          </w:p>
        </w:tc>
        <w:tc>
          <w:tcPr>
            <w:tcW w:w="816"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03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按照市委妇联任务目标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开展外宣活动数量</w:t>
            </w:r>
          </w:p>
        </w:tc>
        <w:tc>
          <w:tcPr>
            <w:tcW w:w="82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w:t>
            </w:r>
            <w:r>
              <w:rPr>
                <w:rFonts w:ascii="方正书宋_GBK" w:eastAsia="方正书宋_GBK"/>
              </w:rPr>
              <w:t>0</w:t>
            </w:r>
            <w:r>
              <w:rPr>
                <w:rFonts w:hint="eastAsia" w:ascii="方正书宋_GBK" w:eastAsia="方正书宋_GBK"/>
              </w:rPr>
              <w:t>分</w:t>
            </w:r>
          </w:p>
        </w:tc>
        <w:tc>
          <w:tcPr>
            <w:tcW w:w="283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反应开展外宣活动情况</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3</w:t>
            </w:r>
          </w:p>
        </w:tc>
        <w:tc>
          <w:tcPr>
            <w:tcW w:w="816"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次</w:t>
            </w:r>
          </w:p>
        </w:tc>
        <w:tc>
          <w:tcPr>
            <w:tcW w:w="103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按照市委妇联任务目标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资金发放完成时间</w:t>
            </w:r>
          </w:p>
        </w:tc>
        <w:tc>
          <w:tcPr>
            <w:tcW w:w="82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w:t>
            </w:r>
            <w:r>
              <w:rPr>
                <w:rFonts w:ascii="方正书宋_GBK" w:eastAsia="方正书宋_GBK"/>
              </w:rPr>
              <w:t>0</w:t>
            </w:r>
            <w:r>
              <w:rPr>
                <w:rFonts w:hint="eastAsia" w:ascii="方正书宋_GBK" w:eastAsia="方正书宋_GBK"/>
              </w:rPr>
              <w:t>分</w:t>
            </w:r>
          </w:p>
        </w:tc>
        <w:tc>
          <w:tcPr>
            <w:tcW w:w="283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规定时间内完成各项资金发放</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w:t>
            </w:r>
            <w:r>
              <w:rPr>
                <w:rFonts w:ascii="方正书宋_GBK" w:eastAsia="方正书宋_GBK"/>
              </w:rPr>
              <w:t>2</w:t>
            </w:r>
          </w:p>
        </w:tc>
        <w:tc>
          <w:tcPr>
            <w:tcW w:w="816"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月</w:t>
            </w:r>
          </w:p>
        </w:tc>
        <w:tc>
          <w:tcPr>
            <w:tcW w:w="103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按照年初工作计划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控制成本</w:t>
            </w:r>
          </w:p>
        </w:tc>
        <w:tc>
          <w:tcPr>
            <w:tcW w:w="82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2</w:t>
            </w:r>
            <w:r>
              <w:rPr>
                <w:rFonts w:ascii="方正书宋_GBK" w:eastAsia="方正书宋_GBK"/>
              </w:rPr>
              <w:t>0</w:t>
            </w:r>
            <w:r>
              <w:rPr>
                <w:rFonts w:hint="eastAsia" w:ascii="方正书宋_GBK" w:eastAsia="方正书宋_GBK"/>
              </w:rPr>
              <w:t>分</w:t>
            </w:r>
          </w:p>
        </w:tc>
        <w:tc>
          <w:tcPr>
            <w:tcW w:w="283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按照年初预算安排控制各项工作成本</w:t>
            </w: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816" w:type="dxa"/>
            <w:tcBorders>
              <w:tl2br w:val="nil"/>
              <w:tr2bl w:val="nil"/>
            </w:tcBorders>
            <w:vAlign w:val="center"/>
          </w:tcPr>
          <w:p>
            <w:pPr>
              <w:widowControl/>
              <w:adjustRightInd w:val="0"/>
              <w:snapToGrid w:val="0"/>
              <w:jc w:val="center"/>
              <w:rPr>
                <w:rFonts w:ascii="方正书宋_GBK" w:eastAsia="方正书宋_GBK"/>
              </w:rPr>
            </w:pPr>
          </w:p>
        </w:tc>
        <w:tc>
          <w:tcPr>
            <w:tcW w:w="103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按照年初各项工作预算安排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社会稳定水平</w:t>
            </w:r>
          </w:p>
        </w:tc>
        <w:tc>
          <w:tcPr>
            <w:tcW w:w="82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w:t>
            </w:r>
            <w:r>
              <w:rPr>
                <w:rFonts w:ascii="方正书宋_GBK" w:eastAsia="方正书宋_GBK"/>
              </w:rPr>
              <w:t>0</w:t>
            </w:r>
            <w:r>
              <w:rPr>
                <w:rFonts w:hint="eastAsia" w:ascii="方正书宋_GBK" w:eastAsia="方正书宋_GBK"/>
              </w:rPr>
              <w:t>分</w:t>
            </w:r>
          </w:p>
        </w:tc>
        <w:tc>
          <w:tcPr>
            <w:tcW w:w="283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稳步推进社会稳定水平，确保辖区妇女和儿童稳定</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816"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稳步有序推进</w:t>
            </w:r>
          </w:p>
        </w:tc>
        <w:tc>
          <w:tcPr>
            <w:tcW w:w="103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按照市妇联任务目标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825" w:type="dxa"/>
            <w:tcBorders>
              <w:tl2br w:val="nil"/>
              <w:tr2bl w:val="nil"/>
            </w:tcBorders>
            <w:vAlign w:val="center"/>
          </w:tcPr>
          <w:p>
            <w:pPr>
              <w:widowControl/>
              <w:adjustRightInd w:val="0"/>
              <w:snapToGrid w:val="0"/>
              <w:rPr>
                <w:rFonts w:ascii="方正书宋_GBK" w:eastAsia="方正书宋_GBK"/>
              </w:rPr>
            </w:pPr>
          </w:p>
        </w:tc>
        <w:tc>
          <w:tcPr>
            <w:tcW w:w="2830"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816" w:type="dxa"/>
            <w:tcBorders>
              <w:tl2br w:val="nil"/>
              <w:tr2bl w:val="nil"/>
            </w:tcBorders>
            <w:vAlign w:val="center"/>
          </w:tcPr>
          <w:p>
            <w:pPr>
              <w:widowControl/>
              <w:adjustRightInd w:val="0"/>
              <w:snapToGrid w:val="0"/>
              <w:rPr>
                <w:rFonts w:ascii="方正书宋_GBK" w:eastAsia="方正书宋_GBK"/>
              </w:rPr>
            </w:pPr>
          </w:p>
        </w:tc>
        <w:tc>
          <w:tcPr>
            <w:tcW w:w="1034"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825" w:type="dxa"/>
            <w:tcBorders>
              <w:tl2br w:val="nil"/>
              <w:tr2bl w:val="nil"/>
            </w:tcBorders>
            <w:vAlign w:val="center"/>
          </w:tcPr>
          <w:p>
            <w:pPr>
              <w:widowControl/>
              <w:adjustRightInd w:val="0"/>
              <w:snapToGrid w:val="0"/>
              <w:rPr>
                <w:rFonts w:ascii="方正书宋_GBK" w:eastAsia="方正书宋_GBK"/>
              </w:rPr>
            </w:pPr>
          </w:p>
        </w:tc>
        <w:tc>
          <w:tcPr>
            <w:tcW w:w="2830"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816" w:type="dxa"/>
            <w:tcBorders>
              <w:tl2br w:val="nil"/>
              <w:tr2bl w:val="nil"/>
            </w:tcBorders>
            <w:vAlign w:val="center"/>
          </w:tcPr>
          <w:p>
            <w:pPr>
              <w:widowControl/>
              <w:adjustRightInd w:val="0"/>
              <w:snapToGrid w:val="0"/>
              <w:rPr>
                <w:rFonts w:ascii="方正书宋_GBK" w:eastAsia="方正书宋_GBK"/>
              </w:rPr>
            </w:pPr>
          </w:p>
        </w:tc>
        <w:tc>
          <w:tcPr>
            <w:tcW w:w="1034"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长期使用性</w:t>
            </w:r>
          </w:p>
        </w:tc>
        <w:tc>
          <w:tcPr>
            <w:tcW w:w="825"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1</w:t>
            </w:r>
            <w:r>
              <w:rPr>
                <w:rFonts w:ascii="方正书宋_GBK" w:eastAsia="方正书宋_GBK"/>
              </w:rPr>
              <w:t>0</w:t>
            </w:r>
            <w:r>
              <w:rPr>
                <w:rFonts w:hint="eastAsia" w:ascii="方正书宋_GBK" w:eastAsia="方正书宋_GBK"/>
              </w:rPr>
              <w:t>分</w:t>
            </w:r>
          </w:p>
        </w:tc>
        <w:tc>
          <w:tcPr>
            <w:tcW w:w="2830"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能够长期较好地开展妇女儿童工作，更好的服务人民群众的需求。</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816"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长期较好的开展妇女儿童工作</w:t>
            </w:r>
          </w:p>
        </w:tc>
        <w:tc>
          <w:tcPr>
            <w:tcW w:w="103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按照市妇联任务目标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群众满意度</w:t>
            </w:r>
          </w:p>
        </w:tc>
        <w:tc>
          <w:tcPr>
            <w:tcW w:w="825"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2</w:t>
            </w:r>
            <w:r>
              <w:rPr>
                <w:rFonts w:ascii="方正书宋_GBK" w:eastAsia="方正书宋_GBK"/>
              </w:rPr>
              <w:t>0</w:t>
            </w:r>
            <w:r>
              <w:rPr>
                <w:rFonts w:hint="eastAsia" w:ascii="方正书宋_GBK" w:eastAsia="方正书宋_GBK"/>
              </w:rPr>
              <w:t>分</w:t>
            </w:r>
          </w:p>
        </w:tc>
        <w:tc>
          <w:tcPr>
            <w:tcW w:w="2830"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群众满意数量占总数的比例</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8</w:t>
            </w:r>
            <w:r>
              <w:rPr>
                <w:rFonts w:ascii="方正书宋_GBK" w:eastAsia="方正书宋_GBK"/>
              </w:rPr>
              <w:t>0</w:t>
            </w:r>
          </w:p>
        </w:tc>
        <w:tc>
          <w:tcPr>
            <w:tcW w:w="816" w:type="dxa"/>
            <w:tcBorders>
              <w:tl2br w:val="nil"/>
              <w:tr2bl w:val="nil"/>
            </w:tcBorders>
            <w:vAlign w:val="center"/>
          </w:tcPr>
          <w:p>
            <w:pPr>
              <w:widowControl/>
              <w:adjustRightInd w:val="0"/>
              <w:snapToGrid w:val="0"/>
              <w:rPr>
                <w:rFonts w:ascii="方正书宋_GBK" w:eastAsia="方正书宋_GBK"/>
              </w:rPr>
            </w:pPr>
          </w:p>
        </w:tc>
        <w:tc>
          <w:tcPr>
            <w:tcW w:w="103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按照市妇联部任务目标</w:t>
            </w:r>
          </w:p>
        </w:tc>
      </w:tr>
    </w:tbl>
    <w:p>
      <w:pPr>
        <w:jc w:val="left"/>
        <w:outlineLvl w:val="1"/>
        <w:rPr>
          <w:rFonts w:ascii="Times New Roman" w:hAnsi="Times New Roman" w:eastAsia="仿宋_GB2312" w:cs="Times New Roman"/>
          <w:sz w:val="28"/>
        </w:rPr>
      </w:pPr>
    </w:p>
    <w:p>
      <w:pPr>
        <w:spacing w:line="14" w:lineRule="exact"/>
        <w:ind w:firstLine="420" w:firstLineChars="200"/>
        <w:jc w:val="center"/>
        <w:rPr>
          <w:rFonts w:ascii="Times New Roman" w:hAnsi="Times New Roman" w:eastAsia="仿宋_GB2312" w:cs="Times New Roman"/>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年，我部门安排政府采购预算0万元。具体内容见下表。</w:t>
      </w:r>
    </w:p>
    <w:bookmarkEnd w:id="2"/>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eastAsia="仿宋_GB2312" w:cs="Times New Roman"/>
          <w:b/>
          <w:sz w:val="32"/>
          <w:szCs w:val="24"/>
        </w:rPr>
      </w:pPr>
      <w:bookmarkStart w:id="3" w:name="_Toc64920910"/>
      <w:r>
        <w:rPr>
          <w:rFonts w:hint="eastAsia" w:ascii="Times New Roman" w:hAnsi="Times New Roman" w:eastAsia="仿宋_GB2312" w:cs="Times New Roman"/>
          <w:b/>
          <w:sz w:val="32"/>
          <w:szCs w:val="24"/>
        </w:rPr>
        <w:t>部门政府采购预算</w:t>
      </w:r>
      <w:bookmarkEnd w:id="3"/>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rPr>
              <w:t>[2</w:t>
            </w:r>
            <w:r>
              <w:rPr>
                <w:rFonts w:ascii="方正小标宋_GBK" w:eastAsia="方正小标宋_GBK"/>
                <w:sz w:val="24"/>
              </w:rPr>
              <w:t>60009</w:t>
            </w:r>
            <w:r>
              <w:rPr>
                <w:rFonts w:hint="eastAsia" w:ascii="方正小标宋_GBK" w:eastAsia="方正小标宋_GBK"/>
                <w:sz w:val="24"/>
              </w:rPr>
              <w:t>]廊坊市广阳区妇女联合会</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广阳区妇女联合会</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9.73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广阳区妇女联合会部门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广阳区妇女联合会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color w:val="000000" w:themeColor="text1"/>
                <w:sz w:val="22"/>
                <w14:textFill>
                  <w14:solidFill>
                    <w14:schemeClr w14:val="tx1"/>
                  </w14:solidFill>
                </w14:textFill>
              </w:rPr>
            </w:pPr>
            <w:r>
              <w:rPr>
                <w:rFonts w:hint="eastAsia" w:ascii="Times New Roman" w:hAnsi="Times New Roman" w:eastAsia="仿宋_GB2312" w:cs="Times New Roman"/>
                <w:color w:val="000000" w:themeColor="text1"/>
                <w:sz w:val="22"/>
                <w14:textFill>
                  <w14:solidFill>
                    <w14:schemeClr w14:val="tx1"/>
                  </w14:solidFill>
                </w14:textFill>
              </w:rPr>
              <w:t>9.73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color w:val="FF0000"/>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color w:val="FF0000"/>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color w:val="FF0000"/>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color w:val="FF0000"/>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9.73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w:t>
      </w:r>
      <w:r>
        <w:rPr>
          <w:rFonts w:hint="eastAsia" w:ascii="Times New Roman" w:hAnsi="Times New Roman" w:eastAsia="仿宋_GB2312" w:cs="Times New Roman"/>
          <w:sz w:val="32"/>
          <w:szCs w:val="32"/>
        </w:rPr>
        <w:t>租赁办公用房、</w:t>
      </w:r>
      <w:r>
        <w:rPr>
          <w:rFonts w:ascii="Times New Roman" w:hAnsi="Times New Roman" w:eastAsia="仿宋_GB2312" w:cs="Times New Roman"/>
          <w:sz w:val="32"/>
          <w:szCs w:val="32"/>
        </w:rPr>
        <w:t>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12</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41504"/>
    <w:rsid w:val="00050973"/>
    <w:rsid w:val="000C40AC"/>
    <w:rsid w:val="000F3D8A"/>
    <w:rsid w:val="00140316"/>
    <w:rsid w:val="00140A07"/>
    <w:rsid w:val="00186290"/>
    <w:rsid w:val="00204150"/>
    <w:rsid w:val="00221CAA"/>
    <w:rsid w:val="002254F1"/>
    <w:rsid w:val="00227261"/>
    <w:rsid w:val="00252975"/>
    <w:rsid w:val="002852F4"/>
    <w:rsid w:val="002C3828"/>
    <w:rsid w:val="002D6924"/>
    <w:rsid w:val="002D7139"/>
    <w:rsid w:val="002F3B0B"/>
    <w:rsid w:val="002F45C3"/>
    <w:rsid w:val="00301F9F"/>
    <w:rsid w:val="00315B3C"/>
    <w:rsid w:val="00324278"/>
    <w:rsid w:val="0033174B"/>
    <w:rsid w:val="00346FE1"/>
    <w:rsid w:val="00356683"/>
    <w:rsid w:val="00361214"/>
    <w:rsid w:val="00370018"/>
    <w:rsid w:val="003B3535"/>
    <w:rsid w:val="003D126B"/>
    <w:rsid w:val="0040004E"/>
    <w:rsid w:val="00410DC4"/>
    <w:rsid w:val="004202AB"/>
    <w:rsid w:val="00435ED8"/>
    <w:rsid w:val="004A54AA"/>
    <w:rsid w:val="004A5E47"/>
    <w:rsid w:val="004D39FB"/>
    <w:rsid w:val="004D4900"/>
    <w:rsid w:val="004F4632"/>
    <w:rsid w:val="0052528A"/>
    <w:rsid w:val="00556BBE"/>
    <w:rsid w:val="00573F2A"/>
    <w:rsid w:val="00593F61"/>
    <w:rsid w:val="005D3AF0"/>
    <w:rsid w:val="005E7568"/>
    <w:rsid w:val="0066475B"/>
    <w:rsid w:val="006B321E"/>
    <w:rsid w:val="006E05FC"/>
    <w:rsid w:val="00727FBE"/>
    <w:rsid w:val="007725DF"/>
    <w:rsid w:val="00786238"/>
    <w:rsid w:val="00787866"/>
    <w:rsid w:val="007B77C9"/>
    <w:rsid w:val="007D6BDE"/>
    <w:rsid w:val="007E0418"/>
    <w:rsid w:val="00807A76"/>
    <w:rsid w:val="0084378B"/>
    <w:rsid w:val="0086316B"/>
    <w:rsid w:val="008F0EB4"/>
    <w:rsid w:val="00902A7A"/>
    <w:rsid w:val="009077DB"/>
    <w:rsid w:val="00996A68"/>
    <w:rsid w:val="00A02518"/>
    <w:rsid w:val="00A218C6"/>
    <w:rsid w:val="00AD7028"/>
    <w:rsid w:val="00B17A6D"/>
    <w:rsid w:val="00B17B32"/>
    <w:rsid w:val="00B77B96"/>
    <w:rsid w:val="00B80935"/>
    <w:rsid w:val="00BD0C41"/>
    <w:rsid w:val="00BD39E0"/>
    <w:rsid w:val="00BF3AA7"/>
    <w:rsid w:val="00CA5B90"/>
    <w:rsid w:val="00CE766A"/>
    <w:rsid w:val="00D168A3"/>
    <w:rsid w:val="00D321E0"/>
    <w:rsid w:val="00D347CC"/>
    <w:rsid w:val="00D67A30"/>
    <w:rsid w:val="00D67CA0"/>
    <w:rsid w:val="00D85577"/>
    <w:rsid w:val="00E24668"/>
    <w:rsid w:val="00E27CE3"/>
    <w:rsid w:val="00E633E2"/>
    <w:rsid w:val="00EA1ACD"/>
    <w:rsid w:val="00EF239F"/>
    <w:rsid w:val="00F10B34"/>
    <w:rsid w:val="00F96C53"/>
    <w:rsid w:val="00FD27F5"/>
    <w:rsid w:val="00FD2EEF"/>
    <w:rsid w:val="00FE4FFF"/>
    <w:rsid w:val="259E6548"/>
    <w:rsid w:val="3C4B5E51"/>
    <w:rsid w:val="6C754760"/>
    <w:rsid w:val="744827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uiPriority w:val="0"/>
    <w:pPr>
      <w:snapToGrid w:val="0"/>
      <w:jc w:val="left"/>
    </w:pPr>
    <w:rPr>
      <w:rFonts w:cs="Times New Roman"/>
      <w:sz w:val="18"/>
      <w:szCs w:val="18"/>
    </w:rPr>
  </w:style>
  <w:style w:type="paragraph" w:styleId="7">
    <w:name w:val="toc 2"/>
    <w:basedOn w:val="1"/>
    <w:next w:val="1"/>
    <w:uiPriority w:val="0"/>
    <w:pPr>
      <w:ind w:left="200" w:leftChars="200"/>
    </w:pPr>
    <w:rPr>
      <w:rFonts w:ascii="Times New Roman" w:hAnsi="Times New Roman" w:cs="Times New Roman"/>
      <w:szCs w:val="24"/>
    </w:rPr>
  </w:style>
  <w:style w:type="character" w:styleId="10">
    <w:name w:val="footnote reference"/>
    <w:uiPriority w:val="0"/>
    <w:rPr>
      <w:vertAlign w:val="superscript"/>
    </w:rPr>
  </w:style>
  <w:style w:type="paragraph" w:customStyle="1" w:styleId="11">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D5397-3D32-4C52-AC1D-F51916AEA7D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782</Words>
  <Characters>4458</Characters>
  <Lines>37</Lines>
  <Paragraphs>10</Paragraphs>
  <TotalTime>0</TotalTime>
  <ScaleCrop>false</ScaleCrop>
  <LinksUpToDate>false</LinksUpToDate>
  <CharactersWithSpaces>5230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2024-05-16T01:08:54Z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699A980C12A243DA9B39C21B42961ACC</vt:lpwstr>
  </property>
</Properties>
</file>