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w:t>
      </w:r>
      <w:bookmarkStart w:id="4" w:name="_GoBack"/>
      <w:r>
        <w:rPr>
          <w:rFonts w:hint="eastAsia" w:ascii="Times New Roman" w:hAnsi="Times New Roman" w:eastAsia="方正小标宋简体" w:cs="Times New Roman"/>
          <w:sz w:val="44"/>
          <w:szCs w:val="44"/>
        </w:rPr>
        <w:t>财政局2021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bookmarkEnd w:id="4"/>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仿宋_GB2312"/>
          <w:sz w:val="32"/>
          <w:szCs w:val="32"/>
        </w:rPr>
        <w:t>按照《中华人民共和国预算法》、《中华人民共和国预算法实施条例》、《地方预决算公开操作规程》和《河北省省级预算公开办法》规定，</w:t>
      </w:r>
      <w:r>
        <w:rPr>
          <w:rFonts w:ascii="Times New Roman" w:hAnsi="Times New Roman" w:eastAsia="仿宋_GB2312" w:cs="Times New Roman"/>
          <w:sz w:val="32"/>
          <w:szCs w:val="32"/>
        </w:rPr>
        <w:t>现将廊坊市</w:t>
      </w:r>
      <w:r>
        <w:rPr>
          <w:rFonts w:hint="eastAsia" w:ascii="Times New Roman" w:hAnsi="Times New Roman" w:eastAsia="仿宋_GB2312" w:cs="Times New Roman"/>
          <w:sz w:val="32"/>
          <w:szCs w:val="32"/>
        </w:rPr>
        <w:t>广阳区财政局</w:t>
      </w:r>
      <w:r>
        <w:rPr>
          <w:rFonts w:ascii="Times New Roman" w:hAnsi="Times New Roman" w:eastAsia="仿宋_GB2312" w:cs="Times New Roman"/>
          <w:sz w:val="32"/>
          <w:szCs w:val="32"/>
        </w:rPr>
        <w:t>2021年部门预算公开如下：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widowControl/>
        <w:spacing w:line="520" w:lineRule="exact"/>
        <w:ind w:firstLine="480" w:firstLineChars="200"/>
        <w:jc w:val="left"/>
        <w:rPr>
          <w:rFonts w:ascii="仿宋_GB2312" w:eastAsia="仿宋_GB2312" w:cs="Times New Roman"/>
          <w:sz w:val="32"/>
          <w:szCs w:val="32"/>
        </w:rPr>
      </w:pPr>
      <w:r>
        <w:rPr>
          <w:rFonts w:hint="eastAsia" w:ascii="宋体" w:hAnsi="宋体" w:cs="宋体"/>
          <w:color w:val="727272"/>
          <w:kern w:val="0"/>
          <w:sz w:val="24"/>
          <w:szCs w:val="21"/>
        </w:rPr>
        <w:t>（</w:t>
      </w:r>
      <w:r>
        <w:rPr>
          <w:rFonts w:hint="eastAsia" w:ascii="仿宋_GB2312" w:eastAsia="仿宋_GB2312" w:cs="Times New Roman"/>
          <w:sz w:val="32"/>
          <w:szCs w:val="32"/>
        </w:rPr>
        <w:t>一）组织贯彻执行财税法律、法规、规章和方针政策；起草全区财政、行政事业单位国有资产、财务、会计和收支管理方面的规范性文件，制定相关的政策和管理制度；拟订和执行财政分配政策和分级财政管理体制；制定全区财政发展战略和中长期规划；指导全区财政工作。</w:t>
      </w:r>
    </w:p>
    <w:p>
      <w:pPr>
        <w:widowControl/>
        <w:spacing w:line="52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二）管理全区财政收支，承担区级各项财政收支管理的责任。负责编制区级年度财政预算草案和决算，组织执行区级年度财政预算。负责财政性资金的综合平衡。负责政府性基金（附加）、社会保障资金管理，按规定管理行政事业性收费。</w:t>
      </w:r>
    </w:p>
    <w:p>
      <w:pPr>
        <w:widowControl/>
        <w:spacing w:line="52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（三）参与制定各项宏观经济政策和经济体制改革；运用财税经济杠杆，对全区的经济运行和国民收入分配进行调控。</w:t>
      </w:r>
    </w:p>
    <w:p>
      <w:pPr>
        <w:widowControl/>
        <w:spacing w:line="52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（四）依据国家财税法律法规或授权，组织起草区级地方财税征管办法；负责全区罚没财物管理工作。</w:t>
      </w:r>
    </w:p>
    <w:p>
      <w:pPr>
        <w:widowControl/>
        <w:spacing w:line="52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五）组织执行《行政单位财务规则》、《事业单位财务规则》、《社会保险基金财务制度》和基本建设财务制度；制定全区行政、事业单位财务管理制度和对各种财政资金的管理监督办法；负责政府采购政策执行和监督管理；制定区级政府权限范围内的行政事业单位开支标准。</w:t>
      </w:r>
    </w:p>
    <w:p>
      <w:pPr>
        <w:widowControl/>
        <w:spacing w:line="52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（六）负责办理和监督区级财政的公共支出和经济发展支出；分配区级各种专项资金；负责农业综合开发等财政资金管理。</w:t>
      </w:r>
    </w:p>
    <w:p>
      <w:pPr>
        <w:widowControl/>
        <w:spacing w:line="52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（七）负责行政事业单位国有资产的管理，组织实施行政事业单位清产核资、国有资产的权属界定、产权登记；负责行政事业单位资产评估项目的合规性审核。</w:t>
      </w:r>
    </w:p>
    <w:p>
      <w:pPr>
        <w:widowControl/>
        <w:spacing w:line="52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（八）拟订和执行政府债务管理的规章制度和管理办法；负责统一管理政府主权债务；转办世界银行贷款，拟订有关协议、协定草案，并负责贷款的监管；参与研究制定全区地方金融和融资政策。</w:t>
      </w:r>
    </w:p>
    <w:p>
      <w:pPr>
        <w:widowControl/>
        <w:spacing w:line="52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（九）负责管理全区会计工作，组织实施会计法律法规及分行业的会计制度；负责全区会计系列专业技术职务任职资格的考评工作。</w:t>
      </w:r>
    </w:p>
    <w:p>
      <w:pPr>
        <w:widowControl/>
        <w:spacing w:line="52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（十）监督财税方针政策、法律法规的执行情况，反映财政收支管理中的重大问题，查处违反财经法纪的行为。</w:t>
      </w:r>
    </w:p>
    <w:p>
      <w:pPr>
        <w:widowControl/>
        <w:spacing w:line="52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（十一）负责财政宣传和财政信息工作，制定和执行财政政策研究和财政教育规划，组织财政干部培训。</w:t>
      </w:r>
    </w:p>
    <w:p>
      <w:pPr>
        <w:spacing w:line="52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（十三）承办区政府交办的其它事项。</w:t>
      </w:r>
    </w:p>
    <w:p>
      <w:pPr>
        <w:rPr>
          <w:rFonts w:cs="Times New Roman"/>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58"/>
        <w:gridCol w:w="2019"/>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4" w:hRule="atLeast"/>
          <w:tblHeader/>
          <w:jc w:val="center"/>
        </w:trPr>
        <w:tc>
          <w:tcPr>
            <w:tcW w:w="3558"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2019"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3558"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019"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558"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廊坊市广阳区财政局</w:t>
            </w:r>
          </w:p>
        </w:tc>
        <w:tc>
          <w:tcPr>
            <w:tcW w:w="2019" w:type="dxa"/>
            <w:shd w:val="clear" w:color="auto" w:fill="auto"/>
            <w:vAlign w:val="center"/>
          </w:tcPr>
          <w:p>
            <w:pPr>
              <w:spacing w:line="584"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行政单位</w:t>
            </w:r>
          </w:p>
        </w:tc>
        <w:tc>
          <w:tcPr>
            <w:tcW w:w="1276" w:type="dxa"/>
            <w:shd w:val="clear" w:color="auto" w:fill="auto"/>
            <w:vAlign w:val="center"/>
          </w:tcPr>
          <w:p>
            <w:pPr>
              <w:spacing w:line="584"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正科级</w:t>
            </w:r>
          </w:p>
        </w:tc>
        <w:tc>
          <w:tcPr>
            <w:tcW w:w="2902" w:type="dxa"/>
            <w:shd w:val="clear" w:color="auto" w:fill="auto"/>
            <w:vAlign w:val="center"/>
          </w:tcPr>
          <w:p>
            <w:pPr>
              <w:spacing w:line="584" w:lineRule="exact"/>
              <w:jc w:val="center"/>
              <w:rPr>
                <w:rFonts w:ascii="仿宋_GB2312" w:hAnsi="仿宋_GB2312" w:eastAsia="仿宋_GB2312" w:cs="仿宋_GB2312"/>
                <w:szCs w:val="21"/>
              </w:rPr>
            </w:pPr>
            <w:r>
              <w:rPr>
                <w:rFonts w:hint="eastAsia" w:ascii="仿宋_GB2312" w:hAnsi="仿宋_GB2312" w:eastAsia="仿宋_GB2312" w:cs="仿宋_GB2312"/>
                <w:bCs/>
                <w:color w:val="000000"/>
                <w:szCs w:val="21"/>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广阳区财政局机关及所属事业单位</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w:t>
      </w:r>
      <w:r>
        <w:rPr>
          <w:rFonts w:ascii="楷体" w:hAnsi="楷体" w:eastAsia="楷体" w:cs="Times New Roman"/>
          <w:b/>
          <w:sz w:val="32"/>
          <w:szCs w:val="32"/>
        </w:rPr>
        <w:t>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反映本部门当年全部收入。2021年预算收入</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492.91万元，其中：一般公共预算收入</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492.91万元，基金预算收入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，上年结转0万元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w:t>
      </w:r>
      <w:r>
        <w:rPr>
          <w:rFonts w:ascii="楷体" w:hAnsi="楷体" w:eastAsia="楷体" w:cs="Times New Roman"/>
          <w:b/>
          <w:sz w:val="32"/>
          <w:szCs w:val="32"/>
        </w:rPr>
        <w:t>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广阳区财政局2021</w:t>
      </w:r>
      <w:r>
        <w:rPr>
          <w:rFonts w:ascii="Times New Roman" w:hAnsi="Times New Roman" w:eastAsia="仿宋_GB2312" w:cs="Times New Roman"/>
          <w:sz w:val="32"/>
          <w:szCs w:val="32"/>
        </w:rPr>
        <w:t>年度部门预算中支出预算的总体情况。2021年支出预算</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492.91万元，其中基本支出2035.66万元，包括人员</w:t>
      </w:r>
      <w:r>
        <w:rPr>
          <w:rFonts w:hint="eastAsia" w:ascii="Times New Roman" w:hAnsi="Times New Roman" w:eastAsia="仿宋_GB2312" w:cs="Times New Roman"/>
          <w:sz w:val="32"/>
          <w:szCs w:val="32"/>
        </w:rPr>
        <w:t>类项目</w:t>
      </w:r>
      <w:r>
        <w:rPr>
          <w:rFonts w:ascii="Times New Roman" w:hAnsi="Times New Roman" w:eastAsia="仿宋_GB2312" w:cs="Times New Roman"/>
          <w:sz w:val="32"/>
          <w:szCs w:val="32"/>
        </w:rPr>
        <w:t>经费</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438.78万元和</w:t>
      </w:r>
      <w:r>
        <w:rPr>
          <w:rFonts w:hint="eastAsia" w:ascii="Times New Roman" w:hAnsi="Times New Roman" w:eastAsia="仿宋_GB2312" w:cs="Times New Roman"/>
          <w:sz w:val="32"/>
          <w:szCs w:val="32"/>
        </w:rPr>
        <w:t>运转类公用项目</w:t>
      </w:r>
      <w:r>
        <w:rPr>
          <w:rFonts w:ascii="Times New Roman" w:hAnsi="Times New Roman" w:eastAsia="仿宋_GB2312" w:cs="Times New Roman"/>
          <w:sz w:val="32"/>
          <w:szCs w:val="32"/>
        </w:rPr>
        <w:t>经费596.88万元；</w:t>
      </w:r>
      <w:r>
        <w:rPr>
          <w:rFonts w:hint="eastAsia" w:ascii="Times New Roman" w:hAnsi="Times New Roman" w:eastAsia="仿宋_GB2312" w:cs="Times New Roman"/>
          <w:sz w:val="32"/>
          <w:szCs w:val="32"/>
        </w:rPr>
        <w:t>运转类其他及特定目标类项目支出</w:t>
      </w:r>
      <w:r>
        <w:rPr>
          <w:rFonts w:ascii="Times New Roman" w:hAnsi="Times New Roman" w:eastAsia="仿宋_GB2312" w:cs="Times New Roman"/>
          <w:sz w:val="32"/>
          <w:szCs w:val="32"/>
        </w:rPr>
        <w:t>457.25</w:t>
      </w:r>
      <w:r>
        <w:rPr>
          <w:rFonts w:hint="eastAsia" w:ascii="Times New Roman" w:hAnsi="Times New Roman" w:eastAsia="仿宋_GB2312" w:cs="Times New Roman"/>
          <w:sz w:val="32"/>
          <w:szCs w:val="32"/>
        </w:rPr>
        <w:t>万元，主要为国</w:t>
      </w:r>
      <w:r>
        <w:rPr>
          <w:rFonts w:ascii="Times New Roman" w:hAnsi="Times New Roman" w:eastAsia="仿宋_GB2312" w:cs="Times New Roman"/>
          <w:sz w:val="32"/>
          <w:szCs w:val="32"/>
        </w:rPr>
        <w:t>库电子</w:t>
      </w:r>
      <w:r>
        <w:rPr>
          <w:rFonts w:hint="eastAsia" w:ascii="Times New Roman" w:hAnsi="Times New Roman" w:eastAsia="仿宋_GB2312" w:cs="Times New Roman"/>
          <w:sz w:val="32"/>
          <w:szCs w:val="32"/>
        </w:rPr>
        <w:t>化</w:t>
      </w:r>
      <w:r>
        <w:rPr>
          <w:rFonts w:ascii="Times New Roman" w:hAnsi="Times New Roman" w:eastAsia="仿宋_GB2312" w:cs="Times New Roman"/>
          <w:sz w:val="32"/>
          <w:szCs w:val="32"/>
        </w:rPr>
        <w:t>支付系统维护经费</w:t>
      </w:r>
      <w:r>
        <w:rPr>
          <w:rFonts w:hint="eastAsia" w:ascii="Times New Roman" w:hAnsi="Times New Roman" w:eastAsia="仿宋_GB2312" w:cs="Times New Roman"/>
          <w:sz w:val="32"/>
          <w:szCs w:val="32"/>
        </w:rPr>
        <w:t>、会计监督</w:t>
      </w:r>
      <w:r>
        <w:rPr>
          <w:rFonts w:ascii="Times New Roman" w:hAnsi="Times New Roman" w:eastAsia="仿宋_GB2312" w:cs="Times New Roman"/>
          <w:sz w:val="32"/>
          <w:szCs w:val="32"/>
        </w:rPr>
        <w:t>检查事务</w:t>
      </w:r>
      <w:r>
        <w:rPr>
          <w:rFonts w:hint="eastAsia" w:ascii="Times New Roman" w:hAnsi="Times New Roman" w:eastAsia="仿宋_GB2312" w:cs="Times New Roman"/>
          <w:sz w:val="32"/>
          <w:szCs w:val="32"/>
        </w:rPr>
        <w:t>费、</w:t>
      </w:r>
      <w:r>
        <w:rPr>
          <w:rFonts w:ascii="Times New Roman" w:hAnsi="Times New Roman" w:eastAsia="仿宋_GB2312" w:cs="Times New Roman"/>
          <w:sz w:val="32"/>
          <w:szCs w:val="32"/>
        </w:rPr>
        <w:t>预算绩效管理</w:t>
      </w:r>
      <w:r>
        <w:rPr>
          <w:rFonts w:hint="eastAsia" w:ascii="Times New Roman" w:hAnsi="Times New Roman" w:eastAsia="仿宋_GB2312" w:cs="Times New Roman"/>
          <w:sz w:val="32"/>
          <w:szCs w:val="32"/>
        </w:rPr>
        <w:t>经</w:t>
      </w:r>
      <w:r>
        <w:rPr>
          <w:rFonts w:ascii="Times New Roman" w:hAnsi="Times New Roman" w:eastAsia="仿宋_GB2312" w:cs="Times New Roman"/>
          <w:sz w:val="32"/>
          <w:szCs w:val="32"/>
        </w:rPr>
        <w:t>费</w:t>
      </w:r>
      <w:r>
        <w:rPr>
          <w:rFonts w:hint="eastAsia" w:ascii="Times New Roman" w:hAnsi="Times New Roman" w:eastAsia="仿宋_GB2312" w:cs="Times New Roman"/>
          <w:sz w:val="32"/>
          <w:szCs w:val="32"/>
        </w:rPr>
        <w:t>等项目支出</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w:t>
      </w:r>
      <w:r>
        <w:rPr>
          <w:rFonts w:ascii="楷体" w:hAnsi="楷体" w:eastAsia="楷体" w:cs="Times New Roman"/>
          <w:b/>
          <w:sz w:val="32"/>
          <w:szCs w:val="32"/>
        </w:rPr>
        <w:t>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2021年预算收支安排</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492.91万元，较2020年预算增加381.04万元，其中：基本支出增加46.21万元，主要为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rPr>
        <w:t>增加</w:t>
      </w:r>
      <w:r>
        <w:rPr>
          <w:rFonts w:ascii="Times New Roman" w:hAnsi="Times New Roman" w:eastAsia="仿宋_GB2312" w:cs="Times New Roman"/>
          <w:sz w:val="32"/>
          <w:szCs w:val="32"/>
        </w:rPr>
        <w:t>334.83万元</w:t>
      </w:r>
      <w:r>
        <w:rPr>
          <w:rFonts w:hint="eastAsia" w:ascii="Times New Roman" w:hAnsi="Times New Roman" w:eastAsia="仿宋_GB2312" w:cs="Times New Roman"/>
          <w:sz w:val="32"/>
          <w:szCs w:val="32"/>
        </w:rPr>
        <w:t>，主要为</w:t>
      </w:r>
      <w:r>
        <w:rPr>
          <w:rFonts w:ascii="Times New Roman" w:hAnsi="Times New Roman" w:eastAsia="仿宋_GB2312" w:cs="Times New Roman"/>
          <w:sz w:val="32"/>
          <w:szCs w:val="32"/>
        </w:rPr>
        <w:t>预算绩效管理</w:t>
      </w:r>
      <w:r>
        <w:rPr>
          <w:rFonts w:hint="eastAsia" w:ascii="Times New Roman" w:hAnsi="Times New Roman" w:eastAsia="仿宋_GB2312" w:cs="Times New Roman"/>
          <w:sz w:val="32"/>
          <w:szCs w:val="32"/>
        </w:rPr>
        <w:t>经费支出。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2021年，我</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596.88</w:t>
      </w:r>
      <w:r>
        <w:rPr>
          <w:rFonts w:ascii="Times New Roman" w:hAnsi="Times New Roman" w:eastAsia="仿宋_GB2312" w:cs="Times New Roman"/>
          <w:color w:val="000000"/>
          <w:sz w:val="32"/>
          <w:szCs w:val="32"/>
        </w:rPr>
        <w:t>万元</w:t>
      </w:r>
      <w:r>
        <w:rPr>
          <w:rFonts w:ascii="Times New Roman" w:hAnsi="Times New Roman" w:eastAsia="仿宋_GB2312" w:cs="Times New Roman"/>
          <w:sz w:val="32"/>
          <w:szCs w:val="32"/>
        </w:rPr>
        <w:t>，主要用于</w:t>
      </w:r>
      <w:r>
        <w:rPr>
          <w:rFonts w:hint="eastAsia" w:ascii="Times New Roman" w:hAnsi="Times New Roman" w:eastAsia="仿宋_GB2312" w:cs="Times New Roman"/>
          <w:sz w:val="32"/>
          <w:szCs w:val="32"/>
        </w:rPr>
        <w:t>机关</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jc w:val="left"/>
        <w:rPr>
          <w:rFonts w:ascii="Times New Roman" w:hAnsi="Times New Roman" w:eastAsia="仿宋_GB2312" w:cs="Times New Roman"/>
          <w:color w:val="FF0000"/>
          <w:sz w:val="32"/>
          <w:szCs w:val="32"/>
        </w:rPr>
      </w:pPr>
      <w:r>
        <w:rPr>
          <w:rFonts w:hint="eastAsia" w:ascii="Times New Roman" w:hAnsi="Times New Roman" w:eastAsia="仿宋_GB2312" w:cs="Times New Roman"/>
          <w:sz w:val="32"/>
          <w:szCs w:val="32"/>
        </w:rPr>
        <w:t>2021年</w:t>
      </w: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4.38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4.38</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4.38</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万元。与2020年</w:t>
      </w:r>
      <w:r>
        <w:rPr>
          <w:rFonts w:hint="eastAsia" w:ascii="Times New Roman" w:hAnsi="Times New Roman" w:eastAsia="仿宋_GB2312" w:cs="Times New Roman"/>
          <w:sz w:val="32"/>
          <w:szCs w:val="32"/>
        </w:rPr>
        <w:t>相比</w:t>
      </w:r>
      <w:r>
        <w:rPr>
          <w:rFonts w:ascii="Times New Roman" w:hAnsi="Times New Roman" w:eastAsia="仿宋_GB2312" w:cs="Times New Roman"/>
          <w:color w:val="000000"/>
          <w:sz w:val="32"/>
          <w:szCs w:val="32"/>
        </w:rPr>
        <w:t>持平</w:t>
      </w:r>
      <w:r>
        <w:rPr>
          <w:rFonts w:hint="eastAsia" w:ascii="Times New Roman" w:hAnsi="Times New Roman" w:eastAsia="仿宋_GB2312" w:cs="Times New Roman"/>
          <w:sz w:val="32"/>
          <w:szCs w:val="32"/>
        </w:rPr>
        <w:t>，</w:t>
      </w:r>
      <w:r>
        <w:rPr>
          <w:rFonts w:ascii="Times New Roman" w:hAnsi="Times New Roman" w:eastAsia="仿宋_GB2312" w:cs="Times New Roman"/>
          <w:color w:val="000000"/>
          <w:sz w:val="32"/>
          <w:szCs w:val="32"/>
        </w:rPr>
        <w:t>无增减变化。</w:t>
      </w:r>
    </w:p>
    <w:p>
      <w:pPr>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五、绩效预算信息</w:t>
      </w:r>
      <w:bookmarkStart w:id="0" w:name="_Toc471398463"/>
    </w:p>
    <w:p>
      <w:pPr>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bCs/>
          <w:sz w:val="32"/>
          <w:szCs w:val="32"/>
        </w:rPr>
        <w:t>第一部分  部门整体绩效目标</w:t>
      </w:r>
    </w:p>
    <w:p>
      <w:pPr>
        <w:autoSpaceDE w:val="0"/>
        <w:autoSpaceDN w:val="0"/>
        <w:adjustRightInd w:val="0"/>
        <w:spacing w:line="584" w:lineRule="exact"/>
        <w:ind w:left="197" w:leftChars="94" w:firstLine="643" w:firstLineChars="200"/>
        <w:jc w:val="left"/>
        <w:rPr>
          <w:rFonts w:ascii="楷体_GB2312" w:eastAsia="楷体_GB2312" w:cs="Times New Roman"/>
          <w:b/>
          <w:bCs/>
          <w:sz w:val="32"/>
          <w:szCs w:val="32"/>
        </w:rPr>
      </w:pPr>
      <w:r>
        <w:rPr>
          <w:rFonts w:hint="eastAsia" w:ascii="楷体_GB2312" w:eastAsia="楷体_GB2312" w:cs="Times New Roman"/>
          <w:b/>
          <w:bCs/>
          <w:sz w:val="32"/>
          <w:szCs w:val="32"/>
        </w:rPr>
        <w:t>（一）总体绩效目标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一是做好财政收入工作。2021年全区一般公共预算收入增长</w:t>
      </w:r>
      <w:r>
        <w:rPr>
          <w:rFonts w:ascii="Times New Roman" w:hAnsi="Times New Roman" w:eastAsia="仿宋_GB2312" w:cs="Times New Roman"/>
          <w:sz w:val="32"/>
          <w:szCs w:val="32"/>
        </w:rPr>
        <w:t>8.2</w:t>
      </w:r>
      <w:r>
        <w:rPr>
          <w:rFonts w:hint="eastAsia" w:ascii="Times New Roman" w:hAnsi="Times New Roman" w:eastAsia="仿宋_GB2312" w:cs="Times New Roman"/>
          <w:sz w:val="32"/>
          <w:szCs w:val="32"/>
        </w:rPr>
        <w:t>%。做好收入组织工作，对税收收入和非税收入做到依法征收、应收尽收。严格执行现有行政事业性收费、政府性基金管理制度。加强非税收入管理，切实落实国家减税降费政策。二是做好财政支出。2021年全区财政支出达到上级进度要求。优化财政支出结构，保障重点支出需求。按照打造节约型政府的目标，严控一般性支出，降低行政成本。加快补齐教育、医疗、社保、农村基础设施等领域的短板，努力解决困扰人民群众生产生活的实际问题。同时，对实体经济、环境保护、京津冀协同发展等，给予全力保障和支持。三是努力完成财政改革任务。全面深化财税体制改革，加大政府性基金预算、国有资本经营预算与一般公共预算的统筹力度，建立跨年度预算平衡机制，实行中期财政规划管理，全面实施预算绩效管理，完善转移支付制度，健全专项资金管理办法，加强地方政府债务管理，深入推进预决算公开，防范财政风险，提高资金绩效。</w:t>
      </w:r>
    </w:p>
    <w:p>
      <w:pPr>
        <w:autoSpaceDE w:val="0"/>
        <w:autoSpaceDN w:val="0"/>
        <w:adjustRightInd w:val="0"/>
        <w:spacing w:line="584" w:lineRule="exact"/>
        <w:ind w:left="197" w:leftChars="94" w:firstLine="643" w:firstLineChars="200"/>
        <w:jc w:val="left"/>
        <w:rPr>
          <w:rFonts w:ascii="楷体_GB2312" w:eastAsia="楷体_GB2312" w:cs="Times New Roman"/>
          <w:b/>
          <w:bCs/>
          <w:sz w:val="32"/>
          <w:szCs w:val="32"/>
        </w:rPr>
      </w:pPr>
      <w:r>
        <w:rPr>
          <w:rFonts w:hint="eastAsia" w:ascii="楷体_GB2312" w:eastAsia="楷体_GB2312" w:cs="Times New Roman"/>
          <w:b/>
          <w:bCs/>
          <w:sz w:val="32"/>
          <w:szCs w:val="32"/>
        </w:rPr>
        <w:t>（二）分项绩效目标</w:t>
      </w:r>
    </w:p>
    <w:p>
      <w:pPr>
        <w:autoSpaceDE w:val="0"/>
        <w:autoSpaceDN w:val="0"/>
        <w:adjustRightInd w:val="0"/>
        <w:spacing w:line="584" w:lineRule="exact"/>
        <w:ind w:left="197" w:leftChars="94" w:firstLine="643" w:firstLineChars="200"/>
        <w:jc w:val="left"/>
        <w:rPr>
          <w:rFonts w:ascii="仿宋_GB2312" w:eastAsia="仿宋_GB2312" w:cs="Times New Roman"/>
          <w:b/>
          <w:bCs/>
          <w:sz w:val="32"/>
          <w:szCs w:val="32"/>
        </w:rPr>
      </w:pPr>
      <w:r>
        <w:rPr>
          <w:rFonts w:hint="eastAsia" w:ascii="仿宋_GB2312" w:eastAsia="仿宋_GB2312" w:cs="Times New Roman"/>
          <w:b/>
          <w:bCs/>
          <w:sz w:val="32"/>
          <w:szCs w:val="32"/>
        </w:rPr>
        <w:t>1．做好财政收入管理</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绩效目标：做好税收收入、非税收入管理工作。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 2021年全区一般公共预算收入增长</w:t>
      </w:r>
      <w:r>
        <w:rPr>
          <w:rFonts w:ascii="Times New Roman" w:hAnsi="Times New Roman" w:eastAsia="仿宋_GB2312" w:cs="Times New Roman"/>
          <w:sz w:val="32"/>
          <w:szCs w:val="32"/>
        </w:rPr>
        <w:t>8.2</w:t>
      </w:r>
      <w:r>
        <w:rPr>
          <w:rFonts w:hint="eastAsia" w:ascii="Times New Roman" w:hAnsi="Times New Roman" w:eastAsia="仿宋_GB2312" w:cs="Times New Roman"/>
          <w:sz w:val="32"/>
          <w:szCs w:val="32"/>
        </w:rPr>
        <w:t>%；收费项目目录调整及时，完成率100%。</w:t>
      </w:r>
    </w:p>
    <w:p>
      <w:pPr>
        <w:autoSpaceDE w:val="0"/>
        <w:autoSpaceDN w:val="0"/>
        <w:adjustRightInd w:val="0"/>
        <w:spacing w:line="584" w:lineRule="exact"/>
        <w:ind w:left="197" w:leftChars="94" w:firstLine="643" w:firstLineChars="200"/>
        <w:jc w:val="lef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w:t>
      </w:r>
      <w:r>
        <w:rPr>
          <w:rFonts w:hint="eastAsia" w:ascii="Times New Roman" w:hAnsi="Times New Roman" w:eastAsia="仿宋_GB2312" w:cs="Times New Roman"/>
          <w:b/>
          <w:bCs/>
          <w:sz w:val="32"/>
          <w:szCs w:val="32"/>
        </w:rPr>
        <w:t>做好区本级预算管理工作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绩效目标：负责编制年度预算收入计划。</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编制区本级公共财政预算、政府性基金预算、国有资本经营预算、社会保险基金预算草案，汇编全区年度预算草案，向区人民代表大会报告全区及区本级预算情况；预算执行在6月底达到60%，10月底达到90%。</w:t>
      </w:r>
    </w:p>
    <w:p>
      <w:pPr>
        <w:autoSpaceDE w:val="0"/>
        <w:autoSpaceDN w:val="0"/>
        <w:adjustRightInd w:val="0"/>
        <w:spacing w:line="584" w:lineRule="exact"/>
        <w:ind w:left="197" w:leftChars="94" w:firstLine="643" w:firstLineChars="200"/>
        <w:jc w:val="lef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w:t>
      </w:r>
      <w:r>
        <w:rPr>
          <w:rFonts w:hint="eastAsia" w:ascii="Times New Roman" w:hAnsi="Times New Roman" w:eastAsia="仿宋_GB2312" w:cs="Times New Roman"/>
          <w:b/>
          <w:bCs/>
          <w:sz w:val="32"/>
          <w:szCs w:val="32"/>
        </w:rPr>
        <w:t>做好区本级财政决算工作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绩效目标：编制区本级财政总决算</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绩效指标：汇总编报全区财政总决算、社保基金决算、全区部门决算；组织区直部门决算批复，编制和批复决算达100%。</w:t>
      </w:r>
    </w:p>
    <w:p>
      <w:pPr>
        <w:autoSpaceDE w:val="0"/>
        <w:autoSpaceDN w:val="0"/>
        <w:adjustRightInd w:val="0"/>
        <w:spacing w:line="584" w:lineRule="exact"/>
        <w:ind w:left="197" w:leftChars="94" w:firstLine="643" w:firstLineChars="200"/>
        <w:jc w:val="lef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w:t>
      </w:r>
      <w:r>
        <w:rPr>
          <w:rFonts w:hint="eastAsia" w:ascii="Times New Roman" w:hAnsi="Times New Roman" w:eastAsia="仿宋_GB2312" w:cs="Times New Roman"/>
          <w:b/>
          <w:bCs/>
          <w:sz w:val="32"/>
          <w:szCs w:val="32"/>
        </w:rPr>
        <w:t>做好财政体制改革相关工作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绩效目标：负责牵头重大财税改革政策研究</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绩效指标：承担财政体制改革方案的研究设计工作。</w:t>
      </w:r>
    </w:p>
    <w:p>
      <w:pPr>
        <w:autoSpaceDE w:val="0"/>
        <w:autoSpaceDN w:val="0"/>
        <w:adjustRightInd w:val="0"/>
        <w:spacing w:line="584" w:lineRule="exact"/>
        <w:ind w:left="197" w:leftChars="94" w:firstLine="643" w:firstLineChars="200"/>
        <w:jc w:val="lef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5．</w:t>
      </w:r>
      <w:r>
        <w:rPr>
          <w:rFonts w:hint="eastAsia" w:ascii="Times New Roman" w:hAnsi="Times New Roman" w:eastAsia="仿宋_GB2312" w:cs="Times New Roman"/>
          <w:b/>
          <w:bCs/>
          <w:sz w:val="32"/>
          <w:szCs w:val="32"/>
        </w:rPr>
        <w:t>预算公开工作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绩效目标：组织协调部.门（单位）做好预算公开工作。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绩效指标：负责公开区级政府预算，组织区级部门预算公开。</w:t>
      </w:r>
    </w:p>
    <w:p>
      <w:pPr>
        <w:autoSpaceDE w:val="0"/>
        <w:autoSpaceDN w:val="0"/>
        <w:adjustRightInd w:val="0"/>
        <w:spacing w:line="584" w:lineRule="exact"/>
        <w:ind w:left="197" w:leftChars="94" w:firstLine="643" w:firstLineChars="200"/>
        <w:jc w:val="left"/>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6</w:t>
      </w: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rPr>
        <w:t>财政专项检查、专项治理工作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绩效目标：组织各类财政专项检查、专项治理等工作。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绩效指标：统筹组织财政部门开展各类专项检查、专项治理工作；组织实施区财政局内部业务审计工作。</w:t>
      </w:r>
    </w:p>
    <w:p>
      <w:pPr>
        <w:autoSpaceDE w:val="0"/>
        <w:autoSpaceDN w:val="0"/>
        <w:adjustRightInd w:val="0"/>
        <w:spacing w:line="584" w:lineRule="exact"/>
        <w:ind w:left="197" w:leftChars="94" w:firstLine="643" w:firstLineChars="200"/>
        <w:jc w:val="left"/>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7</w:t>
      </w: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rPr>
        <w:t>财政监督评价工作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绩效目标：对财政性资金拟安排的建设项目预算进行评价审查。</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绩效指标：对已安排建设项目、建设项目竣工财务结（决）算以及建设类项目投资效果进行评价审查；对区本级财政专项资金安排的项目进行追踪问效和核查。</w:t>
      </w:r>
    </w:p>
    <w:p>
      <w:pPr>
        <w:autoSpaceDE w:val="0"/>
        <w:autoSpaceDN w:val="0"/>
        <w:adjustRightInd w:val="0"/>
        <w:spacing w:line="584" w:lineRule="exact"/>
        <w:ind w:left="197" w:leftChars="94" w:firstLine="643" w:firstLineChars="200"/>
        <w:jc w:val="left"/>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8</w:t>
      </w: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rPr>
        <w:t>组织全区会计考试报名等相关工作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绩效目标:区直会计从业人员的日常管理.</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绩效指标：组织实施全区中级会计师的报名工作。</w:t>
      </w:r>
    </w:p>
    <w:p>
      <w:pPr>
        <w:autoSpaceDE w:val="0"/>
        <w:autoSpaceDN w:val="0"/>
        <w:adjustRightInd w:val="0"/>
        <w:spacing w:line="584" w:lineRule="exact"/>
        <w:ind w:left="197" w:leftChars="94" w:firstLine="643" w:firstLineChars="200"/>
        <w:jc w:val="left"/>
        <w:rPr>
          <w:rFonts w:ascii="楷体_GB2312" w:eastAsia="楷体_GB2312" w:cs="Times New Roman"/>
          <w:b/>
          <w:bCs/>
          <w:sz w:val="32"/>
          <w:szCs w:val="32"/>
        </w:rPr>
      </w:pPr>
      <w:r>
        <w:rPr>
          <w:rFonts w:hint="eastAsia" w:ascii="楷体_GB2312" w:eastAsia="楷体_GB2312" w:cs="Times New Roman"/>
          <w:b/>
          <w:bCs/>
          <w:sz w:val="32"/>
          <w:szCs w:val="32"/>
        </w:rPr>
        <w:t>（三）工作保障措施</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编制区本级预算文本、批复部门预算。科学编制区本级预算并组织执行，汇编全区年度预算草案，拟定并执行中期财政规划；受区政府委托，向区人民代表大会报告全区及区本级预算及其执行情况；按规定时限批复部门预算。</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制定地方国库管理制度。审核下达区本级预算单位用款计划及额度，进行上下级财政库款调度，审核拨付财政专户资金。组织制定地方国库管理制度、国库集中收付制度并组织实施。对预算执行情况进行分析，全面掌握财政收支增减变化的真实情况。</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汇编全区财政总决算。编制区本级财政总决算，汇编全区财政总决算；编实区本级部门决算，汇编全区部门决算。</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强财政管理改革。加强全口径政府预算管理，进一步完善“四本”预算编制；推进中期财政规划管理，增强预算约束力；深化预算绩效管理改革，提高财政资金使用效益；完善地方转移支付制度，促进资源优化配置和充分利用；深化国库管理制度改革，有效规范预算执行；推进预决算公开，促进依法理财、民主理财，实施全面规范、公开透明的预算制度。</w:t>
      </w:r>
    </w:p>
    <w:p>
      <w:pPr>
        <w:overflowPunct w:val="0"/>
        <w:adjustRightInd w:val="0"/>
        <w:snapToGrid w:val="0"/>
        <w:spacing w:afterLines="50" w:line="580"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完善财政体制，强化绩效管理、深化税制改革。按照体制，全面规范透明、标准科学、约束有力的要求，扎实推进全口径政府预算管理，深入实施中期财政规划管理，进一步完善跨年度预算平衡机制；继续推动预算公开和人大联网审查监督工作，全面提高预算透明度；明确重点支出预算安排基本规范，深入推进支出标准体系建设；严格执行区人大审查批准的预算，从严控制预算调整和调剂事项，切实硬化预算约束；加快推进预算联网监督系统建设，主动支持配合区人大依法开展预算审查监督。构建全方位、全过程、全覆盖的预算绩效管理体系，推进预算和绩效管理一体化。按照权责清晰、财力协调、区域均衡的要求，合理划分财政事权与支出责任，完善收入划分体制，增强政府基本公共服务保障能力，加快推进区域间基本公共服务均等化。加大收入组织工作力度，充分发挥综合治税的协调联动作用，主动协调各成员单位，形成抓收入的工作合力，解决好收入组织工作中存在的问题，切实做到应收尽收不虚收。加强政府债务管理，规范用好政府债券资金，支持补短板等急需的重大基础设施建设；健全政府债务风险监控机制，认真落实债务化解规划，严格遏制政府隐性债务增量，确保打赢防范化解重大风险攻坚战。科学做好PPP模式推广应用，严格项目筛选入库，规范项目运作管理，充分引导社会资本参与全区公共服务项目，拓宽城市建设资金来源渠道。</w:t>
      </w:r>
      <w:bookmarkEnd w:id="0"/>
    </w:p>
    <w:p>
      <w:pPr>
        <w:overflowPunct w:val="0"/>
        <w:adjustRightInd w:val="0"/>
        <w:snapToGrid w:val="0"/>
        <w:spacing w:afterLines="50" w:line="580" w:lineRule="exact"/>
        <w:ind w:firstLine="630" w:firstLineChars="196"/>
        <w:jc w:val="left"/>
        <w:rPr>
          <w:rFonts w:ascii="楷体_GB2312" w:eastAsia="楷体_GB2312" w:cs="Times New Roman"/>
          <w:b/>
          <w:bCs/>
          <w:sz w:val="32"/>
          <w:szCs w:val="32"/>
        </w:rPr>
      </w:pPr>
      <w:r>
        <w:rPr>
          <w:rFonts w:hint="eastAsia" w:ascii="楷体_GB2312" w:eastAsia="楷体_GB2312" w:cs="楷体_GB2312"/>
          <w:b/>
          <w:bCs/>
          <w:sz w:val="32"/>
          <w:szCs w:val="32"/>
        </w:rPr>
        <w:t>（四）部门整体支出绩效指标</w:t>
      </w:r>
    </w:p>
    <w:tbl>
      <w:tblPr>
        <w:tblStyle w:val="8"/>
        <w:tblW w:w="11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628"/>
        <w:gridCol w:w="992"/>
        <w:gridCol w:w="2377"/>
        <w:gridCol w:w="1167"/>
        <w:gridCol w:w="2488"/>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62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99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3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16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48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628" w:type="dxa"/>
            <w:vMerge w:val="continue"/>
            <w:tcBorders>
              <w:tl2br w:val="nil"/>
              <w:tr2bl w:val="nil"/>
            </w:tcBorders>
            <w:vAlign w:val="center"/>
          </w:tcPr>
          <w:p/>
        </w:tc>
        <w:tc>
          <w:tcPr>
            <w:tcW w:w="992" w:type="dxa"/>
            <w:vMerge w:val="continue"/>
            <w:tcBorders>
              <w:tl2br w:val="nil"/>
              <w:tr2bl w:val="nil"/>
            </w:tcBorders>
            <w:vAlign w:val="center"/>
          </w:tcPr>
          <w:p/>
        </w:tc>
        <w:tc>
          <w:tcPr>
            <w:tcW w:w="2377" w:type="dxa"/>
            <w:vMerge w:val="continue"/>
            <w:tcBorders>
              <w:tl2br w:val="nil"/>
              <w:tr2bl w:val="nil"/>
            </w:tcBorders>
            <w:vAlign w:val="center"/>
          </w:tcPr>
          <w:p/>
        </w:tc>
        <w:tc>
          <w:tcPr>
            <w:tcW w:w="1167" w:type="dxa"/>
            <w:vMerge w:val="continue"/>
            <w:tcBorders>
              <w:tl2br w:val="nil"/>
              <w:tr2bl w:val="nil"/>
            </w:tcBorders>
            <w:vAlign w:val="center"/>
          </w:tcPr>
          <w:p/>
        </w:tc>
        <w:tc>
          <w:tcPr>
            <w:tcW w:w="2488"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62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仿宋" w:hAnsi="华文仿宋" w:eastAsia="华文仿宋" w:cs="宋体"/>
                <w:color w:val="000000"/>
                <w:kern w:val="0"/>
                <w:sz w:val="18"/>
                <w:szCs w:val="18"/>
              </w:rPr>
            </w:pPr>
            <w:r>
              <w:rPr>
                <w:rFonts w:hint="eastAsia" w:ascii="华文仿宋" w:hAnsi="华文仿宋" w:eastAsia="华文仿宋"/>
                <w:color w:val="000000"/>
                <w:sz w:val="18"/>
                <w:szCs w:val="18"/>
              </w:rPr>
              <w:t>数量</w:t>
            </w:r>
          </w:p>
        </w:tc>
        <w:tc>
          <w:tcPr>
            <w:tcW w:w="2377" w:type="dxa"/>
            <w:tcBorders>
              <w:top w:val="single" w:color="auto" w:sz="4" w:space="0"/>
              <w:left w:val="nil"/>
              <w:bottom w:val="single" w:color="auto" w:sz="4" w:space="0"/>
              <w:right w:val="single" w:color="000000" w:sz="4" w:space="0"/>
            </w:tcBorders>
            <w:shd w:val="clear" w:color="auto" w:fill="auto"/>
            <w:vAlign w:val="center"/>
          </w:tcPr>
          <w:p>
            <w:pPr>
              <w:jc w:val="center"/>
              <w:rPr>
                <w:rFonts w:ascii="华文仿宋" w:hAnsi="华文仿宋" w:eastAsia="华文仿宋"/>
                <w:sz w:val="18"/>
                <w:szCs w:val="18"/>
              </w:rPr>
            </w:pPr>
            <w:r>
              <w:rPr>
                <w:rFonts w:hint="eastAsia" w:ascii="华文仿宋" w:hAnsi="华文仿宋" w:eastAsia="华文仿宋"/>
                <w:sz w:val="18"/>
                <w:szCs w:val="18"/>
              </w:rPr>
              <w:t>培训期数</w:t>
            </w:r>
          </w:p>
        </w:tc>
        <w:tc>
          <w:tcPr>
            <w:tcW w:w="1167" w:type="dxa"/>
            <w:tcBorders>
              <w:top w:val="single" w:color="auto" w:sz="4" w:space="0"/>
              <w:left w:val="nil"/>
              <w:bottom w:val="single" w:color="auto" w:sz="4" w:space="0"/>
              <w:right w:val="single" w:color="000000" w:sz="4" w:space="0"/>
            </w:tcBorders>
            <w:shd w:val="clear" w:color="auto" w:fill="auto"/>
            <w:vAlign w:val="center"/>
          </w:tcPr>
          <w:p>
            <w:pPr>
              <w:jc w:val="center"/>
              <w:rPr>
                <w:rFonts w:ascii="华文仿宋" w:hAnsi="华文仿宋" w:eastAsia="华文仿宋"/>
                <w:sz w:val="18"/>
                <w:szCs w:val="18"/>
              </w:rPr>
            </w:pPr>
            <w:r>
              <w:rPr>
                <w:rFonts w:hint="eastAsia" w:ascii="华文仿宋" w:hAnsi="华文仿宋" w:eastAsia="华文仿宋"/>
                <w:sz w:val="18"/>
                <w:szCs w:val="18"/>
              </w:rPr>
              <w:t>10</w:t>
            </w:r>
          </w:p>
        </w:tc>
        <w:tc>
          <w:tcPr>
            <w:tcW w:w="2488" w:type="dxa"/>
            <w:tcBorders>
              <w:top w:val="single" w:color="auto" w:sz="4" w:space="0"/>
              <w:left w:val="nil"/>
              <w:bottom w:val="single" w:color="auto" w:sz="4" w:space="0"/>
              <w:right w:val="single" w:color="000000" w:sz="4" w:space="0"/>
            </w:tcBorders>
            <w:shd w:val="clear" w:color="auto" w:fill="auto"/>
            <w:vAlign w:val="center"/>
          </w:tcPr>
          <w:p>
            <w:pPr>
              <w:jc w:val="center"/>
              <w:rPr>
                <w:rFonts w:ascii="华文仿宋" w:hAnsi="华文仿宋" w:eastAsia="华文仿宋"/>
                <w:sz w:val="18"/>
                <w:szCs w:val="18"/>
              </w:rPr>
            </w:pPr>
            <w:r>
              <w:rPr>
                <w:rFonts w:hint="eastAsia" w:ascii="华文仿宋" w:hAnsi="华文仿宋" w:eastAsia="华文仿宋"/>
                <w:sz w:val="18"/>
                <w:szCs w:val="18"/>
              </w:rPr>
              <w:t>培训期数</w:t>
            </w:r>
          </w:p>
        </w:tc>
        <w:tc>
          <w:tcPr>
            <w:tcW w:w="543" w:type="dxa"/>
            <w:tcBorders>
              <w:top w:val="single" w:color="auto" w:sz="4" w:space="0"/>
              <w:left w:val="nil"/>
              <w:bottom w:val="single" w:color="auto" w:sz="4" w:space="0"/>
              <w:right w:val="single" w:color="auto" w:sz="4" w:space="0"/>
            </w:tcBorders>
            <w:shd w:val="clear" w:color="auto" w:fill="auto"/>
            <w:vAlign w:val="center"/>
          </w:tcPr>
          <w:p>
            <w:pPr>
              <w:jc w:val="center"/>
              <w:rPr>
                <w:rFonts w:ascii="华文仿宋" w:hAnsi="华文仿宋" w:eastAsia="华文仿宋"/>
                <w:sz w:val="18"/>
                <w:szCs w:val="18"/>
              </w:rPr>
            </w:pPr>
            <w:r>
              <w:rPr>
                <w:rFonts w:hint="eastAsia" w:ascii="华文仿宋" w:hAnsi="华文仿宋" w:eastAsia="华文仿宋"/>
                <w:sz w:val="18"/>
                <w:szCs w:val="18"/>
              </w:rPr>
              <w:t>≥</w:t>
            </w:r>
          </w:p>
        </w:tc>
        <w:tc>
          <w:tcPr>
            <w:tcW w:w="488" w:type="dxa"/>
            <w:tcBorders>
              <w:top w:val="single" w:color="auto" w:sz="4" w:space="0"/>
              <w:left w:val="nil"/>
              <w:bottom w:val="single" w:color="auto" w:sz="4" w:space="0"/>
              <w:right w:val="single" w:color="auto" w:sz="4" w:space="0"/>
            </w:tcBorders>
            <w:shd w:val="clear" w:color="auto" w:fill="auto"/>
            <w:vAlign w:val="center"/>
          </w:tcPr>
          <w:p>
            <w:pPr>
              <w:jc w:val="center"/>
              <w:rPr>
                <w:rFonts w:ascii="华文仿宋" w:hAnsi="华文仿宋" w:eastAsia="华文仿宋"/>
                <w:sz w:val="18"/>
                <w:szCs w:val="18"/>
              </w:rPr>
            </w:pPr>
            <w:r>
              <w:rPr>
                <w:rFonts w:hint="eastAsia" w:ascii="华文仿宋" w:hAnsi="华文仿宋" w:eastAsia="华文仿宋"/>
                <w:sz w:val="18"/>
                <w:szCs w:val="18"/>
              </w:rPr>
              <w:t>5</w:t>
            </w:r>
          </w:p>
        </w:tc>
        <w:tc>
          <w:tcPr>
            <w:tcW w:w="573" w:type="dxa"/>
            <w:tcBorders>
              <w:top w:val="single" w:color="auto" w:sz="4" w:space="0"/>
              <w:left w:val="nil"/>
              <w:bottom w:val="single" w:color="auto" w:sz="4" w:space="0"/>
              <w:right w:val="single" w:color="auto" w:sz="4" w:space="0"/>
            </w:tcBorders>
            <w:shd w:val="clear" w:color="auto" w:fill="auto"/>
            <w:vAlign w:val="center"/>
          </w:tcPr>
          <w:p>
            <w:pPr>
              <w:jc w:val="center"/>
              <w:rPr>
                <w:rFonts w:ascii="华文仿宋" w:hAnsi="华文仿宋" w:eastAsia="华文仿宋"/>
                <w:sz w:val="18"/>
                <w:szCs w:val="18"/>
              </w:rPr>
            </w:pPr>
            <w:r>
              <w:rPr>
                <w:rFonts w:hint="eastAsia" w:ascii="华文仿宋" w:hAnsi="华文仿宋" w:eastAsia="华文仿宋"/>
                <w:sz w:val="18"/>
                <w:szCs w:val="18"/>
              </w:rPr>
              <w:t>期</w:t>
            </w:r>
          </w:p>
        </w:tc>
        <w:tc>
          <w:tcPr>
            <w:tcW w:w="1277" w:type="dxa"/>
            <w:tcBorders>
              <w:top w:val="nil"/>
              <w:left w:val="nil"/>
              <w:bottom w:val="single" w:color="auto" w:sz="4" w:space="0"/>
              <w:right w:val="single" w:color="auto" w:sz="4" w:space="0"/>
            </w:tcBorders>
            <w:shd w:val="clear" w:color="auto" w:fill="auto"/>
            <w:vAlign w:val="center"/>
          </w:tcPr>
          <w:p>
            <w:pPr>
              <w:jc w:val="center"/>
              <w:rPr>
                <w:rFonts w:ascii="华文仿宋" w:hAnsi="华文仿宋" w:eastAsia="华文仿宋"/>
                <w:color w:val="000000"/>
                <w:sz w:val="18"/>
                <w:szCs w:val="18"/>
              </w:rPr>
            </w:pPr>
            <w:r>
              <w:rPr>
                <w:rFonts w:hint="eastAsia" w:ascii="华文仿宋" w:hAnsi="华文仿宋" w:eastAsia="华文仿宋"/>
                <w:color w:val="000000"/>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628" w:type="dxa"/>
            <w:vMerge w:val="continue"/>
            <w:tcBorders>
              <w:tl2br w:val="nil"/>
              <w:tr2bl w:val="nil"/>
            </w:tcBorders>
            <w:vAlign w:val="center"/>
          </w:tcPr>
          <w:p/>
        </w:tc>
        <w:tc>
          <w:tcPr>
            <w:tcW w:w="992" w:type="dxa"/>
            <w:tcBorders>
              <w:top w:val="nil"/>
              <w:left w:val="single" w:color="auto" w:sz="4" w:space="0"/>
              <w:bottom w:val="single" w:color="auto" w:sz="4" w:space="0"/>
              <w:right w:val="single" w:color="auto" w:sz="4" w:space="0"/>
            </w:tcBorders>
            <w:shd w:val="clear" w:color="auto" w:fill="auto"/>
            <w:vAlign w:val="center"/>
          </w:tcPr>
          <w:p>
            <w:pPr>
              <w:jc w:val="center"/>
              <w:rPr>
                <w:rFonts w:ascii="华文仿宋" w:hAnsi="华文仿宋" w:eastAsia="华文仿宋"/>
                <w:color w:val="000000"/>
                <w:sz w:val="18"/>
                <w:szCs w:val="18"/>
              </w:rPr>
            </w:pPr>
            <w:r>
              <w:rPr>
                <w:rFonts w:hint="eastAsia" w:ascii="华文仿宋" w:hAnsi="华文仿宋" w:eastAsia="华文仿宋"/>
                <w:color w:val="000000"/>
                <w:sz w:val="18"/>
                <w:szCs w:val="18"/>
              </w:rPr>
              <w:t>数量</w:t>
            </w:r>
          </w:p>
        </w:tc>
        <w:tc>
          <w:tcPr>
            <w:tcW w:w="2377" w:type="dxa"/>
            <w:tcBorders>
              <w:top w:val="single" w:color="auto" w:sz="4" w:space="0"/>
              <w:left w:val="nil"/>
              <w:bottom w:val="single" w:color="auto" w:sz="4" w:space="0"/>
              <w:right w:val="single" w:color="000000" w:sz="4" w:space="0"/>
            </w:tcBorders>
            <w:shd w:val="clear" w:color="auto" w:fill="auto"/>
            <w:vAlign w:val="center"/>
          </w:tcPr>
          <w:p>
            <w:pPr>
              <w:jc w:val="center"/>
              <w:rPr>
                <w:rFonts w:ascii="华文仿宋" w:hAnsi="华文仿宋" w:eastAsia="华文仿宋"/>
                <w:sz w:val="18"/>
                <w:szCs w:val="18"/>
              </w:rPr>
            </w:pPr>
            <w:r>
              <w:rPr>
                <w:rFonts w:hint="eastAsia" w:ascii="华文仿宋" w:hAnsi="华文仿宋" w:eastAsia="华文仿宋"/>
                <w:sz w:val="18"/>
                <w:szCs w:val="18"/>
              </w:rPr>
              <w:t>绩效覆盖部门数量</w:t>
            </w:r>
          </w:p>
        </w:tc>
        <w:tc>
          <w:tcPr>
            <w:tcW w:w="1167" w:type="dxa"/>
            <w:tcBorders>
              <w:top w:val="single" w:color="auto" w:sz="4" w:space="0"/>
              <w:left w:val="nil"/>
              <w:bottom w:val="single" w:color="auto" w:sz="4" w:space="0"/>
              <w:right w:val="single" w:color="000000" w:sz="4" w:space="0"/>
            </w:tcBorders>
            <w:shd w:val="clear" w:color="auto" w:fill="auto"/>
            <w:vAlign w:val="center"/>
          </w:tcPr>
          <w:p>
            <w:pPr>
              <w:jc w:val="center"/>
              <w:rPr>
                <w:rFonts w:ascii="华文仿宋" w:hAnsi="华文仿宋" w:eastAsia="华文仿宋"/>
                <w:sz w:val="18"/>
                <w:szCs w:val="18"/>
              </w:rPr>
            </w:pPr>
            <w:r>
              <w:rPr>
                <w:rFonts w:hint="eastAsia" w:ascii="华文仿宋" w:hAnsi="华文仿宋" w:eastAsia="华文仿宋"/>
                <w:sz w:val="18"/>
                <w:szCs w:val="18"/>
              </w:rPr>
              <w:t>5</w:t>
            </w:r>
          </w:p>
        </w:tc>
        <w:tc>
          <w:tcPr>
            <w:tcW w:w="2488" w:type="dxa"/>
            <w:tcBorders>
              <w:top w:val="single" w:color="auto" w:sz="4" w:space="0"/>
              <w:left w:val="nil"/>
              <w:bottom w:val="single" w:color="auto" w:sz="4" w:space="0"/>
              <w:right w:val="single" w:color="000000" w:sz="4" w:space="0"/>
            </w:tcBorders>
            <w:shd w:val="clear" w:color="auto" w:fill="auto"/>
            <w:vAlign w:val="center"/>
          </w:tcPr>
          <w:p>
            <w:pPr>
              <w:jc w:val="center"/>
              <w:rPr>
                <w:rFonts w:ascii="华文仿宋" w:hAnsi="华文仿宋" w:eastAsia="华文仿宋"/>
                <w:sz w:val="18"/>
                <w:szCs w:val="18"/>
              </w:rPr>
            </w:pPr>
            <w:r>
              <w:rPr>
                <w:rFonts w:hint="eastAsia" w:ascii="华文仿宋" w:hAnsi="华文仿宋" w:eastAsia="华文仿宋"/>
                <w:sz w:val="18"/>
                <w:szCs w:val="18"/>
              </w:rPr>
              <w:t>绩效覆盖部门数量</w:t>
            </w:r>
          </w:p>
        </w:tc>
        <w:tc>
          <w:tcPr>
            <w:tcW w:w="543" w:type="dxa"/>
            <w:tcBorders>
              <w:top w:val="nil"/>
              <w:left w:val="nil"/>
              <w:bottom w:val="single" w:color="auto" w:sz="4" w:space="0"/>
              <w:right w:val="single" w:color="auto" w:sz="4" w:space="0"/>
            </w:tcBorders>
            <w:shd w:val="clear" w:color="auto" w:fill="auto"/>
            <w:vAlign w:val="center"/>
          </w:tcPr>
          <w:p>
            <w:pPr>
              <w:jc w:val="center"/>
              <w:rPr>
                <w:rFonts w:ascii="华文仿宋" w:hAnsi="华文仿宋" w:eastAsia="华文仿宋"/>
                <w:sz w:val="18"/>
                <w:szCs w:val="18"/>
              </w:rPr>
            </w:pPr>
            <w:r>
              <w:rPr>
                <w:rFonts w:hint="eastAsia" w:ascii="华文仿宋" w:hAnsi="华文仿宋" w:eastAsia="华文仿宋"/>
                <w:sz w:val="18"/>
                <w:szCs w:val="18"/>
              </w:rPr>
              <w:t>=</w:t>
            </w:r>
          </w:p>
        </w:tc>
        <w:tc>
          <w:tcPr>
            <w:tcW w:w="488" w:type="dxa"/>
            <w:tcBorders>
              <w:top w:val="nil"/>
              <w:left w:val="nil"/>
              <w:bottom w:val="single" w:color="auto" w:sz="4" w:space="0"/>
              <w:right w:val="single" w:color="auto" w:sz="4" w:space="0"/>
            </w:tcBorders>
            <w:shd w:val="clear" w:color="auto" w:fill="auto"/>
            <w:vAlign w:val="center"/>
          </w:tcPr>
          <w:p>
            <w:pPr>
              <w:jc w:val="center"/>
              <w:rPr>
                <w:rFonts w:ascii="华文仿宋" w:hAnsi="华文仿宋" w:eastAsia="华文仿宋"/>
                <w:sz w:val="18"/>
                <w:szCs w:val="18"/>
              </w:rPr>
            </w:pPr>
            <w:r>
              <w:rPr>
                <w:rFonts w:hint="eastAsia" w:ascii="华文仿宋" w:hAnsi="华文仿宋" w:eastAsia="华文仿宋"/>
                <w:sz w:val="18"/>
                <w:szCs w:val="18"/>
              </w:rPr>
              <w:t>57</w:t>
            </w:r>
          </w:p>
        </w:tc>
        <w:tc>
          <w:tcPr>
            <w:tcW w:w="573" w:type="dxa"/>
            <w:tcBorders>
              <w:top w:val="nil"/>
              <w:left w:val="nil"/>
              <w:bottom w:val="single" w:color="auto" w:sz="4" w:space="0"/>
              <w:right w:val="single" w:color="auto" w:sz="4" w:space="0"/>
            </w:tcBorders>
            <w:shd w:val="clear" w:color="auto" w:fill="auto"/>
            <w:vAlign w:val="center"/>
          </w:tcPr>
          <w:p>
            <w:pPr>
              <w:jc w:val="center"/>
              <w:rPr>
                <w:rFonts w:ascii="华文仿宋" w:hAnsi="华文仿宋" w:eastAsia="华文仿宋"/>
                <w:sz w:val="18"/>
                <w:szCs w:val="18"/>
              </w:rPr>
            </w:pPr>
            <w:r>
              <w:rPr>
                <w:rFonts w:hint="eastAsia" w:ascii="华文仿宋" w:hAnsi="华文仿宋" w:eastAsia="华文仿宋"/>
                <w:sz w:val="18"/>
                <w:szCs w:val="18"/>
              </w:rPr>
              <w:t>个</w:t>
            </w:r>
          </w:p>
        </w:tc>
        <w:tc>
          <w:tcPr>
            <w:tcW w:w="1277" w:type="dxa"/>
            <w:tcBorders>
              <w:top w:val="nil"/>
              <w:left w:val="nil"/>
              <w:bottom w:val="single" w:color="auto" w:sz="4" w:space="0"/>
              <w:right w:val="single" w:color="auto" w:sz="4" w:space="0"/>
            </w:tcBorders>
            <w:shd w:val="clear" w:color="auto" w:fill="auto"/>
            <w:vAlign w:val="center"/>
          </w:tcPr>
          <w:p>
            <w:pPr>
              <w:jc w:val="center"/>
              <w:rPr>
                <w:rFonts w:ascii="华文仿宋" w:hAnsi="华文仿宋" w:eastAsia="华文仿宋"/>
                <w:color w:val="000000"/>
                <w:sz w:val="18"/>
                <w:szCs w:val="18"/>
              </w:rPr>
            </w:pPr>
            <w:r>
              <w:rPr>
                <w:rFonts w:hint="eastAsia" w:ascii="华文仿宋" w:hAnsi="华文仿宋" w:eastAsia="华文仿宋"/>
                <w:color w:val="000000"/>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628" w:type="dxa"/>
            <w:vMerge w:val="continue"/>
            <w:tcBorders>
              <w:tl2br w:val="nil"/>
              <w:tr2bl w:val="nil"/>
            </w:tcBorders>
            <w:vAlign w:val="center"/>
          </w:tcPr>
          <w:p/>
        </w:tc>
        <w:tc>
          <w:tcPr>
            <w:tcW w:w="992" w:type="dxa"/>
            <w:tcBorders>
              <w:top w:val="nil"/>
              <w:left w:val="single" w:color="auto" w:sz="4" w:space="0"/>
              <w:bottom w:val="single" w:color="auto" w:sz="4" w:space="0"/>
              <w:right w:val="single" w:color="auto" w:sz="4" w:space="0"/>
            </w:tcBorders>
            <w:shd w:val="clear" w:color="auto" w:fill="auto"/>
            <w:vAlign w:val="center"/>
          </w:tcPr>
          <w:p>
            <w:pPr>
              <w:jc w:val="center"/>
              <w:rPr>
                <w:rFonts w:ascii="华文仿宋" w:hAnsi="华文仿宋" w:eastAsia="华文仿宋"/>
                <w:color w:val="000000"/>
                <w:sz w:val="18"/>
                <w:szCs w:val="18"/>
              </w:rPr>
            </w:pPr>
            <w:r>
              <w:rPr>
                <w:rFonts w:hint="eastAsia" w:ascii="华文仿宋" w:hAnsi="华文仿宋" w:eastAsia="华文仿宋"/>
                <w:color w:val="000000"/>
                <w:sz w:val="18"/>
                <w:szCs w:val="18"/>
              </w:rPr>
              <w:t>数量</w:t>
            </w:r>
          </w:p>
        </w:tc>
        <w:tc>
          <w:tcPr>
            <w:tcW w:w="2377" w:type="dxa"/>
            <w:tcBorders>
              <w:top w:val="single" w:color="auto" w:sz="4" w:space="0"/>
              <w:left w:val="nil"/>
              <w:bottom w:val="single" w:color="auto" w:sz="4" w:space="0"/>
              <w:right w:val="single" w:color="000000" w:sz="4" w:space="0"/>
            </w:tcBorders>
            <w:shd w:val="clear" w:color="auto" w:fill="auto"/>
            <w:vAlign w:val="center"/>
          </w:tcPr>
          <w:p>
            <w:pPr>
              <w:jc w:val="center"/>
              <w:rPr>
                <w:rFonts w:ascii="华文仿宋" w:hAnsi="华文仿宋" w:eastAsia="华文仿宋"/>
                <w:sz w:val="18"/>
                <w:szCs w:val="18"/>
              </w:rPr>
            </w:pPr>
            <w:r>
              <w:rPr>
                <w:rFonts w:hint="eastAsia" w:ascii="华文仿宋" w:hAnsi="华文仿宋" w:eastAsia="华文仿宋"/>
                <w:sz w:val="18"/>
                <w:szCs w:val="18"/>
              </w:rPr>
              <w:t>三方出具报告数量</w:t>
            </w:r>
          </w:p>
        </w:tc>
        <w:tc>
          <w:tcPr>
            <w:tcW w:w="1167" w:type="dxa"/>
            <w:tcBorders>
              <w:top w:val="single" w:color="auto" w:sz="4" w:space="0"/>
              <w:left w:val="nil"/>
              <w:bottom w:val="single" w:color="auto" w:sz="4" w:space="0"/>
              <w:right w:val="single" w:color="000000" w:sz="4" w:space="0"/>
            </w:tcBorders>
            <w:shd w:val="clear" w:color="auto" w:fill="auto"/>
            <w:vAlign w:val="center"/>
          </w:tcPr>
          <w:p>
            <w:pPr>
              <w:jc w:val="center"/>
              <w:rPr>
                <w:rFonts w:ascii="华文仿宋" w:hAnsi="华文仿宋" w:eastAsia="华文仿宋"/>
                <w:sz w:val="18"/>
                <w:szCs w:val="18"/>
              </w:rPr>
            </w:pPr>
            <w:r>
              <w:rPr>
                <w:rFonts w:hint="eastAsia" w:ascii="华文仿宋" w:hAnsi="华文仿宋" w:eastAsia="华文仿宋"/>
                <w:sz w:val="18"/>
                <w:szCs w:val="18"/>
              </w:rPr>
              <w:t>5</w:t>
            </w:r>
          </w:p>
        </w:tc>
        <w:tc>
          <w:tcPr>
            <w:tcW w:w="2488" w:type="dxa"/>
            <w:tcBorders>
              <w:top w:val="single" w:color="auto" w:sz="4" w:space="0"/>
              <w:left w:val="nil"/>
              <w:bottom w:val="single" w:color="auto" w:sz="4" w:space="0"/>
              <w:right w:val="single" w:color="000000" w:sz="4" w:space="0"/>
            </w:tcBorders>
            <w:shd w:val="clear" w:color="auto" w:fill="auto"/>
            <w:vAlign w:val="center"/>
          </w:tcPr>
          <w:p>
            <w:pPr>
              <w:jc w:val="center"/>
              <w:rPr>
                <w:rFonts w:ascii="华文仿宋" w:hAnsi="华文仿宋" w:eastAsia="华文仿宋"/>
                <w:sz w:val="18"/>
                <w:szCs w:val="18"/>
              </w:rPr>
            </w:pPr>
            <w:r>
              <w:rPr>
                <w:rFonts w:hint="eastAsia" w:ascii="华文仿宋" w:hAnsi="华文仿宋" w:eastAsia="华文仿宋"/>
                <w:sz w:val="18"/>
                <w:szCs w:val="18"/>
              </w:rPr>
              <w:t>三方出具报告数量</w:t>
            </w:r>
          </w:p>
        </w:tc>
        <w:tc>
          <w:tcPr>
            <w:tcW w:w="543" w:type="dxa"/>
            <w:tcBorders>
              <w:top w:val="nil"/>
              <w:left w:val="nil"/>
              <w:bottom w:val="single" w:color="auto" w:sz="4" w:space="0"/>
              <w:right w:val="single" w:color="auto" w:sz="4" w:space="0"/>
            </w:tcBorders>
            <w:shd w:val="clear" w:color="auto" w:fill="auto"/>
            <w:vAlign w:val="center"/>
          </w:tcPr>
          <w:p>
            <w:pPr>
              <w:jc w:val="center"/>
              <w:rPr>
                <w:rFonts w:ascii="华文仿宋" w:hAnsi="华文仿宋" w:eastAsia="华文仿宋"/>
                <w:sz w:val="18"/>
                <w:szCs w:val="18"/>
              </w:rPr>
            </w:pPr>
            <w:r>
              <w:rPr>
                <w:rFonts w:hint="eastAsia" w:ascii="华文仿宋" w:hAnsi="华文仿宋" w:eastAsia="华文仿宋"/>
                <w:sz w:val="18"/>
                <w:szCs w:val="18"/>
              </w:rPr>
              <w:t>≥</w:t>
            </w:r>
          </w:p>
        </w:tc>
        <w:tc>
          <w:tcPr>
            <w:tcW w:w="488" w:type="dxa"/>
            <w:tcBorders>
              <w:top w:val="nil"/>
              <w:left w:val="nil"/>
              <w:bottom w:val="single" w:color="auto" w:sz="4" w:space="0"/>
              <w:right w:val="single" w:color="auto" w:sz="4" w:space="0"/>
            </w:tcBorders>
            <w:shd w:val="clear" w:color="auto" w:fill="auto"/>
            <w:vAlign w:val="center"/>
          </w:tcPr>
          <w:p>
            <w:pPr>
              <w:jc w:val="center"/>
              <w:rPr>
                <w:rFonts w:ascii="华文仿宋" w:hAnsi="华文仿宋" w:eastAsia="华文仿宋"/>
                <w:sz w:val="18"/>
                <w:szCs w:val="18"/>
              </w:rPr>
            </w:pPr>
            <w:r>
              <w:rPr>
                <w:rFonts w:hint="eastAsia" w:ascii="华文仿宋" w:hAnsi="华文仿宋" w:eastAsia="华文仿宋"/>
                <w:sz w:val="18"/>
                <w:szCs w:val="18"/>
              </w:rPr>
              <w:t>30</w:t>
            </w:r>
          </w:p>
        </w:tc>
        <w:tc>
          <w:tcPr>
            <w:tcW w:w="573" w:type="dxa"/>
            <w:tcBorders>
              <w:top w:val="nil"/>
              <w:left w:val="nil"/>
              <w:bottom w:val="single" w:color="auto" w:sz="4" w:space="0"/>
              <w:right w:val="single" w:color="auto" w:sz="4" w:space="0"/>
            </w:tcBorders>
            <w:shd w:val="clear" w:color="auto" w:fill="auto"/>
            <w:vAlign w:val="center"/>
          </w:tcPr>
          <w:p>
            <w:pPr>
              <w:jc w:val="center"/>
              <w:rPr>
                <w:rFonts w:ascii="华文仿宋" w:hAnsi="华文仿宋" w:eastAsia="华文仿宋"/>
                <w:sz w:val="18"/>
                <w:szCs w:val="18"/>
              </w:rPr>
            </w:pPr>
            <w:r>
              <w:rPr>
                <w:rFonts w:hint="eastAsia" w:ascii="华文仿宋" w:hAnsi="华文仿宋" w:eastAsia="华文仿宋"/>
                <w:sz w:val="18"/>
                <w:szCs w:val="18"/>
              </w:rPr>
              <w:t>个</w:t>
            </w:r>
          </w:p>
        </w:tc>
        <w:tc>
          <w:tcPr>
            <w:tcW w:w="1277" w:type="dxa"/>
            <w:tcBorders>
              <w:top w:val="nil"/>
              <w:left w:val="nil"/>
              <w:bottom w:val="single" w:color="auto" w:sz="4" w:space="0"/>
              <w:right w:val="single" w:color="auto" w:sz="4" w:space="0"/>
            </w:tcBorders>
            <w:shd w:val="clear" w:color="auto" w:fill="auto"/>
            <w:vAlign w:val="center"/>
          </w:tcPr>
          <w:p>
            <w:pPr>
              <w:jc w:val="center"/>
              <w:rPr>
                <w:rFonts w:ascii="华文仿宋" w:hAnsi="华文仿宋" w:eastAsia="华文仿宋"/>
                <w:color w:val="000000"/>
                <w:sz w:val="18"/>
                <w:szCs w:val="18"/>
              </w:rPr>
            </w:pPr>
            <w:r>
              <w:rPr>
                <w:rFonts w:hint="eastAsia" w:ascii="华文仿宋" w:hAnsi="华文仿宋" w:eastAsia="华文仿宋"/>
                <w:color w:val="000000"/>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628" w:type="dxa"/>
            <w:vMerge w:val="continue"/>
            <w:tcBorders>
              <w:tl2br w:val="nil"/>
              <w:tr2bl w:val="nil"/>
            </w:tcBorders>
            <w:vAlign w:val="center"/>
          </w:tcPr>
          <w:p/>
        </w:tc>
        <w:tc>
          <w:tcPr>
            <w:tcW w:w="992" w:type="dxa"/>
            <w:tcBorders>
              <w:top w:val="nil"/>
              <w:left w:val="single" w:color="auto" w:sz="4" w:space="0"/>
              <w:bottom w:val="single" w:color="auto" w:sz="4" w:space="0"/>
              <w:right w:val="single" w:color="auto" w:sz="4" w:space="0"/>
            </w:tcBorders>
            <w:shd w:val="clear" w:color="auto" w:fill="auto"/>
            <w:vAlign w:val="center"/>
          </w:tcPr>
          <w:p>
            <w:pPr>
              <w:jc w:val="center"/>
              <w:rPr>
                <w:rFonts w:ascii="华文仿宋" w:hAnsi="华文仿宋" w:eastAsia="华文仿宋"/>
                <w:color w:val="000000"/>
                <w:sz w:val="18"/>
                <w:szCs w:val="18"/>
              </w:rPr>
            </w:pPr>
            <w:r>
              <w:rPr>
                <w:rFonts w:hint="eastAsia" w:ascii="华文仿宋" w:hAnsi="华文仿宋" w:eastAsia="华文仿宋"/>
                <w:color w:val="000000"/>
                <w:sz w:val="18"/>
                <w:szCs w:val="18"/>
              </w:rPr>
              <w:t>质量</w:t>
            </w:r>
          </w:p>
        </w:tc>
        <w:tc>
          <w:tcPr>
            <w:tcW w:w="2377" w:type="dxa"/>
            <w:tcBorders>
              <w:top w:val="single" w:color="auto" w:sz="4" w:space="0"/>
              <w:left w:val="nil"/>
              <w:bottom w:val="single" w:color="auto" w:sz="4" w:space="0"/>
              <w:right w:val="single" w:color="auto" w:sz="4" w:space="0"/>
            </w:tcBorders>
            <w:shd w:val="clear" w:color="auto" w:fill="auto"/>
            <w:vAlign w:val="center"/>
          </w:tcPr>
          <w:p>
            <w:pPr>
              <w:jc w:val="center"/>
              <w:rPr>
                <w:rFonts w:ascii="华文仿宋" w:hAnsi="华文仿宋" w:eastAsia="华文仿宋"/>
                <w:sz w:val="18"/>
                <w:szCs w:val="18"/>
              </w:rPr>
            </w:pPr>
            <w:r>
              <w:rPr>
                <w:rFonts w:hint="eastAsia" w:ascii="华文仿宋" w:hAnsi="华文仿宋" w:eastAsia="华文仿宋"/>
                <w:sz w:val="18"/>
                <w:szCs w:val="18"/>
              </w:rPr>
              <w:t>预算绩效覆盖率</w:t>
            </w:r>
          </w:p>
        </w:tc>
        <w:tc>
          <w:tcPr>
            <w:tcW w:w="1167" w:type="dxa"/>
            <w:tcBorders>
              <w:top w:val="single" w:color="auto" w:sz="4" w:space="0"/>
              <w:left w:val="nil"/>
              <w:bottom w:val="single" w:color="auto" w:sz="4" w:space="0"/>
              <w:right w:val="single" w:color="auto" w:sz="4" w:space="0"/>
            </w:tcBorders>
            <w:shd w:val="clear" w:color="auto" w:fill="auto"/>
            <w:vAlign w:val="center"/>
          </w:tcPr>
          <w:p>
            <w:pPr>
              <w:jc w:val="center"/>
              <w:rPr>
                <w:rFonts w:ascii="华文仿宋" w:hAnsi="华文仿宋" w:eastAsia="华文仿宋"/>
                <w:sz w:val="18"/>
                <w:szCs w:val="18"/>
              </w:rPr>
            </w:pPr>
            <w:r>
              <w:rPr>
                <w:rFonts w:hint="eastAsia" w:ascii="华文仿宋" w:hAnsi="华文仿宋" w:eastAsia="华文仿宋"/>
                <w:sz w:val="18"/>
                <w:szCs w:val="18"/>
              </w:rPr>
              <w:t>5</w:t>
            </w:r>
          </w:p>
        </w:tc>
        <w:tc>
          <w:tcPr>
            <w:tcW w:w="2488" w:type="dxa"/>
            <w:tcBorders>
              <w:top w:val="single" w:color="auto" w:sz="4" w:space="0"/>
              <w:left w:val="nil"/>
              <w:bottom w:val="single" w:color="auto" w:sz="4" w:space="0"/>
              <w:right w:val="single" w:color="auto" w:sz="4" w:space="0"/>
            </w:tcBorders>
            <w:shd w:val="clear" w:color="auto" w:fill="auto"/>
            <w:vAlign w:val="center"/>
          </w:tcPr>
          <w:p>
            <w:pPr>
              <w:jc w:val="center"/>
              <w:rPr>
                <w:rFonts w:ascii="华文仿宋" w:hAnsi="华文仿宋" w:eastAsia="华文仿宋"/>
                <w:sz w:val="18"/>
                <w:szCs w:val="18"/>
              </w:rPr>
            </w:pPr>
            <w:r>
              <w:rPr>
                <w:rFonts w:hint="eastAsia" w:ascii="华文仿宋" w:hAnsi="华文仿宋" w:eastAsia="华文仿宋"/>
                <w:sz w:val="18"/>
                <w:szCs w:val="18"/>
              </w:rPr>
              <w:t>纳入绩效管理的部门/部门总数</w:t>
            </w:r>
          </w:p>
        </w:tc>
        <w:tc>
          <w:tcPr>
            <w:tcW w:w="543" w:type="dxa"/>
            <w:tcBorders>
              <w:top w:val="nil"/>
              <w:left w:val="nil"/>
              <w:bottom w:val="single" w:color="auto" w:sz="4" w:space="0"/>
              <w:right w:val="single" w:color="auto" w:sz="4" w:space="0"/>
            </w:tcBorders>
            <w:shd w:val="clear" w:color="auto" w:fill="auto"/>
            <w:vAlign w:val="center"/>
          </w:tcPr>
          <w:p>
            <w:pPr>
              <w:jc w:val="center"/>
              <w:rPr>
                <w:rFonts w:ascii="华文仿宋" w:hAnsi="华文仿宋" w:eastAsia="华文仿宋"/>
                <w:sz w:val="18"/>
                <w:szCs w:val="18"/>
              </w:rPr>
            </w:pPr>
            <w:r>
              <w:rPr>
                <w:rFonts w:hint="eastAsia" w:ascii="华文仿宋" w:hAnsi="华文仿宋" w:eastAsia="华文仿宋"/>
                <w:sz w:val="18"/>
                <w:szCs w:val="18"/>
              </w:rPr>
              <w:t>=</w:t>
            </w:r>
          </w:p>
        </w:tc>
        <w:tc>
          <w:tcPr>
            <w:tcW w:w="488" w:type="dxa"/>
            <w:tcBorders>
              <w:top w:val="nil"/>
              <w:left w:val="nil"/>
              <w:bottom w:val="single" w:color="auto" w:sz="4" w:space="0"/>
              <w:right w:val="single" w:color="auto" w:sz="4" w:space="0"/>
            </w:tcBorders>
            <w:shd w:val="clear" w:color="auto" w:fill="auto"/>
            <w:vAlign w:val="center"/>
          </w:tcPr>
          <w:p>
            <w:pPr>
              <w:jc w:val="center"/>
              <w:rPr>
                <w:rFonts w:ascii="华文仿宋" w:hAnsi="华文仿宋" w:eastAsia="华文仿宋"/>
                <w:sz w:val="18"/>
                <w:szCs w:val="18"/>
              </w:rPr>
            </w:pPr>
            <w:r>
              <w:rPr>
                <w:rFonts w:hint="eastAsia" w:ascii="华文仿宋" w:hAnsi="华文仿宋" w:eastAsia="华文仿宋"/>
                <w:sz w:val="18"/>
                <w:szCs w:val="18"/>
              </w:rPr>
              <w:t>100</w:t>
            </w:r>
          </w:p>
        </w:tc>
        <w:tc>
          <w:tcPr>
            <w:tcW w:w="573" w:type="dxa"/>
            <w:tcBorders>
              <w:top w:val="nil"/>
              <w:left w:val="nil"/>
              <w:bottom w:val="single" w:color="auto" w:sz="4" w:space="0"/>
              <w:right w:val="single" w:color="auto" w:sz="4" w:space="0"/>
            </w:tcBorders>
            <w:shd w:val="clear" w:color="auto" w:fill="auto"/>
            <w:vAlign w:val="center"/>
          </w:tcPr>
          <w:p>
            <w:pPr>
              <w:jc w:val="center"/>
              <w:rPr>
                <w:rFonts w:ascii="华文仿宋" w:hAnsi="华文仿宋" w:eastAsia="华文仿宋"/>
                <w:sz w:val="18"/>
                <w:szCs w:val="18"/>
              </w:rPr>
            </w:pPr>
            <w:r>
              <w:rPr>
                <w:rFonts w:hint="eastAsia" w:ascii="华文仿宋" w:hAnsi="华文仿宋" w:eastAsia="华文仿宋"/>
                <w:sz w:val="18"/>
                <w:szCs w:val="18"/>
              </w:rPr>
              <w:t>%</w:t>
            </w:r>
          </w:p>
        </w:tc>
        <w:tc>
          <w:tcPr>
            <w:tcW w:w="1277" w:type="dxa"/>
            <w:tcBorders>
              <w:top w:val="nil"/>
              <w:left w:val="nil"/>
              <w:bottom w:val="single" w:color="auto" w:sz="4" w:space="0"/>
              <w:right w:val="single" w:color="auto" w:sz="4" w:space="0"/>
            </w:tcBorders>
            <w:shd w:val="clear" w:color="auto" w:fill="auto"/>
            <w:vAlign w:val="center"/>
          </w:tcPr>
          <w:p>
            <w:pPr>
              <w:jc w:val="center"/>
              <w:rPr>
                <w:rFonts w:ascii="华文仿宋" w:hAnsi="华文仿宋" w:eastAsia="华文仿宋"/>
                <w:color w:val="000000"/>
                <w:sz w:val="18"/>
                <w:szCs w:val="18"/>
              </w:rPr>
            </w:pPr>
            <w:r>
              <w:rPr>
                <w:rFonts w:hint="eastAsia" w:ascii="华文仿宋" w:hAnsi="华文仿宋" w:eastAsia="华文仿宋"/>
                <w:color w:val="000000"/>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628" w:type="dxa"/>
            <w:vMerge w:val="continue"/>
            <w:tcBorders>
              <w:tl2br w:val="nil"/>
              <w:tr2bl w:val="nil"/>
            </w:tcBorders>
            <w:vAlign w:val="center"/>
          </w:tcPr>
          <w:p/>
        </w:tc>
        <w:tc>
          <w:tcPr>
            <w:tcW w:w="992" w:type="dxa"/>
            <w:tcBorders>
              <w:top w:val="nil"/>
              <w:left w:val="single" w:color="auto" w:sz="4" w:space="0"/>
              <w:bottom w:val="single" w:color="auto" w:sz="4" w:space="0"/>
              <w:right w:val="single" w:color="auto" w:sz="4" w:space="0"/>
            </w:tcBorders>
            <w:shd w:val="clear" w:color="auto" w:fill="auto"/>
            <w:vAlign w:val="center"/>
          </w:tcPr>
          <w:p>
            <w:pPr>
              <w:jc w:val="center"/>
              <w:rPr>
                <w:rFonts w:ascii="华文仿宋" w:hAnsi="华文仿宋" w:eastAsia="华文仿宋"/>
                <w:color w:val="000000"/>
                <w:sz w:val="18"/>
                <w:szCs w:val="18"/>
              </w:rPr>
            </w:pPr>
            <w:r>
              <w:rPr>
                <w:rFonts w:hint="eastAsia" w:ascii="华文仿宋" w:hAnsi="华文仿宋" w:eastAsia="华文仿宋"/>
                <w:color w:val="000000"/>
                <w:sz w:val="18"/>
                <w:szCs w:val="18"/>
              </w:rPr>
              <w:t>时效</w:t>
            </w:r>
          </w:p>
        </w:tc>
        <w:tc>
          <w:tcPr>
            <w:tcW w:w="2377" w:type="dxa"/>
            <w:tcBorders>
              <w:top w:val="single" w:color="auto" w:sz="4" w:space="0"/>
              <w:left w:val="nil"/>
              <w:bottom w:val="single" w:color="auto" w:sz="4" w:space="0"/>
              <w:right w:val="single" w:color="auto" w:sz="4" w:space="0"/>
            </w:tcBorders>
            <w:shd w:val="clear" w:color="auto" w:fill="auto"/>
            <w:vAlign w:val="center"/>
          </w:tcPr>
          <w:p>
            <w:pPr>
              <w:jc w:val="center"/>
              <w:rPr>
                <w:rFonts w:ascii="华文仿宋" w:hAnsi="华文仿宋" w:eastAsia="华文仿宋"/>
                <w:sz w:val="18"/>
                <w:szCs w:val="18"/>
              </w:rPr>
            </w:pPr>
            <w:r>
              <w:rPr>
                <w:rFonts w:hint="eastAsia" w:ascii="华文仿宋" w:hAnsi="华文仿宋" w:eastAsia="华文仿宋"/>
                <w:sz w:val="18"/>
                <w:szCs w:val="18"/>
              </w:rPr>
              <w:t>任务完成及时率</w:t>
            </w:r>
          </w:p>
        </w:tc>
        <w:tc>
          <w:tcPr>
            <w:tcW w:w="1167" w:type="dxa"/>
            <w:tcBorders>
              <w:top w:val="single" w:color="auto" w:sz="4" w:space="0"/>
              <w:left w:val="nil"/>
              <w:bottom w:val="single" w:color="auto" w:sz="4" w:space="0"/>
              <w:right w:val="single" w:color="auto" w:sz="4" w:space="0"/>
            </w:tcBorders>
            <w:shd w:val="clear" w:color="auto" w:fill="auto"/>
            <w:vAlign w:val="center"/>
          </w:tcPr>
          <w:p>
            <w:pPr>
              <w:jc w:val="center"/>
              <w:rPr>
                <w:rFonts w:ascii="华文仿宋" w:hAnsi="华文仿宋" w:eastAsia="华文仿宋"/>
                <w:sz w:val="18"/>
                <w:szCs w:val="18"/>
              </w:rPr>
            </w:pPr>
            <w:r>
              <w:rPr>
                <w:rFonts w:hint="eastAsia" w:ascii="华文仿宋" w:hAnsi="华文仿宋" w:eastAsia="华文仿宋"/>
                <w:sz w:val="18"/>
                <w:szCs w:val="18"/>
              </w:rPr>
              <w:t>5</w:t>
            </w:r>
          </w:p>
        </w:tc>
        <w:tc>
          <w:tcPr>
            <w:tcW w:w="2488" w:type="dxa"/>
            <w:tcBorders>
              <w:top w:val="single" w:color="auto" w:sz="4" w:space="0"/>
              <w:left w:val="nil"/>
              <w:bottom w:val="single" w:color="auto" w:sz="4" w:space="0"/>
              <w:right w:val="single" w:color="auto" w:sz="4" w:space="0"/>
            </w:tcBorders>
            <w:shd w:val="clear" w:color="auto" w:fill="auto"/>
            <w:vAlign w:val="center"/>
          </w:tcPr>
          <w:p>
            <w:pPr>
              <w:jc w:val="center"/>
              <w:rPr>
                <w:rFonts w:ascii="华文仿宋" w:hAnsi="华文仿宋" w:eastAsia="华文仿宋"/>
                <w:sz w:val="18"/>
                <w:szCs w:val="18"/>
              </w:rPr>
            </w:pPr>
            <w:r>
              <w:rPr>
                <w:rFonts w:hint="eastAsia" w:ascii="华文仿宋" w:hAnsi="华文仿宋" w:eastAsia="华文仿宋"/>
                <w:sz w:val="18"/>
                <w:szCs w:val="18"/>
              </w:rPr>
              <w:t>任务完成及时率</w:t>
            </w:r>
          </w:p>
        </w:tc>
        <w:tc>
          <w:tcPr>
            <w:tcW w:w="543" w:type="dxa"/>
            <w:tcBorders>
              <w:top w:val="nil"/>
              <w:left w:val="nil"/>
              <w:bottom w:val="single" w:color="auto" w:sz="4" w:space="0"/>
              <w:right w:val="single" w:color="auto" w:sz="4" w:space="0"/>
            </w:tcBorders>
            <w:shd w:val="clear" w:color="auto" w:fill="auto"/>
            <w:vAlign w:val="center"/>
          </w:tcPr>
          <w:p>
            <w:pPr>
              <w:jc w:val="center"/>
              <w:rPr>
                <w:rFonts w:ascii="华文仿宋" w:hAnsi="华文仿宋" w:eastAsia="华文仿宋"/>
                <w:sz w:val="18"/>
                <w:szCs w:val="18"/>
              </w:rPr>
            </w:pPr>
            <w:r>
              <w:rPr>
                <w:rFonts w:hint="eastAsia" w:ascii="华文仿宋" w:hAnsi="华文仿宋" w:eastAsia="华文仿宋"/>
                <w:sz w:val="18"/>
                <w:szCs w:val="18"/>
              </w:rPr>
              <w:t>≥</w:t>
            </w:r>
          </w:p>
        </w:tc>
        <w:tc>
          <w:tcPr>
            <w:tcW w:w="488" w:type="dxa"/>
            <w:tcBorders>
              <w:top w:val="nil"/>
              <w:left w:val="nil"/>
              <w:bottom w:val="single" w:color="auto" w:sz="4" w:space="0"/>
              <w:right w:val="single" w:color="auto" w:sz="4" w:space="0"/>
            </w:tcBorders>
            <w:shd w:val="clear" w:color="auto" w:fill="auto"/>
            <w:vAlign w:val="center"/>
          </w:tcPr>
          <w:p>
            <w:pPr>
              <w:jc w:val="center"/>
              <w:rPr>
                <w:rFonts w:ascii="华文仿宋" w:hAnsi="华文仿宋" w:eastAsia="华文仿宋"/>
                <w:sz w:val="18"/>
                <w:szCs w:val="18"/>
              </w:rPr>
            </w:pPr>
            <w:r>
              <w:rPr>
                <w:rFonts w:hint="eastAsia" w:ascii="华文仿宋" w:hAnsi="华文仿宋" w:eastAsia="华文仿宋"/>
                <w:sz w:val="18"/>
                <w:szCs w:val="18"/>
              </w:rPr>
              <w:t>90</w:t>
            </w:r>
          </w:p>
        </w:tc>
        <w:tc>
          <w:tcPr>
            <w:tcW w:w="573" w:type="dxa"/>
            <w:tcBorders>
              <w:top w:val="nil"/>
              <w:left w:val="nil"/>
              <w:bottom w:val="single" w:color="auto" w:sz="4" w:space="0"/>
              <w:right w:val="single" w:color="auto" w:sz="4" w:space="0"/>
            </w:tcBorders>
            <w:shd w:val="clear" w:color="auto" w:fill="auto"/>
            <w:vAlign w:val="center"/>
          </w:tcPr>
          <w:p>
            <w:pPr>
              <w:jc w:val="center"/>
              <w:rPr>
                <w:rFonts w:ascii="华文仿宋" w:hAnsi="华文仿宋" w:eastAsia="华文仿宋"/>
                <w:sz w:val="18"/>
                <w:szCs w:val="18"/>
              </w:rPr>
            </w:pPr>
            <w:r>
              <w:rPr>
                <w:rFonts w:hint="eastAsia" w:ascii="华文仿宋" w:hAnsi="华文仿宋" w:eastAsia="华文仿宋"/>
                <w:sz w:val="18"/>
                <w:szCs w:val="18"/>
              </w:rPr>
              <w:t>%</w:t>
            </w:r>
          </w:p>
        </w:tc>
        <w:tc>
          <w:tcPr>
            <w:tcW w:w="1277" w:type="dxa"/>
            <w:tcBorders>
              <w:top w:val="nil"/>
              <w:left w:val="nil"/>
              <w:bottom w:val="single" w:color="auto" w:sz="4" w:space="0"/>
              <w:right w:val="single" w:color="auto" w:sz="4" w:space="0"/>
            </w:tcBorders>
            <w:shd w:val="clear" w:color="auto" w:fill="auto"/>
            <w:vAlign w:val="center"/>
          </w:tcPr>
          <w:p>
            <w:pPr>
              <w:jc w:val="center"/>
              <w:rPr>
                <w:rFonts w:ascii="华文仿宋" w:hAnsi="华文仿宋" w:eastAsia="华文仿宋"/>
                <w:color w:val="000000"/>
                <w:sz w:val="18"/>
                <w:szCs w:val="18"/>
              </w:rPr>
            </w:pPr>
            <w:r>
              <w:rPr>
                <w:rFonts w:hint="eastAsia" w:ascii="华文仿宋" w:hAnsi="华文仿宋" w:eastAsia="华文仿宋"/>
                <w:color w:val="000000"/>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628" w:type="dxa"/>
            <w:vMerge w:val="continue"/>
            <w:tcBorders>
              <w:tl2br w:val="nil"/>
              <w:tr2bl w:val="nil"/>
            </w:tcBorders>
            <w:vAlign w:val="center"/>
          </w:tc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仿宋" w:hAnsi="华文仿宋" w:eastAsia="华文仿宋" w:cs="宋体"/>
                <w:color w:val="000000"/>
                <w:kern w:val="0"/>
                <w:sz w:val="18"/>
                <w:szCs w:val="18"/>
              </w:rPr>
            </w:pPr>
            <w:r>
              <w:rPr>
                <w:rFonts w:hint="eastAsia" w:ascii="华文仿宋" w:hAnsi="华文仿宋" w:eastAsia="华文仿宋"/>
                <w:color w:val="000000"/>
                <w:sz w:val="18"/>
                <w:szCs w:val="18"/>
              </w:rPr>
              <w:t>成本</w:t>
            </w:r>
          </w:p>
        </w:tc>
        <w:tc>
          <w:tcPr>
            <w:tcW w:w="2377" w:type="dxa"/>
            <w:tcBorders>
              <w:top w:val="single" w:color="auto" w:sz="4" w:space="0"/>
              <w:left w:val="nil"/>
              <w:bottom w:val="single" w:color="auto" w:sz="4" w:space="0"/>
              <w:right w:val="single" w:color="auto" w:sz="4" w:space="0"/>
            </w:tcBorders>
            <w:shd w:val="clear" w:color="auto" w:fill="auto"/>
            <w:vAlign w:val="center"/>
          </w:tcPr>
          <w:p>
            <w:pPr>
              <w:jc w:val="center"/>
              <w:rPr>
                <w:rFonts w:ascii="华文仿宋" w:hAnsi="华文仿宋" w:eastAsia="华文仿宋"/>
                <w:sz w:val="18"/>
                <w:szCs w:val="18"/>
              </w:rPr>
            </w:pPr>
            <w:r>
              <w:rPr>
                <w:rFonts w:hint="eastAsia" w:ascii="华文仿宋" w:hAnsi="华文仿宋" w:eastAsia="华文仿宋"/>
                <w:sz w:val="18"/>
                <w:szCs w:val="18"/>
              </w:rPr>
              <w:t>项目总成本</w:t>
            </w:r>
          </w:p>
        </w:tc>
        <w:tc>
          <w:tcPr>
            <w:tcW w:w="1167" w:type="dxa"/>
            <w:tcBorders>
              <w:top w:val="single" w:color="auto" w:sz="4" w:space="0"/>
              <w:left w:val="nil"/>
              <w:bottom w:val="single" w:color="auto" w:sz="4" w:space="0"/>
              <w:right w:val="single" w:color="auto" w:sz="4" w:space="0"/>
            </w:tcBorders>
            <w:shd w:val="clear" w:color="auto" w:fill="auto"/>
            <w:vAlign w:val="center"/>
          </w:tcPr>
          <w:p>
            <w:pPr>
              <w:jc w:val="center"/>
              <w:rPr>
                <w:rFonts w:ascii="华文仿宋" w:hAnsi="华文仿宋" w:eastAsia="华文仿宋"/>
                <w:sz w:val="18"/>
                <w:szCs w:val="18"/>
              </w:rPr>
            </w:pPr>
            <w:r>
              <w:rPr>
                <w:rFonts w:hint="eastAsia" w:ascii="华文仿宋" w:hAnsi="华文仿宋" w:eastAsia="华文仿宋"/>
                <w:sz w:val="18"/>
                <w:szCs w:val="18"/>
              </w:rPr>
              <w:t>5</w:t>
            </w:r>
          </w:p>
        </w:tc>
        <w:tc>
          <w:tcPr>
            <w:tcW w:w="2488" w:type="dxa"/>
            <w:tcBorders>
              <w:top w:val="single" w:color="auto" w:sz="4" w:space="0"/>
              <w:left w:val="nil"/>
              <w:bottom w:val="single" w:color="auto" w:sz="4" w:space="0"/>
              <w:right w:val="single" w:color="auto" w:sz="4" w:space="0"/>
            </w:tcBorders>
            <w:shd w:val="clear" w:color="auto" w:fill="auto"/>
            <w:vAlign w:val="center"/>
          </w:tcPr>
          <w:p>
            <w:pPr>
              <w:jc w:val="center"/>
              <w:rPr>
                <w:rFonts w:ascii="华文仿宋" w:hAnsi="华文仿宋" w:eastAsia="华文仿宋"/>
                <w:sz w:val="18"/>
                <w:szCs w:val="18"/>
              </w:rPr>
            </w:pPr>
            <w:r>
              <w:rPr>
                <w:rFonts w:hint="eastAsia" w:ascii="华文仿宋" w:hAnsi="华文仿宋" w:eastAsia="华文仿宋"/>
                <w:sz w:val="18"/>
                <w:szCs w:val="18"/>
              </w:rPr>
              <w:t>项目总成本</w:t>
            </w:r>
          </w:p>
        </w:tc>
        <w:tc>
          <w:tcPr>
            <w:tcW w:w="543" w:type="dxa"/>
            <w:tcBorders>
              <w:top w:val="single" w:color="auto" w:sz="4" w:space="0"/>
              <w:left w:val="nil"/>
              <w:bottom w:val="single" w:color="auto" w:sz="4" w:space="0"/>
              <w:right w:val="single" w:color="auto" w:sz="4" w:space="0"/>
            </w:tcBorders>
            <w:shd w:val="clear" w:color="auto" w:fill="auto"/>
            <w:vAlign w:val="center"/>
          </w:tcPr>
          <w:p>
            <w:pPr>
              <w:jc w:val="center"/>
              <w:rPr>
                <w:rFonts w:ascii="华文仿宋" w:hAnsi="华文仿宋" w:eastAsia="华文仿宋"/>
                <w:sz w:val="18"/>
                <w:szCs w:val="18"/>
              </w:rPr>
            </w:pPr>
            <w:r>
              <w:rPr>
                <w:rFonts w:hint="eastAsia" w:ascii="华文仿宋" w:hAnsi="华文仿宋" w:eastAsia="华文仿宋"/>
                <w:sz w:val="18"/>
                <w:szCs w:val="18"/>
              </w:rPr>
              <w:t>≤</w:t>
            </w:r>
          </w:p>
        </w:tc>
        <w:tc>
          <w:tcPr>
            <w:tcW w:w="488" w:type="dxa"/>
            <w:tcBorders>
              <w:top w:val="single" w:color="auto" w:sz="4" w:space="0"/>
              <w:left w:val="nil"/>
              <w:bottom w:val="single" w:color="auto" w:sz="4" w:space="0"/>
              <w:right w:val="single" w:color="auto" w:sz="4" w:space="0"/>
            </w:tcBorders>
            <w:shd w:val="clear" w:color="auto" w:fill="auto"/>
            <w:vAlign w:val="center"/>
          </w:tcPr>
          <w:p>
            <w:pPr>
              <w:jc w:val="center"/>
              <w:rPr>
                <w:rFonts w:ascii="华文仿宋" w:hAnsi="华文仿宋" w:eastAsia="华文仿宋"/>
                <w:sz w:val="18"/>
                <w:szCs w:val="18"/>
              </w:rPr>
            </w:pPr>
            <w:r>
              <w:rPr>
                <w:rFonts w:hint="eastAsia" w:ascii="华文仿宋" w:hAnsi="华文仿宋" w:eastAsia="华文仿宋"/>
                <w:sz w:val="18"/>
                <w:szCs w:val="18"/>
              </w:rPr>
              <w:t>360</w:t>
            </w:r>
          </w:p>
        </w:tc>
        <w:tc>
          <w:tcPr>
            <w:tcW w:w="573" w:type="dxa"/>
            <w:tcBorders>
              <w:top w:val="single" w:color="auto" w:sz="4" w:space="0"/>
              <w:left w:val="nil"/>
              <w:bottom w:val="single" w:color="auto" w:sz="4" w:space="0"/>
              <w:right w:val="single" w:color="auto" w:sz="4" w:space="0"/>
            </w:tcBorders>
            <w:shd w:val="clear" w:color="auto" w:fill="auto"/>
            <w:vAlign w:val="center"/>
          </w:tcPr>
          <w:p>
            <w:pPr>
              <w:jc w:val="center"/>
              <w:rPr>
                <w:rFonts w:ascii="华文仿宋" w:hAnsi="华文仿宋" w:eastAsia="华文仿宋"/>
                <w:sz w:val="18"/>
                <w:szCs w:val="18"/>
              </w:rPr>
            </w:pPr>
            <w:r>
              <w:rPr>
                <w:rFonts w:hint="eastAsia" w:ascii="华文仿宋" w:hAnsi="华文仿宋" w:eastAsia="华文仿宋"/>
                <w:sz w:val="18"/>
                <w:szCs w:val="18"/>
              </w:rPr>
              <w:t>万元</w:t>
            </w:r>
          </w:p>
        </w:tc>
        <w:tc>
          <w:tcPr>
            <w:tcW w:w="1277" w:type="dxa"/>
            <w:tcBorders>
              <w:top w:val="single" w:color="auto" w:sz="4" w:space="0"/>
              <w:left w:val="nil"/>
              <w:bottom w:val="single" w:color="auto" w:sz="4" w:space="0"/>
              <w:right w:val="single" w:color="auto" w:sz="4" w:space="0"/>
            </w:tcBorders>
            <w:shd w:val="clear" w:color="auto" w:fill="auto"/>
            <w:vAlign w:val="center"/>
          </w:tcPr>
          <w:p>
            <w:pPr>
              <w:jc w:val="center"/>
              <w:rPr>
                <w:rFonts w:ascii="华文仿宋" w:hAnsi="华文仿宋" w:eastAsia="华文仿宋"/>
                <w:color w:val="000000"/>
                <w:sz w:val="18"/>
                <w:szCs w:val="18"/>
              </w:rPr>
            </w:pPr>
            <w:r>
              <w:rPr>
                <w:rFonts w:hint="eastAsia" w:ascii="华文仿宋" w:hAnsi="华文仿宋" w:eastAsia="华文仿宋"/>
                <w:color w:val="000000"/>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628" w:type="dxa"/>
            <w:vMerge w:val="continue"/>
            <w:tcBorders>
              <w:tl2br w:val="nil"/>
              <w:tr2bl w:val="nil"/>
            </w:tcBorders>
            <w:vAlign w:val="center"/>
          </w:tc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仿宋" w:hAnsi="华文仿宋" w:eastAsia="华文仿宋" w:cs="宋体"/>
                <w:color w:val="000000"/>
                <w:kern w:val="0"/>
                <w:sz w:val="18"/>
                <w:szCs w:val="18"/>
              </w:rPr>
            </w:pPr>
            <w:r>
              <w:rPr>
                <w:rFonts w:hint="eastAsia" w:ascii="华文仿宋" w:hAnsi="华文仿宋" w:eastAsia="华文仿宋"/>
                <w:color w:val="000000"/>
                <w:sz w:val="18"/>
                <w:szCs w:val="18"/>
              </w:rPr>
              <w:t>数量</w:t>
            </w:r>
          </w:p>
        </w:tc>
        <w:tc>
          <w:tcPr>
            <w:tcW w:w="2377" w:type="dxa"/>
            <w:tcBorders>
              <w:top w:val="single" w:color="auto" w:sz="4" w:space="0"/>
              <w:left w:val="nil"/>
              <w:bottom w:val="single" w:color="auto" w:sz="4" w:space="0"/>
              <w:right w:val="single" w:color="000000" w:sz="4" w:space="0"/>
            </w:tcBorders>
            <w:shd w:val="clear" w:color="auto" w:fill="auto"/>
            <w:vAlign w:val="center"/>
          </w:tcPr>
          <w:p>
            <w:pPr>
              <w:jc w:val="center"/>
              <w:rPr>
                <w:rFonts w:ascii="华文仿宋" w:hAnsi="华文仿宋" w:eastAsia="华文仿宋"/>
                <w:color w:val="000000"/>
                <w:sz w:val="18"/>
                <w:szCs w:val="18"/>
              </w:rPr>
            </w:pPr>
            <w:r>
              <w:rPr>
                <w:rFonts w:hint="eastAsia" w:ascii="华文仿宋" w:hAnsi="华文仿宋" w:eastAsia="华文仿宋"/>
                <w:color w:val="000000"/>
                <w:sz w:val="18"/>
                <w:szCs w:val="18"/>
              </w:rPr>
              <w:t>财政资金项目数</w:t>
            </w:r>
          </w:p>
        </w:tc>
        <w:tc>
          <w:tcPr>
            <w:tcW w:w="1167"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sz w:val="18"/>
                <w:szCs w:val="18"/>
              </w:rPr>
              <w:t>5</w:t>
            </w:r>
          </w:p>
        </w:tc>
        <w:tc>
          <w:tcPr>
            <w:tcW w:w="2488"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华文仿宋" w:hAnsi="华文仿宋" w:eastAsia="华文仿宋" w:cs="宋体"/>
                <w:color w:val="000000"/>
                <w:kern w:val="0"/>
                <w:sz w:val="18"/>
                <w:szCs w:val="18"/>
              </w:rPr>
            </w:pPr>
            <w:r>
              <w:rPr>
                <w:rFonts w:hint="eastAsia" w:ascii="华文仿宋" w:hAnsi="华文仿宋" w:eastAsia="华文仿宋"/>
                <w:color w:val="000000"/>
                <w:sz w:val="18"/>
                <w:szCs w:val="18"/>
              </w:rPr>
              <w:t>财政资金项目数</w:t>
            </w:r>
          </w:p>
        </w:tc>
        <w:tc>
          <w:tcPr>
            <w:tcW w:w="543"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sz w:val="18"/>
                <w:szCs w:val="18"/>
              </w:rPr>
              <w:t>≥</w:t>
            </w:r>
          </w:p>
        </w:tc>
        <w:tc>
          <w:tcPr>
            <w:tcW w:w="488"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sz w:val="18"/>
                <w:szCs w:val="18"/>
              </w:rPr>
              <w:t>24</w:t>
            </w:r>
          </w:p>
        </w:tc>
        <w:tc>
          <w:tcPr>
            <w:tcW w:w="573"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sz w:val="18"/>
                <w:szCs w:val="18"/>
              </w:rPr>
              <w:t>个</w:t>
            </w:r>
          </w:p>
        </w:tc>
        <w:tc>
          <w:tcPr>
            <w:tcW w:w="1277" w:type="dxa"/>
            <w:tcBorders>
              <w:top w:val="nil"/>
              <w:left w:val="nil"/>
              <w:bottom w:val="single" w:color="auto" w:sz="4" w:space="0"/>
              <w:right w:val="single" w:color="auto" w:sz="4" w:space="0"/>
            </w:tcBorders>
            <w:shd w:val="clear" w:color="auto" w:fill="auto"/>
            <w:vAlign w:val="center"/>
          </w:tcPr>
          <w:p>
            <w:pPr>
              <w:jc w:val="center"/>
              <w:rPr>
                <w:rFonts w:ascii="华文仿宋" w:hAnsi="华文仿宋" w:eastAsia="华文仿宋"/>
                <w:color w:val="000000"/>
                <w:sz w:val="18"/>
                <w:szCs w:val="18"/>
              </w:rPr>
            </w:pPr>
            <w:r>
              <w:rPr>
                <w:rFonts w:hint="eastAsia" w:ascii="华文仿宋" w:hAnsi="华文仿宋" w:eastAsia="华文仿宋"/>
                <w:color w:val="000000"/>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628" w:type="dxa"/>
            <w:vMerge w:val="continue"/>
            <w:tcBorders>
              <w:tl2br w:val="nil"/>
              <w:tr2bl w:val="nil"/>
            </w:tcBorders>
            <w:vAlign w:val="center"/>
          </w:tcPr>
          <w:p/>
        </w:tc>
        <w:tc>
          <w:tcPr>
            <w:tcW w:w="992" w:type="dxa"/>
            <w:tcBorders>
              <w:top w:val="nil"/>
              <w:left w:val="single" w:color="auto" w:sz="4" w:space="0"/>
              <w:bottom w:val="single" w:color="auto" w:sz="4" w:space="0"/>
              <w:right w:val="single" w:color="auto" w:sz="4" w:space="0"/>
            </w:tcBorders>
            <w:shd w:val="clear" w:color="auto" w:fill="auto"/>
            <w:vAlign w:val="center"/>
          </w:tcPr>
          <w:p>
            <w:pPr>
              <w:jc w:val="center"/>
              <w:rPr>
                <w:rFonts w:ascii="华文仿宋" w:hAnsi="华文仿宋" w:eastAsia="华文仿宋"/>
                <w:color w:val="000000"/>
                <w:sz w:val="18"/>
                <w:szCs w:val="18"/>
              </w:rPr>
            </w:pPr>
            <w:r>
              <w:rPr>
                <w:rFonts w:hint="eastAsia" w:ascii="华文仿宋" w:hAnsi="华文仿宋" w:eastAsia="华文仿宋"/>
                <w:color w:val="000000"/>
                <w:sz w:val="18"/>
                <w:szCs w:val="18"/>
              </w:rPr>
              <w:t>时效</w:t>
            </w:r>
          </w:p>
        </w:tc>
        <w:tc>
          <w:tcPr>
            <w:tcW w:w="2377" w:type="dxa"/>
            <w:tcBorders>
              <w:top w:val="single" w:color="auto" w:sz="4" w:space="0"/>
              <w:left w:val="nil"/>
              <w:bottom w:val="single" w:color="auto" w:sz="4" w:space="0"/>
              <w:right w:val="single" w:color="000000" w:sz="4" w:space="0"/>
            </w:tcBorders>
            <w:shd w:val="clear" w:color="auto" w:fill="auto"/>
            <w:vAlign w:val="center"/>
          </w:tcPr>
          <w:p>
            <w:pPr>
              <w:jc w:val="center"/>
              <w:rPr>
                <w:rFonts w:ascii="华文仿宋" w:hAnsi="华文仿宋" w:eastAsia="华文仿宋"/>
                <w:color w:val="000000"/>
                <w:sz w:val="18"/>
                <w:szCs w:val="18"/>
              </w:rPr>
            </w:pPr>
            <w:r>
              <w:rPr>
                <w:rFonts w:hint="eastAsia" w:ascii="华文仿宋" w:hAnsi="华文仿宋" w:eastAsia="华文仿宋"/>
                <w:color w:val="000000"/>
                <w:sz w:val="18"/>
                <w:szCs w:val="18"/>
              </w:rPr>
              <w:t>项目审核结算</w:t>
            </w:r>
          </w:p>
        </w:tc>
        <w:tc>
          <w:tcPr>
            <w:tcW w:w="1167"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sz w:val="18"/>
                <w:szCs w:val="18"/>
              </w:rPr>
              <w:t>5</w:t>
            </w:r>
          </w:p>
        </w:tc>
        <w:tc>
          <w:tcPr>
            <w:tcW w:w="2488"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华文仿宋" w:hAnsi="华文仿宋" w:eastAsia="华文仿宋"/>
                <w:color w:val="000000"/>
                <w:sz w:val="18"/>
                <w:szCs w:val="18"/>
              </w:rPr>
            </w:pPr>
            <w:r>
              <w:rPr>
                <w:rFonts w:hint="eastAsia" w:ascii="华文仿宋" w:hAnsi="华文仿宋" w:eastAsia="华文仿宋"/>
                <w:color w:val="000000"/>
                <w:sz w:val="18"/>
                <w:szCs w:val="18"/>
              </w:rPr>
              <w:t>出具审计报告后在进行结算</w:t>
            </w:r>
          </w:p>
        </w:tc>
        <w:tc>
          <w:tcPr>
            <w:tcW w:w="543"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sz w:val="18"/>
                <w:szCs w:val="18"/>
              </w:rPr>
              <w:t>≤</w:t>
            </w:r>
          </w:p>
        </w:tc>
        <w:tc>
          <w:tcPr>
            <w:tcW w:w="488"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sz w:val="18"/>
                <w:szCs w:val="18"/>
              </w:rPr>
              <w:t>1</w:t>
            </w:r>
          </w:p>
        </w:tc>
        <w:tc>
          <w:tcPr>
            <w:tcW w:w="573"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sz w:val="18"/>
                <w:szCs w:val="18"/>
              </w:rPr>
              <w:t>年</w:t>
            </w:r>
          </w:p>
        </w:tc>
        <w:tc>
          <w:tcPr>
            <w:tcW w:w="1277" w:type="dxa"/>
            <w:tcBorders>
              <w:top w:val="nil"/>
              <w:left w:val="nil"/>
              <w:bottom w:val="single" w:color="auto" w:sz="4" w:space="0"/>
              <w:right w:val="single" w:color="auto" w:sz="4" w:space="0"/>
            </w:tcBorders>
            <w:shd w:val="clear" w:color="auto" w:fill="auto"/>
            <w:vAlign w:val="center"/>
          </w:tcPr>
          <w:p>
            <w:pPr>
              <w:jc w:val="center"/>
              <w:rPr>
                <w:rFonts w:ascii="华文仿宋" w:hAnsi="华文仿宋" w:eastAsia="华文仿宋"/>
                <w:color w:val="000000"/>
                <w:sz w:val="18"/>
                <w:szCs w:val="18"/>
              </w:rPr>
            </w:pPr>
            <w:r>
              <w:rPr>
                <w:rFonts w:hint="eastAsia" w:ascii="华文仿宋" w:hAnsi="华文仿宋" w:eastAsia="华文仿宋"/>
                <w:color w:val="000000"/>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628" w:type="dxa"/>
            <w:vMerge w:val="continue"/>
            <w:tcBorders>
              <w:tl2br w:val="nil"/>
              <w:tr2bl w:val="nil"/>
            </w:tcBorders>
            <w:vAlign w:val="center"/>
          </w:tcPr>
          <w:p/>
        </w:tc>
        <w:tc>
          <w:tcPr>
            <w:tcW w:w="992" w:type="dxa"/>
            <w:tcBorders>
              <w:top w:val="nil"/>
              <w:left w:val="single" w:color="auto" w:sz="4" w:space="0"/>
              <w:bottom w:val="single" w:color="auto" w:sz="4" w:space="0"/>
              <w:right w:val="single" w:color="auto" w:sz="4" w:space="0"/>
            </w:tcBorders>
            <w:shd w:val="clear" w:color="auto" w:fill="auto"/>
            <w:vAlign w:val="center"/>
          </w:tcPr>
          <w:p>
            <w:pPr>
              <w:jc w:val="center"/>
              <w:rPr>
                <w:rFonts w:ascii="华文仿宋" w:hAnsi="华文仿宋" w:eastAsia="华文仿宋"/>
                <w:color w:val="000000"/>
                <w:sz w:val="18"/>
                <w:szCs w:val="18"/>
              </w:rPr>
            </w:pPr>
            <w:r>
              <w:rPr>
                <w:rFonts w:hint="eastAsia" w:ascii="华文仿宋" w:hAnsi="华文仿宋" w:eastAsia="华文仿宋"/>
                <w:color w:val="000000"/>
                <w:sz w:val="18"/>
                <w:szCs w:val="18"/>
              </w:rPr>
              <w:t>质量</w:t>
            </w:r>
          </w:p>
        </w:tc>
        <w:tc>
          <w:tcPr>
            <w:tcW w:w="2377" w:type="dxa"/>
            <w:tcBorders>
              <w:top w:val="single" w:color="auto" w:sz="4" w:space="0"/>
              <w:left w:val="nil"/>
              <w:bottom w:val="single" w:color="auto" w:sz="4" w:space="0"/>
              <w:right w:val="single" w:color="000000" w:sz="4" w:space="0"/>
            </w:tcBorders>
            <w:shd w:val="clear" w:color="auto" w:fill="auto"/>
            <w:vAlign w:val="center"/>
          </w:tcPr>
          <w:p>
            <w:pPr>
              <w:jc w:val="center"/>
              <w:rPr>
                <w:rFonts w:ascii="华文仿宋" w:hAnsi="华文仿宋" w:eastAsia="华文仿宋"/>
                <w:color w:val="000000"/>
                <w:sz w:val="18"/>
                <w:szCs w:val="18"/>
              </w:rPr>
            </w:pPr>
            <w:r>
              <w:rPr>
                <w:rFonts w:hint="eastAsia" w:ascii="华文仿宋" w:hAnsi="华文仿宋" w:eastAsia="华文仿宋"/>
                <w:color w:val="000000"/>
                <w:sz w:val="18"/>
                <w:szCs w:val="18"/>
              </w:rPr>
              <w:t>对财政资金各项目检查</w:t>
            </w:r>
          </w:p>
        </w:tc>
        <w:tc>
          <w:tcPr>
            <w:tcW w:w="1167"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sz w:val="18"/>
                <w:szCs w:val="18"/>
              </w:rPr>
              <w:t>5</w:t>
            </w:r>
          </w:p>
        </w:tc>
        <w:tc>
          <w:tcPr>
            <w:tcW w:w="2488"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华文仿宋" w:hAnsi="华文仿宋" w:eastAsia="华文仿宋"/>
                <w:color w:val="000000"/>
                <w:sz w:val="18"/>
                <w:szCs w:val="18"/>
              </w:rPr>
            </w:pPr>
            <w:r>
              <w:rPr>
                <w:rFonts w:hint="eastAsia" w:ascii="华文仿宋" w:hAnsi="华文仿宋" w:eastAsia="华文仿宋"/>
                <w:color w:val="000000"/>
                <w:sz w:val="18"/>
                <w:szCs w:val="18"/>
              </w:rPr>
              <w:t>对财政资金项目、会计信息质量进行检查</w:t>
            </w:r>
          </w:p>
        </w:tc>
        <w:tc>
          <w:tcPr>
            <w:tcW w:w="543"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sz w:val="18"/>
                <w:szCs w:val="18"/>
              </w:rPr>
              <w:t>≥</w:t>
            </w:r>
          </w:p>
        </w:tc>
        <w:tc>
          <w:tcPr>
            <w:tcW w:w="488"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sz w:val="18"/>
                <w:szCs w:val="18"/>
              </w:rPr>
              <w:t>24</w:t>
            </w:r>
          </w:p>
        </w:tc>
        <w:tc>
          <w:tcPr>
            <w:tcW w:w="573"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sz w:val="18"/>
                <w:szCs w:val="18"/>
              </w:rPr>
              <w:t>个</w:t>
            </w:r>
          </w:p>
        </w:tc>
        <w:tc>
          <w:tcPr>
            <w:tcW w:w="1277" w:type="dxa"/>
            <w:tcBorders>
              <w:top w:val="nil"/>
              <w:left w:val="nil"/>
              <w:bottom w:val="single" w:color="auto" w:sz="4" w:space="0"/>
              <w:right w:val="single" w:color="auto" w:sz="4" w:space="0"/>
            </w:tcBorders>
            <w:shd w:val="clear" w:color="auto" w:fill="auto"/>
            <w:vAlign w:val="center"/>
          </w:tcPr>
          <w:p>
            <w:pPr>
              <w:jc w:val="center"/>
              <w:rPr>
                <w:rFonts w:ascii="华文仿宋" w:hAnsi="华文仿宋" w:eastAsia="华文仿宋"/>
                <w:color w:val="000000"/>
                <w:sz w:val="18"/>
                <w:szCs w:val="18"/>
              </w:rPr>
            </w:pPr>
            <w:r>
              <w:rPr>
                <w:rFonts w:hint="eastAsia" w:ascii="华文仿宋" w:hAnsi="华文仿宋" w:eastAsia="华文仿宋"/>
                <w:color w:val="000000"/>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628" w:type="dxa"/>
            <w:vMerge w:val="continue"/>
            <w:tcBorders>
              <w:tl2br w:val="nil"/>
              <w:tr2bl w:val="nil"/>
            </w:tcBorders>
            <w:vAlign w:val="center"/>
          </w:tcPr>
          <w:p/>
        </w:tc>
        <w:tc>
          <w:tcPr>
            <w:tcW w:w="992" w:type="dxa"/>
            <w:tcBorders>
              <w:top w:val="nil"/>
              <w:left w:val="single" w:color="auto" w:sz="4" w:space="0"/>
              <w:bottom w:val="single" w:color="auto" w:sz="4" w:space="0"/>
              <w:right w:val="single" w:color="auto" w:sz="4" w:space="0"/>
            </w:tcBorders>
            <w:shd w:val="clear" w:color="auto" w:fill="auto"/>
            <w:vAlign w:val="center"/>
          </w:tcPr>
          <w:p>
            <w:pPr>
              <w:jc w:val="center"/>
              <w:rPr>
                <w:rFonts w:ascii="华文仿宋" w:hAnsi="华文仿宋" w:eastAsia="华文仿宋"/>
                <w:color w:val="000000"/>
                <w:sz w:val="18"/>
                <w:szCs w:val="18"/>
              </w:rPr>
            </w:pPr>
            <w:r>
              <w:rPr>
                <w:rFonts w:hint="eastAsia" w:ascii="华文仿宋" w:hAnsi="华文仿宋" w:eastAsia="华文仿宋"/>
                <w:color w:val="000000"/>
                <w:sz w:val="18"/>
                <w:szCs w:val="18"/>
              </w:rPr>
              <w:t>成本</w:t>
            </w:r>
          </w:p>
        </w:tc>
        <w:tc>
          <w:tcPr>
            <w:tcW w:w="2377" w:type="dxa"/>
            <w:tcBorders>
              <w:top w:val="single" w:color="auto" w:sz="4" w:space="0"/>
              <w:left w:val="nil"/>
              <w:bottom w:val="single" w:color="auto" w:sz="4" w:space="0"/>
              <w:right w:val="single" w:color="000000" w:sz="4" w:space="0"/>
            </w:tcBorders>
            <w:shd w:val="clear" w:color="auto" w:fill="auto"/>
            <w:vAlign w:val="center"/>
          </w:tcPr>
          <w:p>
            <w:pPr>
              <w:jc w:val="center"/>
              <w:rPr>
                <w:rFonts w:ascii="华文仿宋" w:hAnsi="华文仿宋" w:eastAsia="华文仿宋"/>
                <w:color w:val="000000"/>
                <w:sz w:val="18"/>
                <w:szCs w:val="18"/>
              </w:rPr>
            </w:pPr>
            <w:r>
              <w:rPr>
                <w:rFonts w:hint="eastAsia" w:ascii="华文仿宋" w:hAnsi="华文仿宋" w:eastAsia="华文仿宋"/>
                <w:color w:val="000000"/>
                <w:sz w:val="18"/>
                <w:szCs w:val="18"/>
              </w:rPr>
              <w:t>预算成本</w:t>
            </w:r>
          </w:p>
        </w:tc>
        <w:tc>
          <w:tcPr>
            <w:tcW w:w="1167"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sz w:val="18"/>
                <w:szCs w:val="18"/>
              </w:rPr>
              <w:t>5</w:t>
            </w:r>
          </w:p>
        </w:tc>
        <w:tc>
          <w:tcPr>
            <w:tcW w:w="2488"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华文仿宋" w:hAnsi="华文仿宋" w:eastAsia="华文仿宋"/>
                <w:color w:val="000000"/>
                <w:sz w:val="18"/>
                <w:szCs w:val="18"/>
              </w:rPr>
            </w:pPr>
            <w:r>
              <w:rPr>
                <w:rFonts w:hint="eastAsia" w:ascii="华文仿宋" w:hAnsi="华文仿宋" w:eastAsia="华文仿宋"/>
                <w:color w:val="000000"/>
                <w:sz w:val="18"/>
                <w:szCs w:val="18"/>
              </w:rPr>
              <w:t>开展此项工作所需资金成本</w:t>
            </w:r>
          </w:p>
        </w:tc>
        <w:tc>
          <w:tcPr>
            <w:tcW w:w="543"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sz w:val="18"/>
                <w:szCs w:val="18"/>
              </w:rPr>
              <w:t>=</w:t>
            </w:r>
          </w:p>
        </w:tc>
        <w:tc>
          <w:tcPr>
            <w:tcW w:w="488"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sz w:val="18"/>
                <w:szCs w:val="18"/>
              </w:rPr>
              <w:t>72.3</w:t>
            </w:r>
          </w:p>
        </w:tc>
        <w:tc>
          <w:tcPr>
            <w:tcW w:w="573"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sz w:val="18"/>
                <w:szCs w:val="18"/>
              </w:rPr>
              <w:t>万</w:t>
            </w:r>
            <w:r>
              <w:rPr>
                <w:rFonts w:ascii="华文仿宋" w:hAnsi="华文仿宋" w:eastAsia="华文仿宋"/>
                <w:sz w:val="18"/>
                <w:szCs w:val="18"/>
              </w:rPr>
              <w:t>元</w:t>
            </w:r>
          </w:p>
        </w:tc>
        <w:tc>
          <w:tcPr>
            <w:tcW w:w="1277" w:type="dxa"/>
            <w:tcBorders>
              <w:top w:val="nil"/>
              <w:left w:val="nil"/>
              <w:bottom w:val="single" w:color="auto" w:sz="4" w:space="0"/>
              <w:right w:val="single" w:color="auto" w:sz="4" w:space="0"/>
            </w:tcBorders>
            <w:shd w:val="clear" w:color="auto" w:fill="auto"/>
            <w:vAlign w:val="center"/>
          </w:tcPr>
          <w:p>
            <w:pPr>
              <w:jc w:val="center"/>
              <w:rPr>
                <w:rFonts w:ascii="华文仿宋" w:hAnsi="华文仿宋" w:eastAsia="华文仿宋"/>
                <w:color w:val="000000"/>
                <w:sz w:val="18"/>
                <w:szCs w:val="18"/>
              </w:rPr>
            </w:pPr>
            <w:r>
              <w:rPr>
                <w:rFonts w:hint="eastAsia" w:ascii="华文仿宋" w:hAnsi="华文仿宋" w:eastAsia="华文仿宋"/>
                <w:color w:val="000000"/>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628" w:type="dxa"/>
            <w:vMerge w:val="continue"/>
            <w:tcBorders>
              <w:tl2br w:val="nil"/>
              <w:tr2bl w:val="nil"/>
            </w:tcBorders>
            <w:vAlign w:val="center"/>
          </w:tcPr>
          <w:p/>
        </w:tc>
        <w:tc>
          <w:tcPr>
            <w:tcW w:w="992"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color w:val="000000"/>
                <w:sz w:val="18"/>
                <w:szCs w:val="18"/>
              </w:rPr>
              <w:t>数量</w:t>
            </w:r>
          </w:p>
        </w:tc>
        <w:tc>
          <w:tcPr>
            <w:tcW w:w="2377"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华文仿宋" w:hAnsi="华文仿宋" w:eastAsia="华文仿宋" w:cs="宋体"/>
                <w:kern w:val="0"/>
                <w:sz w:val="18"/>
                <w:szCs w:val="18"/>
              </w:rPr>
            </w:pPr>
            <w:r>
              <w:rPr>
                <w:rFonts w:hint="eastAsia" w:ascii="华文仿宋" w:hAnsi="华文仿宋" w:eastAsia="华文仿宋"/>
                <w:sz w:val="18"/>
                <w:szCs w:val="18"/>
              </w:rPr>
              <w:t>上报政府部门财政报告和政府综合财务报告</w:t>
            </w:r>
          </w:p>
        </w:tc>
        <w:tc>
          <w:tcPr>
            <w:tcW w:w="1167"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sz w:val="18"/>
                <w:szCs w:val="18"/>
              </w:rPr>
              <w:t>5</w:t>
            </w:r>
          </w:p>
        </w:tc>
        <w:tc>
          <w:tcPr>
            <w:tcW w:w="2488"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eastAsia="仿宋_GB2312"/>
                <w:sz w:val="18"/>
                <w:szCs w:val="18"/>
              </w:rPr>
              <w:t>全区所有预算部门、单位政府部门财务报告及政府综合财务报告编制</w:t>
            </w:r>
          </w:p>
        </w:tc>
        <w:tc>
          <w:tcPr>
            <w:tcW w:w="543"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eastAsia="仿宋_GB2312"/>
              </w:rPr>
              <w:t>≥</w:t>
            </w:r>
          </w:p>
        </w:tc>
        <w:tc>
          <w:tcPr>
            <w:tcW w:w="488"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sz w:val="18"/>
                <w:szCs w:val="18"/>
              </w:rPr>
              <w:t>100</w:t>
            </w:r>
          </w:p>
        </w:tc>
        <w:tc>
          <w:tcPr>
            <w:tcW w:w="573"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sz w:val="18"/>
                <w:szCs w:val="18"/>
              </w:rPr>
              <w:t>个</w:t>
            </w:r>
          </w:p>
        </w:tc>
        <w:tc>
          <w:tcPr>
            <w:tcW w:w="12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eastAsia="仿宋_GB2312"/>
                <w:sz w:val="18"/>
                <w:szCs w:val="18"/>
              </w:rPr>
              <w:t>《政府财务报告编制办法（试行）》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628" w:type="dxa"/>
            <w:vMerge w:val="continue"/>
            <w:tcBorders>
              <w:tl2br w:val="nil"/>
              <w:tr2bl w:val="nil"/>
            </w:tcBorders>
            <w:vAlign w:val="center"/>
          </w:tcPr>
          <w:p/>
        </w:tc>
        <w:tc>
          <w:tcPr>
            <w:tcW w:w="992"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color w:val="000000"/>
                <w:sz w:val="18"/>
                <w:szCs w:val="18"/>
              </w:rPr>
              <w:t>数量</w:t>
            </w:r>
          </w:p>
        </w:tc>
        <w:tc>
          <w:tcPr>
            <w:tcW w:w="2377"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华文仿宋" w:hAnsi="华文仿宋" w:eastAsia="华文仿宋"/>
                <w:sz w:val="18"/>
                <w:szCs w:val="18"/>
              </w:rPr>
            </w:pPr>
            <w:r>
              <w:rPr>
                <w:rFonts w:hint="eastAsia" w:ascii="华文仿宋" w:hAnsi="华文仿宋" w:eastAsia="华文仿宋"/>
                <w:sz w:val="18"/>
                <w:szCs w:val="18"/>
              </w:rPr>
              <w:t>会计核算平台服务单位数量</w:t>
            </w:r>
          </w:p>
        </w:tc>
        <w:tc>
          <w:tcPr>
            <w:tcW w:w="1167"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sz w:val="18"/>
                <w:szCs w:val="18"/>
              </w:rPr>
              <w:t>5</w:t>
            </w:r>
          </w:p>
        </w:tc>
        <w:tc>
          <w:tcPr>
            <w:tcW w:w="2488"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_GB2312" w:eastAsia="仿宋_GB2312"/>
                <w:sz w:val="18"/>
                <w:szCs w:val="18"/>
              </w:rPr>
            </w:pPr>
            <w:r>
              <w:rPr>
                <w:rFonts w:hint="eastAsia" w:ascii="仿宋_GB2312" w:eastAsia="仿宋_GB2312"/>
                <w:sz w:val="18"/>
                <w:szCs w:val="18"/>
              </w:rPr>
              <w:t>会计核算平台服务单位数量</w:t>
            </w:r>
          </w:p>
        </w:tc>
        <w:tc>
          <w:tcPr>
            <w:tcW w:w="543"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_GB2312" w:eastAsia="仿宋_GB2312"/>
              </w:rPr>
            </w:pPr>
            <w:r>
              <w:rPr>
                <w:rFonts w:hint="eastAsia" w:ascii="仿宋_GB2312" w:eastAsia="仿宋_GB2312"/>
              </w:rPr>
              <w:t>≥</w:t>
            </w:r>
          </w:p>
        </w:tc>
        <w:tc>
          <w:tcPr>
            <w:tcW w:w="488"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sz w:val="18"/>
                <w:szCs w:val="18"/>
              </w:rPr>
              <w:t>90</w:t>
            </w:r>
          </w:p>
        </w:tc>
        <w:tc>
          <w:tcPr>
            <w:tcW w:w="573"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sz w:val="18"/>
                <w:szCs w:val="18"/>
              </w:rPr>
              <w:t>个</w:t>
            </w:r>
          </w:p>
        </w:tc>
        <w:tc>
          <w:tcPr>
            <w:tcW w:w="127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18"/>
                <w:szCs w:val="18"/>
              </w:rPr>
            </w:pPr>
            <w:r>
              <w:rPr>
                <w:rFonts w:hint="eastAsia" w:ascii="仿宋_GB2312" w:eastAsia="仿宋_GB2312"/>
                <w:sz w:val="18"/>
                <w:szCs w:val="18"/>
              </w:rPr>
              <w:t>《全省会计集中核算平台推广应用实施方案》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628" w:type="dxa"/>
            <w:vMerge w:val="continue"/>
            <w:tcBorders>
              <w:tl2br w:val="nil"/>
              <w:tr2bl w:val="nil"/>
            </w:tcBorders>
            <w:vAlign w:val="center"/>
          </w:tcPr>
          <w:p/>
        </w:tc>
        <w:tc>
          <w:tcPr>
            <w:tcW w:w="992"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color w:val="000000"/>
                <w:sz w:val="18"/>
                <w:szCs w:val="18"/>
              </w:rPr>
              <w:t>质量</w:t>
            </w:r>
          </w:p>
        </w:tc>
        <w:tc>
          <w:tcPr>
            <w:tcW w:w="2377"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华文仿宋" w:hAnsi="华文仿宋" w:eastAsia="华文仿宋"/>
                <w:sz w:val="18"/>
                <w:szCs w:val="18"/>
              </w:rPr>
            </w:pPr>
            <w:r>
              <w:rPr>
                <w:rFonts w:hint="eastAsia" w:ascii="华文仿宋" w:hAnsi="华文仿宋" w:eastAsia="华文仿宋"/>
                <w:sz w:val="18"/>
                <w:szCs w:val="18"/>
              </w:rPr>
              <w:t>上报政府财务报告和政府综合财务报告合格率</w:t>
            </w:r>
          </w:p>
        </w:tc>
        <w:tc>
          <w:tcPr>
            <w:tcW w:w="1167"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sz w:val="18"/>
                <w:szCs w:val="18"/>
              </w:rPr>
              <w:t>5</w:t>
            </w:r>
          </w:p>
        </w:tc>
        <w:tc>
          <w:tcPr>
            <w:tcW w:w="2488"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_GB2312" w:eastAsia="仿宋_GB2312"/>
                <w:sz w:val="18"/>
                <w:szCs w:val="18"/>
              </w:rPr>
            </w:pPr>
            <w:r>
              <w:rPr>
                <w:rFonts w:hint="eastAsia" w:ascii="仿宋_GB2312" w:eastAsia="仿宋_GB2312"/>
                <w:sz w:val="18"/>
                <w:szCs w:val="18"/>
              </w:rPr>
              <w:t>上报政府财务报告和政府综合财务报告合格数量占上报总数量的比例</w:t>
            </w:r>
          </w:p>
        </w:tc>
        <w:tc>
          <w:tcPr>
            <w:tcW w:w="543"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_GB2312" w:eastAsia="仿宋_GB2312"/>
              </w:rPr>
            </w:pPr>
            <w:r>
              <w:rPr>
                <w:rFonts w:hint="eastAsia" w:ascii="仿宋_GB2312" w:eastAsia="仿宋_GB2312"/>
              </w:rPr>
              <w:t>=</w:t>
            </w:r>
          </w:p>
        </w:tc>
        <w:tc>
          <w:tcPr>
            <w:tcW w:w="488"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sz w:val="18"/>
                <w:szCs w:val="18"/>
              </w:rPr>
              <w:t>100</w:t>
            </w:r>
          </w:p>
        </w:tc>
        <w:tc>
          <w:tcPr>
            <w:tcW w:w="573"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sz w:val="18"/>
                <w:szCs w:val="18"/>
              </w:rPr>
              <w:t>%</w:t>
            </w:r>
          </w:p>
        </w:tc>
        <w:tc>
          <w:tcPr>
            <w:tcW w:w="127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18"/>
                <w:szCs w:val="18"/>
              </w:rPr>
            </w:pPr>
            <w:r>
              <w:rPr>
                <w:rFonts w:hint="eastAsia" w:ascii="仿宋_GB2312" w:eastAsia="仿宋_GB2312"/>
                <w:sz w:val="18"/>
                <w:szCs w:val="18"/>
              </w:rPr>
              <w:t>《政府财务报告编制办法（试行）》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628" w:type="dxa"/>
            <w:vMerge w:val="continue"/>
            <w:tcBorders>
              <w:tl2br w:val="nil"/>
              <w:tr2bl w:val="nil"/>
            </w:tcBorders>
            <w:vAlign w:val="center"/>
          </w:tcPr>
          <w:p/>
        </w:tc>
        <w:tc>
          <w:tcPr>
            <w:tcW w:w="992"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color w:val="000000"/>
                <w:sz w:val="18"/>
                <w:szCs w:val="18"/>
              </w:rPr>
              <w:t>质量</w:t>
            </w:r>
          </w:p>
        </w:tc>
        <w:tc>
          <w:tcPr>
            <w:tcW w:w="2377"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华文仿宋" w:hAnsi="华文仿宋" w:eastAsia="华文仿宋"/>
                <w:sz w:val="18"/>
                <w:szCs w:val="18"/>
              </w:rPr>
            </w:pPr>
            <w:r>
              <w:rPr>
                <w:rFonts w:hint="eastAsia" w:ascii="华文仿宋" w:hAnsi="华文仿宋" w:eastAsia="华文仿宋"/>
                <w:sz w:val="18"/>
                <w:szCs w:val="18"/>
              </w:rPr>
              <w:t>会计核算平台使用率</w:t>
            </w:r>
          </w:p>
        </w:tc>
        <w:tc>
          <w:tcPr>
            <w:tcW w:w="1167"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sz w:val="18"/>
                <w:szCs w:val="18"/>
              </w:rPr>
              <w:t>5</w:t>
            </w:r>
          </w:p>
        </w:tc>
        <w:tc>
          <w:tcPr>
            <w:tcW w:w="2488"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_GB2312" w:eastAsia="仿宋_GB2312"/>
                <w:sz w:val="18"/>
                <w:szCs w:val="18"/>
              </w:rPr>
            </w:pPr>
            <w:r>
              <w:rPr>
                <w:rFonts w:hint="eastAsia" w:ascii="仿宋_GB2312" w:eastAsia="仿宋_GB2312"/>
                <w:sz w:val="18"/>
                <w:szCs w:val="18"/>
              </w:rPr>
              <w:t>会计核算平台单位占平台服务总单位的比例</w:t>
            </w:r>
          </w:p>
        </w:tc>
        <w:tc>
          <w:tcPr>
            <w:tcW w:w="543"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_GB2312" w:eastAsia="仿宋_GB2312"/>
              </w:rPr>
            </w:pPr>
            <w:r>
              <w:rPr>
                <w:rFonts w:hint="eastAsia" w:ascii="仿宋_GB2312" w:eastAsia="仿宋_GB2312"/>
              </w:rPr>
              <w:t>≥</w:t>
            </w:r>
          </w:p>
        </w:tc>
        <w:tc>
          <w:tcPr>
            <w:tcW w:w="488"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sz w:val="18"/>
                <w:szCs w:val="18"/>
              </w:rPr>
              <w:t>80</w:t>
            </w:r>
          </w:p>
        </w:tc>
        <w:tc>
          <w:tcPr>
            <w:tcW w:w="573"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sz w:val="18"/>
                <w:szCs w:val="18"/>
              </w:rPr>
              <w:t>%</w:t>
            </w:r>
          </w:p>
        </w:tc>
        <w:tc>
          <w:tcPr>
            <w:tcW w:w="127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18"/>
                <w:szCs w:val="18"/>
              </w:rPr>
            </w:pPr>
            <w:r>
              <w:rPr>
                <w:rFonts w:hint="eastAsia" w:ascii="仿宋_GB2312" w:eastAsia="仿宋_GB2312"/>
                <w:sz w:val="18"/>
                <w:szCs w:val="18"/>
              </w:rPr>
              <w:t>《全省会计集中核算平台推广应用实施方案》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628" w:type="dxa"/>
            <w:vMerge w:val="continue"/>
            <w:tcBorders>
              <w:tl2br w:val="nil"/>
              <w:tr2bl w:val="nil"/>
            </w:tcBorders>
            <w:vAlign w:val="center"/>
          </w:tcPr>
          <w:p/>
        </w:tc>
        <w:tc>
          <w:tcPr>
            <w:tcW w:w="992"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color w:val="000000"/>
                <w:sz w:val="18"/>
                <w:szCs w:val="18"/>
              </w:rPr>
              <w:t>时效</w:t>
            </w:r>
          </w:p>
        </w:tc>
        <w:tc>
          <w:tcPr>
            <w:tcW w:w="2377"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华文仿宋" w:hAnsi="华文仿宋" w:eastAsia="华文仿宋"/>
                <w:sz w:val="18"/>
                <w:szCs w:val="18"/>
              </w:rPr>
            </w:pPr>
            <w:r>
              <w:rPr>
                <w:rFonts w:hint="eastAsia" w:ascii="华文仿宋" w:hAnsi="华文仿宋" w:eastAsia="华文仿宋"/>
                <w:sz w:val="18"/>
                <w:szCs w:val="18"/>
              </w:rPr>
              <w:t>工作完成的及时性</w:t>
            </w:r>
          </w:p>
        </w:tc>
        <w:tc>
          <w:tcPr>
            <w:tcW w:w="1167"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sz w:val="18"/>
                <w:szCs w:val="18"/>
              </w:rPr>
              <w:t>5</w:t>
            </w:r>
          </w:p>
        </w:tc>
        <w:tc>
          <w:tcPr>
            <w:tcW w:w="2488"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_GB2312" w:eastAsia="仿宋_GB2312"/>
                <w:sz w:val="18"/>
                <w:szCs w:val="18"/>
              </w:rPr>
            </w:pPr>
            <w:r>
              <w:rPr>
                <w:rFonts w:hint="eastAsia" w:ascii="仿宋_GB2312" w:eastAsia="仿宋_GB2312"/>
                <w:sz w:val="18"/>
                <w:szCs w:val="18"/>
              </w:rPr>
              <w:t>政府部门财政报告和政府综合财务报告、会计核算平台推广工作完成的及时性</w:t>
            </w:r>
          </w:p>
        </w:tc>
        <w:tc>
          <w:tcPr>
            <w:tcW w:w="543"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_GB2312" w:eastAsia="仿宋_GB2312"/>
              </w:rPr>
            </w:pPr>
            <w:r>
              <w:rPr>
                <w:rFonts w:hint="eastAsia" w:ascii="仿宋_GB2312" w:eastAsia="仿宋_GB2312"/>
              </w:rPr>
              <w:t>及时</w:t>
            </w:r>
          </w:p>
        </w:tc>
        <w:tc>
          <w:tcPr>
            <w:tcW w:w="488" w:type="dxa"/>
            <w:tcBorders>
              <w:tl2br w:val="nil"/>
              <w:tr2bl w:val="nil"/>
            </w:tcBorders>
            <w:vAlign w:val="center"/>
          </w:tcPr>
          <w:p>
            <w:pPr>
              <w:widowControl/>
              <w:adjustRightInd w:val="0"/>
              <w:snapToGrid w:val="0"/>
              <w:jc w:val="center"/>
              <w:rPr>
                <w:rFonts w:ascii="华文仿宋" w:hAnsi="华文仿宋" w:eastAsia="华文仿宋"/>
                <w:sz w:val="18"/>
                <w:szCs w:val="18"/>
              </w:rPr>
            </w:pPr>
          </w:p>
        </w:tc>
        <w:tc>
          <w:tcPr>
            <w:tcW w:w="573" w:type="dxa"/>
            <w:tcBorders>
              <w:tl2br w:val="nil"/>
              <w:tr2bl w:val="nil"/>
            </w:tcBorders>
            <w:vAlign w:val="center"/>
          </w:tcPr>
          <w:p>
            <w:pPr>
              <w:widowControl/>
              <w:adjustRightInd w:val="0"/>
              <w:snapToGrid w:val="0"/>
              <w:jc w:val="center"/>
              <w:rPr>
                <w:rFonts w:ascii="华文仿宋" w:hAnsi="华文仿宋" w:eastAsia="华文仿宋"/>
                <w:sz w:val="18"/>
                <w:szCs w:val="18"/>
              </w:rPr>
            </w:pPr>
          </w:p>
        </w:tc>
        <w:tc>
          <w:tcPr>
            <w:tcW w:w="127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18"/>
                <w:szCs w:val="18"/>
              </w:rPr>
            </w:pPr>
            <w:r>
              <w:rPr>
                <w:rFonts w:hint="eastAsia" w:ascii="仿宋_GB2312" w:eastAsia="仿宋_GB2312"/>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62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仿宋" w:hAnsi="华文仿宋" w:eastAsia="华文仿宋" w:cs="宋体"/>
                <w:color w:val="000000"/>
                <w:kern w:val="0"/>
                <w:sz w:val="18"/>
                <w:szCs w:val="18"/>
              </w:rPr>
            </w:pPr>
            <w:r>
              <w:rPr>
                <w:rFonts w:hint="eastAsia" w:ascii="华文仿宋" w:hAnsi="华文仿宋" w:eastAsia="华文仿宋"/>
                <w:color w:val="000000"/>
                <w:sz w:val="18"/>
                <w:szCs w:val="18"/>
              </w:rPr>
              <w:t>可持续影响</w:t>
            </w:r>
          </w:p>
        </w:tc>
        <w:tc>
          <w:tcPr>
            <w:tcW w:w="2377" w:type="dxa"/>
            <w:tcBorders>
              <w:top w:val="single" w:color="auto" w:sz="4" w:space="0"/>
              <w:left w:val="nil"/>
              <w:bottom w:val="single" w:color="auto" w:sz="4" w:space="0"/>
              <w:right w:val="single" w:color="auto" w:sz="4" w:space="0"/>
            </w:tcBorders>
            <w:shd w:val="clear" w:color="auto" w:fill="auto"/>
            <w:vAlign w:val="center"/>
          </w:tcPr>
          <w:p>
            <w:pPr>
              <w:jc w:val="center"/>
              <w:rPr>
                <w:rFonts w:ascii="华文仿宋" w:hAnsi="华文仿宋" w:eastAsia="华文仿宋"/>
                <w:sz w:val="18"/>
                <w:szCs w:val="18"/>
              </w:rPr>
            </w:pPr>
            <w:r>
              <w:rPr>
                <w:rFonts w:hint="eastAsia" w:ascii="华文仿宋" w:hAnsi="华文仿宋" w:eastAsia="华文仿宋"/>
                <w:sz w:val="18"/>
                <w:szCs w:val="18"/>
              </w:rPr>
              <w:t>建立长期有效的绩效管理机制</w:t>
            </w:r>
          </w:p>
        </w:tc>
        <w:tc>
          <w:tcPr>
            <w:tcW w:w="1167"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sz w:val="18"/>
                <w:szCs w:val="18"/>
              </w:rPr>
              <w:t>5</w:t>
            </w:r>
          </w:p>
        </w:tc>
        <w:tc>
          <w:tcPr>
            <w:tcW w:w="2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仿宋" w:hAnsi="华文仿宋" w:eastAsia="华文仿宋" w:cs="宋体"/>
                <w:kern w:val="0"/>
                <w:sz w:val="18"/>
                <w:szCs w:val="18"/>
              </w:rPr>
            </w:pPr>
            <w:r>
              <w:rPr>
                <w:rFonts w:hint="eastAsia" w:ascii="华文仿宋" w:hAnsi="华文仿宋" w:eastAsia="华文仿宋"/>
                <w:sz w:val="18"/>
                <w:szCs w:val="18"/>
              </w:rPr>
              <w:t>逐步建立长期有效的绩效管理机制</w:t>
            </w:r>
          </w:p>
        </w:tc>
        <w:tc>
          <w:tcPr>
            <w:tcW w:w="543" w:type="dxa"/>
            <w:tcBorders>
              <w:top w:val="single" w:color="auto" w:sz="4" w:space="0"/>
              <w:left w:val="nil"/>
              <w:bottom w:val="single" w:color="auto" w:sz="4" w:space="0"/>
              <w:right w:val="single" w:color="auto" w:sz="4" w:space="0"/>
            </w:tcBorders>
            <w:shd w:val="clear" w:color="auto" w:fill="auto"/>
            <w:vAlign w:val="center"/>
          </w:tcPr>
          <w:p>
            <w:pPr>
              <w:jc w:val="center"/>
              <w:rPr>
                <w:rFonts w:ascii="华文仿宋" w:hAnsi="华文仿宋" w:eastAsia="华文仿宋"/>
                <w:sz w:val="18"/>
                <w:szCs w:val="18"/>
              </w:rPr>
            </w:pPr>
            <w:r>
              <w:rPr>
                <w:rFonts w:hint="eastAsia" w:ascii="华文仿宋" w:hAnsi="华文仿宋" w:eastAsia="华文仿宋"/>
                <w:sz w:val="18"/>
                <w:szCs w:val="18"/>
              </w:rPr>
              <w:t>文字描述</w:t>
            </w:r>
          </w:p>
        </w:tc>
        <w:tc>
          <w:tcPr>
            <w:tcW w:w="488" w:type="dxa"/>
            <w:tcBorders>
              <w:top w:val="single" w:color="auto" w:sz="4" w:space="0"/>
              <w:left w:val="nil"/>
              <w:bottom w:val="single" w:color="auto" w:sz="4" w:space="0"/>
              <w:right w:val="single" w:color="auto" w:sz="4" w:space="0"/>
            </w:tcBorders>
            <w:shd w:val="clear" w:color="auto" w:fill="auto"/>
            <w:vAlign w:val="center"/>
          </w:tcPr>
          <w:p>
            <w:pPr>
              <w:jc w:val="center"/>
              <w:rPr>
                <w:rFonts w:ascii="华文仿宋" w:hAnsi="华文仿宋" w:eastAsia="华文仿宋"/>
                <w:sz w:val="18"/>
                <w:szCs w:val="18"/>
              </w:rPr>
            </w:pPr>
          </w:p>
        </w:tc>
        <w:tc>
          <w:tcPr>
            <w:tcW w:w="573" w:type="dxa"/>
            <w:tcBorders>
              <w:top w:val="single" w:color="auto" w:sz="4" w:space="0"/>
              <w:left w:val="nil"/>
              <w:bottom w:val="single" w:color="auto" w:sz="4" w:space="0"/>
              <w:right w:val="single" w:color="auto" w:sz="4" w:space="0"/>
            </w:tcBorders>
            <w:shd w:val="clear" w:color="auto" w:fill="auto"/>
            <w:vAlign w:val="center"/>
          </w:tcPr>
          <w:p>
            <w:pPr>
              <w:jc w:val="center"/>
              <w:rPr>
                <w:rFonts w:ascii="华文仿宋" w:hAnsi="华文仿宋" w:eastAsia="华文仿宋"/>
                <w:sz w:val="18"/>
                <w:szCs w:val="18"/>
              </w:rPr>
            </w:pPr>
            <w:r>
              <w:rPr>
                <w:rFonts w:hint="eastAsia" w:ascii="华文仿宋" w:hAnsi="华文仿宋" w:eastAsia="华文仿宋"/>
                <w:sz w:val="18"/>
                <w:szCs w:val="18"/>
              </w:rPr>
              <w:t>逐步建立</w:t>
            </w:r>
          </w:p>
        </w:tc>
        <w:tc>
          <w:tcPr>
            <w:tcW w:w="1277" w:type="dxa"/>
            <w:tcBorders>
              <w:top w:val="single" w:color="auto" w:sz="4" w:space="0"/>
              <w:left w:val="nil"/>
              <w:bottom w:val="single" w:color="auto" w:sz="4" w:space="0"/>
              <w:right w:val="single" w:color="auto" w:sz="4" w:space="0"/>
            </w:tcBorders>
            <w:shd w:val="clear" w:color="auto" w:fill="auto"/>
            <w:vAlign w:val="center"/>
          </w:tcPr>
          <w:p>
            <w:pPr>
              <w:jc w:val="center"/>
              <w:rPr>
                <w:rFonts w:ascii="华文仿宋" w:hAnsi="华文仿宋" w:eastAsia="华文仿宋"/>
                <w:color w:val="000000"/>
                <w:sz w:val="18"/>
                <w:szCs w:val="18"/>
              </w:rPr>
            </w:pPr>
            <w:r>
              <w:rPr>
                <w:rFonts w:hint="eastAsia" w:ascii="华文仿宋" w:hAnsi="华文仿宋" w:eastAsia="华文仿宋"/>
                <w:color w:val="000000"/>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628" w:type="dxa"/>
            <w:vMerge w:val="continue"/>
            <w:tcBorders>
              <w:tl2br w:val="nil"/>
              <w:tr2bl w:val="nil"/>
            </w:tcBorders>
            <w:vAlign w:val="center"/>
          </w:tcPr>
          <w:p/>
        </w:tc>
        <w:tc>
          <w:tcPr>
            <w:tcW w:w="992"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华文仿宋" w:hAnsi="华文仿宋" w:eastAsia="华文仿宋" w:cs="宋体"/>
                <w:color w:val="000000"/>
                <w:kern w:val="0"/>
                <w:sz w:val="18"/>
                <w:szCs w:val="18"/>
              </w:rPr>
            </w:pPr>
            <w:r>
              <w:rPr>
                <w:rFonts w:hint="eastAsia" w:ascii="华文仿宋" w:hAnsi="华文仿宋" w:eastAsia="华文仿宋"/>
                <w:color w:val="000000"/>
                <w:sz w:val="18"/>
                <w:szCs w:val="18"/>
              </w:rPr>
              <w:t>可持续影响指标</w:t>
            </w:r>
          </w:p>
        </w:tc>
        <w:tc>
          <w:tcPr>
            <w:tcW w:w="2377" w:type="dxa"/>
            <w:tcBorders>
              <w:top w:val="single" w:color="auto" w:sz="4" w:space="0"/>
              <w:left w:val="nil"/>
              <w:bottom w:val="nil"/>
              <w:right w:val="single" w:color="000000" w:sz="4" w:space="0"/>
            </w:tcBorders>
            <w:shd w:val="clear" w:color="auto" w:fill="auto"/>
            <w:vAlign w:val="center"/>
          </w:tcPr>
          <w:p>
            <w:pPr>
              <w:jc w:val="center"/>
              <w:rPr>
                <w:rFonts w:ascii="华文仿宋" w:hAnsi="华文仿宋" w:eastAsia="华文仿宋"/>
                <w:color w:val="000000"/>
                <w:sz w:val="18"/>
                <w:szCs w:val="18"/>
              </w:rPr>
            </w:pPr>
            <w:r>
              <w:rPr>
                <w:rFonts w:hint="eastAsia" w:ascii="华文仿宋" w:hAnsi="华文仿宋" w:eastAsia="华文仿宋"/>
                <w:color w:val="000000"/>
                <w:sz w:val="18"/>
                <w:szCs w:val="18"/>
              </w:rPr>
              <w:t>加强财政资金管理</w:t>
            </w:r>
          </w:p>
        </w:tc>
        <w:tc>
          <w:tcPr>
            <w:tcW w:w="1167"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sz w:val="18"/>
                <w:szCs w:val="18"/>
              </w:rPr>
              <w:t>5</w:t>
            </w:r>
          </w:p>
        </w:tc>
        <w:tc>
          <w:tcPr>
            <w:tcW w:w="2488" w:type="dxa"/>
            <w:tcBorders>
              <w:top w:val="single" w:color="auto" w:sz="4" w:space="0"/>
              <w:left w:val="single" w:color="auto" w:sz="4" w:space="0"/>
              <w:bottom w:val="nil"/>
              <w:right w:val="single" w:color="000000" w:sz="4" w:space="0"/>
            </w:tcBorders>
            <w:shd w:val="clear" w:color="auto" w:fill="auto"/>
            <w:vAlign w:val="center"/>
          </w:tcPr>
          <w:p>
            <w:pPr>
              <w:widowControl/>
              <w:jc w:val="center"/>
              <w:rPr>
                <w:rFonts w:ascii="华文仿宋" w:hAnsi="华文仿宋" w:eastAsia="华文仿宋" w:cs="宋体"/>
                <w:color w:val="000000"/>
                <w:kern w:val="0"/>
                <w:sz w:val="18"/>
                <w:szCs w:val="18"/>
              </w:rPr>
            </w:pPr>
            <w:r>
              <w:rPr>
                <w:rFonts w:hint="eastAsia" w:ascii="华文仿宋" w:hAnsi="华文仿宋" w:eastAsia="华文仿宋"/>
                <w:color w:val="000000"/>
                <w:sz w:val="18"/>
                <w:szCs w:val="18"/>
              </w:rPr>
              <w:t>提升会计信息质量，加强对财政资金的监管</w:t>
            </w:r>
          </w:p>
        </w:tc>
        <w:tc>
          <w:tcPr>
            <w:tcW w:w="543"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sz w:val="18"/>
                <w:szCs w:val="18"/>
              </w:rPr>
              <w:t>≥</w:t>
            </w:r>
          </w:p>
        </w:tc>
        <w:tc>
          <w:tcPr>
            <w:tcW w:w="488"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sz w:val="18"/>
                <w:szCs w:val="18"/>
              </w:rPr>
              <w:t>10</w:t>
            </w:r>
          </w:p>
        </w:tc>
        <w:tc>
          <w:tcPr>
            <w:tcW w:w="573" w:type="dxa"/>
            <w:tcBorders>
              <w:tl2br w:val="nil"/>
              <w:tr2bl w:val="nil"/>
            </w:tcBorders>
            <w:vAlign w:val="center"/>
          </w:tcPr>
          <w:p>
            <w:pPr>
              <w:widowControl/>
              <w:adjustRightInd w:val="0"/>
              <w:snapToGrid w:val="0"/>
              <w:jc w:val="center"/>
              <w:rPr>
                <w:rFonts w:ascii="华文仿宋" w:hAnsi="华文仿宋" w:eastAsia="华文仿宋"/>
                <w:sz w:val="18"/>
                <w:szCs w:val="18"/>
              </w:rPr>
            </w:pPr>
          </w:p>
        </w:tc>
        <w:tc>
          <w:tcPr>
            <w:tcW w:w="1277"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color w:val="000000"/>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628" w:type="dxa"/>
            <w:vMerge w:val="continue"/>
            <w:tcBorders>
              <w:tl2br w:val="nil"/>
              <w:tr2bl w:val="nil"/>
            </w:tcBorders>
            <w:vAlign w:val="center"/>
          </w:tc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仿宋" w:hAnsi="华文仿宋" w:eastAsia="华文仿宋" w:cs="宋体"/>
                <w:kern w:val="0"/>
                <w:sz w:val="18"/>
                <w:szCs w:val="18"/>
              </w:rPr>
            </w:pPr>
            <w:r>
              <w:rPr>
                <w:rFonts w:hint="eastAsia" w:ascii="华文仿宋" w:hAnsi="华文仿宋" w:eastAsia="华文仿宋"/>
                <w:sz w:val="18"/>
                <w:szCs w:val="18"/>
              </w:rPr>
              <w:t>社会效益</w:t>
            </w:r>
          </w:p>
        </w:tc>
        <w:tc>
          <w:tcPr>
            <w:tcW w:w="2377" w:type="dxa"/>
            <w:tcBorders>
              <w:top w:val="single" w:color="auto" w:sz="4" w:space="0"/>
              <w:left w:val="nil"/>
              <w:bottom w:val="single" w:color="auto" w:sz="4" w:space="0"/>
              <w:right w:val="single" w:color="000000" w:sz="4" w:space="0"/>
            </w:tcBorders>
            <w:shd w:val="clear" w:color="auto" w:fill="auto"/>
            <w:vAlign w:val="center"/>
          </w:tcPr>
          <w:p>
            <w:pPr>
              <w:jc w:val="center"/>
              <w:rPr>
                <w:rFonts w:ascii="华文仿宋" w:hAnsi="华文仿宋" w:eastAsia="华文仿宋"/>
                <w:sz w:val="18"/>
                <w:szCs w:val="18"/>
              </w:rPr>
            </w:pPr>
            <w:r>
              <w:rPr>
                <w:rFonts w:hint="eastAsia" w:ascii="华文仿宋" w:hAnsi="华文仿宋" w:eastAsia="华文仿宋"/>
                <w:sz w:val="18"/>
                <w:szCs w:val="18"/>
              </w:rPr>
              <w:t>全面反映政府财务状态，提升预算单位财务工作效率</w:t>
            </w:r>
          </w:p>
        </w:tc>
        <w:tc>
          <w:tcPr>
            <w:tcW w:w="1167"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sz w:val="18"/>
                <w:szCs w:val="18"/>
              </w:rPr>
              <w:t>5</w:t>
            </w:r>
          </w:p>
        </w:tc>
        <w:tc>
          <w:tcPr>
            <w:tcW w:w="2488"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华文仿宋" w:hAnsi="华文仿宋" w:eastAsia="华文仿宋" w:cs="宋体"/>
                <w:kern w:val="0"/>
                <w:sz w:val="18"/>
                <w:szCs w:val="18"/>
              </w:rPr>
            </w:pPr>
            <w:r>
              <w:rPr>
                <w:rFonts w:hint="eastAsia" w:ascii="华文仿宋" w:hAnsi="华文仿宋" w:eastAsia="华文仿宋"/>
                <w:sz w:val="18"/>
                <w:szCs w:val="18"/>
              </w:rPr>
              <w:t>全面反映政府财务状态，提升预算单位财务工作效率</w:t>
            </w:r>
          </w:p>
        </w:tc>
        <w:tc>
          <w:tcPr>
            <w:tcW w:w="543"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sz w:val="18"/>
                <w:szCs w:val="18"/>
              </w:rPr>
              <w:t>文字描述</w:t>
            </w:r>
          </w:p>
        </w:tc>
        <w:tc>
          <w:tcPr>
            <w:tcW w:w="488" w:type="dxa"/>
            <w:tcBorders>
              <w:tl2br w:val="nil"/>
              <w:tr2bl w:val="nil"/>
            </w:tcBorders>
            <w:vAlign w:val="center"/>
          </w:tcPr>
          <w:p>
            <w:pPr>
              <w:widowControl/>
              <w:adjustRightInd w:val="0"/>
              <w:snapToGrid w:val="0"/>
              <w:jc w:val="center"/>
              <w:rPr>
                <w:rFonts w:ascii="华文仿宋" w:hAnsi="华文仿宋" w:eastAsia="华文仿宋"/>
                <w:sz w:val="18"/>
                <w:szCs w:val="18"/>
              </w:rPr>
            </w:pPr>
          </w:p>
        </w:tc>
        <w:tc>
          <w:tcPr>
            <w:tcW w:w="573"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sz w:val="18"/>
                <w:szCs w:val="18"/>
              </w:rPr>
              <w:t>全面</w:t>
            </w:r>
            <w:r>
              <w:rPr>
                <w:rFonts w:ascii="华文仿宋" w:hAnsi="华文仿宋" w:eastAsia="华文仿宋"/>
                <w:sz w:val="18"/>
                <w:szCs w:val="18"/>
              </w:rPr>
              <w:t>反映</w:t>
            </w:r>
          </w:p>
        </w:tc>
        <w:tc>
          <w:tcPr>
            <w:tcW w:w="1277"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sz w:val="18"/>
                <w:szCs w:val="18"/>
              </w:rPr>
              <w:t>工</w:t>
            </w:r>
            <w:r>
              <w:rPr>
                <w:rFonts w:ascii="华文仿宋" w:hAnsi="华文仿宋" w:eastAsia="华文仿宋"/>
                <w:sz w:val="18"/>
                <w:szCs w:val="18"/>
              </w:rPr>
              <w:t>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628" w:type="dxa"/>
            <w:vMerge w:val="continue"/>
            <w:tcBorders>
              <w:tl2br w:val="nil"/>
              <w:tr2bl w:val="nil"/>
            </w:tcBorders>
            <w:vAlign w:val="center"/>
          </w:tc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仿宋" w:hAnsi="华文仿宋" w:eastAsia="华文仿宋" w:cs="宋体"/>
                <w:kern w:val="0"/>
                <w:sz w:val="18"/>
                <w:szCs w:val="18"/>
              </w:rPr>
            </w:pPr>
            <w:r>
              <w:rPr>
                <w:rFonts w:hint="eastAsia" w:ascii="华文仿宋" w:hAnsi="华文仿宋" w:eastAsia="华文仿宋"/>
                <w:sz w:val="18"/>
                <w:szCs w:val="18"/>
              </w:rPr>
              <w:t>满意度</w:t>
            </w:r>
          </w:p>
        </w:tc>
        <w:tc>
          <w:tcPr>
            <w:tcW w:w="2377" w:type="dxa"/>
            <w:tcBorders>
              <w:top w:val="single" w:color="auto" w:sz="4" w:space="0"/>
              <w:left w:val="nil"/>
              <w:bottom w:val="single" w:color="auto" w:sz="4" w:space="0"/>
              <w:right w:val="single" w:color="000000" w:sz="4" w:space="0"/>
            </w:tcBorders>
            <w:shd w:val="clear" w:color="auto" w:fill="auto"/>
            <w:noWrap/>
            <w:vAlign w:val="center"/>
          </w:tcPr>
          <w:p>
            <w:pPr>
              <w:jc w:val="center"/>
              <w:rPr>
                <w:rFonts w:ascii="华文仿宋" w:hAnsi="华文仿宋" w:eastAsia="华文仿宋"/>
                <w:sz w:val="18"/>
                <w:szCs w:val="18"/>
              </w:rPr>
            </w:pPr>
            <w:r>
              <w:rPr>
                <w:rFonts w:hint="eastAsia" w:ascii="华文仿宋" w:hAnsi="华文仿宋" w:eastAsia="华文仿宋"/>
                <w:sz w:val="18"/>
                <w:szCs w:val="18"/>
              </w:rPr>
              <w:t>预算单位满意度</w:t>
            </w:r>
          </w:p>
        </w:tc>
        <w:tc>
          <w:tcPr>
            <w:tcW w:w="1167" w:type="dxa"/>
            <w:tcBorders>
              <w:tl2br w:val="nil"/>
              <w:tr2bl w:val="nil"/>
            </w:tcBorders>
            <w:noWrap/>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sz w:val="18"/>
                <w:szCs w:val="18"/>
              </w:rPr>
              <w:t>5</w:t>
            </w:r>
          </w:p>
        </w:tc>
        <w:tc>
          <w:tcPr>
            <w:tcW w:w="2488"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华文仿宋" w:hAnsi="华文仿宋" w:eastAsia="华文仿宋" w:cs="宋体"/>
                <w:kern w:val="0"/>
                <w:sz w:val="18"/>
                <w:szCs w:val="18"/>
              </w:rPr>
            </w:pPr>
            <w:r>
              <w:rPr>
                <w:rFonts w:hint="eastAsia" w:ascii="华文仿宋" w:hAnsi="华文仿宋" w:eastAsia="华文仿宋"/>
                <w:sz w:val="18"/>
                <w:szCs w:val="18"/>
              </w:rPr>
              <w:t>预算单位满意人数占服务对象人数的满意度</w:t>
            </w:r>
          </w:p>
        </w:tc>
        <w:tc>
          <w:tcPr>
            <w:tcW w:w="543"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sz w:val="18"/>
                <w:szCs w:val="18"/>
              </w:rPr>
              <w:t>≥</w:t>
            </w:r>
          </w:p>
        </w:tc>
        <w:tc>
          <w:tcPr>
            <w:tcW w:w="488"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sz w:val="18"/>
                <w:szCs w:val="18"/>
              </w:rPr>
              <w:t>80</w:t>
            </w:r>
          </w:p>
        </w:tc>
        <w:tc>
          <w:tcPr>
            <w:tcW w:w="573"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sz w:val="18"/>
                <w:szCs w:val="18"/>
              </w:rPr>
              <w:t>%</w:t>
            </w:r>
          </w:p>
        </w:tc>
        <w:tc>
          <w:tcPr>
            <w:tcW w:w="1277" w:type="dxa"/>
            <w:tcBorders>
              <w:tl2br w:val="nil"/>
              <w:tr2bl w:val="nil"/>
            </w:tcBorders>
            <w:vAlign w:val="center"/>
          </w:tcPr>
          <w:p>
            <w:pPr>
              <w:widowControl/>
              <w:adjustRightInd w:val="0"/>
              <w:snapToGrid w:val="0"/>
              <w:jc w:val="center"/>
              <w:rPr>
                <w:rFonts w:ascii="华文仿宋" w:hAnsi="华文仿宋" w:eastAsia="华文仿宋"/>
                <w:sz w:val="18"/>
                <w:szCs w:val="18"/>
              </w:rPr>
            </w:pPr>
            <w:r>
              <w:rPr>
                <w:rFonts w:hint="eastAsia" w:ascii="华文仿宋" w:hAnsi="华文仿宋" w:eastAsia="华文仿宋"/>
                <w:sz w:val="18"/>
                <w:szCs w:val="18"/>
              </w:rPr>
              <w:t>调查</w:t>
            </w:r>
            <w:r>
              <w:rPr>
                <w:rFonts w:ascii="华文仿宋" w:hAnsi="华文仿宋" w:eastAsia="华文仿宋"/>
                <w:sz w:val="18"/>
                <w:szCs w:val="18"/>
              </w:rPr>
              <w:t>问卷</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会计监督检查事务费</w:t>
      </w:r>
      <w:r>
        <w:rPr>
          <w:rFonts w:ascii="Times New Roman" w:hAnsi="Times New Roman" w:eastAsia="仿宋_GB2312" w:cs="Times New Roman"/>
          <w:sz w:val="28"/>
        </w:rPr>
        <w:t>绩效目标表</w:t>
      </w:r>
      <w:bookmarkStart w:id="1" w:name="_Toc29799657"/>
      <w:bookmarkEnd w:id="1"/>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为切实履行财政部门会计监督职责，加强对财政资金的规范使用，充分发挥会计监督服务宏观调控和财政管理、保障财税政策执行、提升会计信息质量。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rPr>
              <w:t>数量</w:t>
            </w:r>
          </w:p>
        </w:tc>
        <w:tc>
          <w:tcPr>
            <w:tcW w:w="1985" w:type="dxa"/>
            <w:tcBorders>
              <w:top w:val="single" w:color="auto" w:sz="4" w:space="0"/>
              <w:left w:val="nil"/>
              <w:bottom w:val="single" w:color="auto" w:sz="4" w:space="0"/>
              <w:right w:val="single" w:color="000000" w:sz="4" w:space="0"/>
            </w:tcBorders>
            <w:shd w:val="clear" w:color="auto" w:fill="auto"/>
            <w:vAlign w:val="center"/>
          </w:tcPr>
          <w:p>
            <w:pPr>
              <w:jc w:val="left"/>
              <w:rPr>
                <w:rFonts w:ascii="仿宋_GB2312" w:eastAsia="仿宋_GB2312"/>
                <w:color w:val="000000"/>
                <w:sz w:val="22"/>
              </w:rPr>
            </w:pPr>
            <w:r>
              <w:rPr>
                <w:rFonts w:hint="eastAsia" w:ascii="仿宋_GB2312" w:eastAsia="仿宋_GB2312"/>
                <w:color w:val="000000"/>
                <w:sz w:val="22"/>
              </w:rPr>
              <w:t>财政资金项目数</w:t>
            </w:r>
          </w:p>
        </w:tc>
        <w:tc>
          <w:tcPr>
            <w:tcW w:w="3402" w:type="dxa"/>
            <w:tcBorders>
              <w:top w:val="single" w:color="auto" w:sz="4" w:space="0"/>
              <w:left w:val="nil"/>
              <w:bottom w:val="single" w:color="auto" w:sz="4" w:space="0"/>
              <w:right w:val="single" w:color="000000" w:sz="4" w:space="0"/>
            </w:tcBorders>
            <w:shd w:val="clear" w:color="auto" w:fill="auto"/>
            <w:vAlign w:val="center"/>
          </w:tcPr>
          <w:p>
            <w:pPr>
              <w:rPr>
                <w:rFonts w:ascii="仿宋_GB2312" w:eastAsia="仿宋_GB2312"/>
                <w:color w:val="000000"/>
                <w:sz w:val="22"/>
              </w:rPr>
            </w:pPr>
            <w:r>
              <w:rPr>
                <w:rFonts w:hint="eastAsia" w:ascii="仿宋_GB2312" w:eastAsia="仿宋_GB2312"/>
                <w:color w:val="000000"/>
                <w:sz w:val="22"/>
              </w:rPr>
              <w:t>财政资金项目数</w:t>
            </w:r>
          </w:p>
        </w:tc>
        <w:tc>
          <w:tcPr>
            <w:tcW w:w="1843" w:type="dxa"/>
            <w:tcBorders>
              <w:top w:val="single" w:color="auto" w:sz="4" w:space="0"/>
              <w:left w:val="nil"/>
              <w:bottom w:val="single" w:color="auto" w:sz="4" w:space="0"/>
              <w:right w:val="single" w:color="000000" w:sz="4" w:space="0"/>
            </w:tcBorders>
            <w:shd w:val="clear" w:color="auto" w:fill="auto"/>
            <w:vAlign w:val="center"/>
          </w:tcPr>
          <w:p>
            <w:pPr>
              <w:jc w:val="center"/>
              <w:rPr>
                <w:rFonts w:ascii="仿宋_GB2312" w:eastAsia="仿宋_GB2312"/>
                <w:color w:val="000000"/>
                <w:sz w:val="22"/>
              </w:rPr>
            </w:pPr>
            <w:r>
              <w:rPr>
                <w:rFonts w:hint="eastAsia" w:ascii="仿宋_GB2312" w:eastAsia="仿宋_GB2312"/>
                <w:color w:val="000000"/>
                <w:sz w:val="22"/>
              </w:rPr>
              <w:t>≥24个</w:t>
            </w:r>
          </w:p>
        </w:tc>
        <w:tc>
          <w:tcPr>
            <w:tcW w:w="215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color w:val="000000"/>
                <w:sz w:val="22"/>
              </w:rPr>
            </w:pPr>
            <w:r>
              <w:rPr>
                <w:rFonts w:hint="eastAsia" w:ascii="仿宋_GB2312" w:eastAsia="仿宋_GB2312"/>
                <w:color w:val="000000"/>
                <w:sz w:val="2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sz w:val="24"/>
                <w:szCs w:val="24"/>
              </w:rPr>
            </w:pPr>
            <w:r>
              <w:rPr>
                <w:rFonts w:hint="eastAsia" w:ascii="仿宋_GB2312" w:eastAsia="仿宋_GB2312"/>
                <w:color w:val="000000"/>
              </w:rPr>
              <w:t>时效</w:t>
            </w:r>
          </w:p>
        </w:tc>
        <w:tc>
          <w:tcPr>
            <w:tcW w:w="1985" w:type="dxa"/>
            <w:tcBorders>
              <w:top w:val="single" w:color="auto" w:sz="4" w:space="0"/>
              <w:left w:val="nil"/>
              <w:bottom w:val="single" w:color="auto" w:sz="4" w:space="0"/>
              <w:right w:val="single" w:color="000000" w:sz="4" w:space="0"/>
            </w:tcBorders>
            <w:shd w:val="clear" w:color="auto" w:fill="auto"/>
            <w:vAlign w:val="center"/>
          </w:tcPr>
          <w:p>
            <w:pPr>
              <w:jc w:val="left"/>
              <w:rPr>
                <w:rFonts w:ascii="仿宋_GB2312" w:eastAsia="仿宋_GB2312"/>
                <w:color w:val="000000"/>
                <w:sz w:val="22"/>
              </w:rPr>
            </w:pPr>
            <w:r>
              <w:rPr>
                <w:rFonts w:hint="eastAsia" w:ascii="仿宋_GB2312" w:eastAsia="仿宋_GB2312"/>
                <w:color w:val="000000"/>
                <w:sz w:val="22"/>
              </w:rPr>
              <w:t>项目审核结算</w:t>
            </w:r>
          </w:p>
        </w:tc>
        <w:tc>
          <w:tcPr>
            <w:tcW w:w="3402" w:type="dxa"/>
            <w:tcBorders>
              <w:top w:val="single" w:color="auto" w:sz="4" w:space="0"/>
              <w:left w:val="nil"/>
              <w:bottom w:val="single" w:color="auto" w:sz="4" w:space="0"/>
              <w:right w:val="single" w:color="000000" w:sz="4" w:space="0"/>
            </w:tcBorders>
            <w:shd w:val="clear" w:color="auto" w:fill="auto"/>
            <w:vAlign w:val="center"/>
          </w:tcPr>
          <w:p>
            <w:pPr>
              <w:rPr>
                <w:rFonts w:ascii="仿宋_GB2312" w:eastAsia="仿宋_GB2312"/>
                <w:color w:val="000000"/>
                <w:sz w:val="22"/>
              </w:rPr>
            </w:pPr>
            <w:r>
              <w:rPr>
                <w:rFonts w:hint="eastAsia" w:ascii="仿宋_GB2312" w:eastAsia="仿宋_GB2312"/>
                <w:color w:val="000000"/>
                <w:sz w:val="22"/>
              </w:rPr>
              <w:t>出具审计报告后在进行结算</w:t>
            </w:r>
          </w:p>
        </w:tc>
        <w:tc>
          <w:tcPr>
            <w:tcW w:w="1843" w:type="dxa"/>
            <w:tcBorders>
              <w:top w:val="single" w:color="auto" w:sz="4" w:space="0"/>
              <w:left w:val="nil"/>
              <w:bottom w:val="single" w:color="auto" w:sz="4" w:space="0"/>
              <w:right w:val="single" w:color="000000" w:sz="4" w:space="0"/>
            </w:tcBorders>
            <w:shd w:val="clear" w:color="auto" w:fill="auto"/>
            <w:vAlign w:val="center"/>
          </w:tcPr>
          <w:p>
            <w:pPr>
              <w:jc w:val="center"/>
              <w:rPr>
                <w:rFonts w:ascii="仿宋_GB2312" w:eastAsia="仿宋_GB2312"/>
                <w:color w:val="000000"/>
                <w:sz w:val="22"/>
              </w:rPr>
            </w:pPr>
            <w:r>
              <w:rPr>
                <w:rFonts w:hint="eastAsia" w:ascii="仿宋_GB2312" w:eastAsia="仿宋_GB2312"/>
                <w:color w:val="000000"/>
                <w:sz w:val="22"/>
              </w:rPr>
              <w:t>≤1年</w:t>
            </w:r>
          </w:p>
        </w:tc>
        <w:tc>
          <w:tcPr>
            <w:tcW w:w="2155"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22"/>
              </w:rPr>
            </w:pPr>
            <w:r>
              <w:rPr>
                <w:rFonts w:hint="eastAsia" w:ascii="仿宋_GB2312" w:eastAsia="仿宋_GB2312"/>
                <w:color w:val="000000"/>
                <w:sz w:val="2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sz w:val="24"/>
                <w:szCs w:val="24"/>
              </w:rPr>
            </w:pPr>
            <w:r>
              <w:rPr>
                <w:rFonts w:hint="eastAsia" w:ascii="仿宋_GB2312" w:eastAsia="仿宋_GB2312"/>
                <w:color w:val="000000"/>
              </w:rPr>
              <w:t>质量</w:t>
            </w:r>
          </w:p>
        </w:tc>
        <w:tc>
          <w:tcPr>
            <w:tcW w:w="1985" w:type="dxa"/>
            <w:tcBorders>
              <w:top w:val="single" w:color="auto" w:sz="4" w:space="0"/>
              <w:left w:val="nil"/>
              <w:bottom w:val="single" w:color="auto" w:sz="4" w:space="0"/>
              <w:right w:val="single" w:color="000000" w:sz="4" w:space="0"/>
            </w:tcBorders>
            <w:shd w:val="clear" w:color="auto" w:fill="auto"/>
            <w:vAlign w:val="center"/>
          </w:tcPr>
          <w:p>
            <w:pPr>
              <w:jc w:val="left"/>
              <w:rPr>
                <w:rFonts w:ascii="仿宋_GB2312" w:eastAsia="仿宋_GB2312"/>
                <w:color w:val="000000"/>
                <w:sz w:val="22"/>
              </w:rPr>
            </w:pPr>
            <w:r>
              <w:rPr>
                <w:rFonts w:hint="eastAsia" w:ascii="仿宋_GB2312" w:eastAsia="仿宋_GB2312"/>
                <w:color w:val="000000"/>
                <w:sz w:val="22"/>
              </w:rPr>
              <w:t>对财政资金各项目检查</w:t>
            </w:r>
          </w:p>
        </w:tc>
        <w:tc>
          <w:tcPr>
            <w:tcW w:w="3402" w:type="dxa"/>
            <w:tcBorders>
              <w:top w:val="single" w:color="auto" w:sz="4" w:space="0"/>
              <w:left w:val="nil"/>
              <w:bottom w:val="single" w:color="auto" w:sz="4" w:space="0"/>
              <w:right w:val="single" w:color="000000" w:sz="4" w:space="0"/>
            </w:tcBorders>
            <w:shd w:val="clear" w:color="auto" w:fill="auto"/>
            <w:vAlign w:val="center"/>
          </w:tcPr>
          <w:p>
            <w:pPr>
              <w:rPr>
                <w:rFonts w:ascii="仿宋_GB2312" w:eastAsia="仿宋_GB2312"/>
                <w:color w:val="000000"/>
                <w:sz w:val="22"/>
              </w:rPr>
            </w:pPr>
            <w:r>
              <w:rPr>
                <w:rFonts w:hint="eastAsia" w:ascii="仿宋_GB2312" w:eastAsia="仿宋_GB2312"/>
                <w:color w:val="000000"/>
                <w:sz w:val="22"/>
              </w:rPr>
              <w:t>对财政资金项目、会计信息质量进行检查</w:t>
            </w:r>
          </w:p>
        </w:tc>
        <w:tc>
          <w:tcPr>
            <w:tcW w:w="1843" w:type="dxa"/>
            <w:tcBorders>
              <w:top w:val="single" w:color="auto" w:sz="4" w:space="0"/>
              <w:left w:val="nil"/>
              <w:bottom w:val="single" w:color="auto" w:sz="4" w:space="0"/>
              <w:right w:val="single" w:color="000000" w:sz="4" w:space="0"/>
            </w:tcBorders>
            <w:shd w:val="clear" w:color="auto" w:fill="auto"/>
            <w:vAlign w:val="center"/>
          </w:tcPr>
          <w:p>
            <w:pPr>
              <w:jc w:val="center"/>
              <w:rPr>
                <w:rFonts w:ascii="仿宋_GB2312" w:eastAsia="仿宋_GB2312"/>
                <w:color w:val="000000"/>
                <w:sz w:val="22"/>
              </w:rPr>
            </w:pPr>
            <w:r>
              <w:rPr>
                <w:rFonts w:hint="eastAsia" w:ascii="仿宋_GB2312" w:eastAsia="仿宋_GB2312"/>
                <w:color w:val="000000"/>
                <w:sz w:val="22"/>
              </w:rPr>
              <w:t>≥24个</w:t>
            </w:r>
          </w:p>
        </w:tc>
        <w:tc>
          <w:tcPr>
            <w:tcW w:w="2155"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22"/>
              </w:rPr>
            </w:pPr>
            <w:r>
              <w:rPr>
                <w:rFonts w:hint="eastAsia" w:ascii="仿宋_GB2312" w:eastAsia="仿宋_GB2312"/>
                <w:color w:val="000000"/>
                <w:sz w:val="2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sz w:val="24"/>
                <w:szCs w:val="24"/>
              </w:rPr>
            </w:pPr>
            <w:r>
              <w:rPr>
                <w:rFonts w:hint="eastAsia" w:ascii="仿宋_GB2312" w:eastAsia="仿宋_GB2312"/>
                <w:color w:val="000000"/>
              </w:rPr>
              <w:t>成本</w:t>
            </w:r>
          </w:p>
        </w:tc>
        <w:tc>
          <w:tcPr>
            <w:tcW w:w="1985" w:type="dxa"/>
            <w:tcBorders>
              <w:top w:val="single" w:color="auto" w:sz="4" w:space="0"/>
              <w:left w:val="nil"/>
              <w:bottom w:val="single" w:color="auto" w:sz="4" w:space="0"/>
              <w:right w:val="single" w:color="000000" w:sz="4" w:space="0"/>
            </w:tcBorders>
            <w:shd w:val="clear" w:color="auto" w:fill="auto"/>
            <w:vAlign w:val="center"/>
          </w:tcPr>
          <w:p>
            <w:pPr>
              <w:jc w:val="left"/>
              <w:rPr>
                <w:rFonts w:ascii="仿宋_GB2312" w:eastAsia="仿宋_GB2312"/>
                <w:color w:val="000000"/>
                <w:sz w:val="22"/>
              </w:rPr>
            </w:pPr>
            <w:r>
              <w:rPr>
                <w:rFonts w:hint="eastAsia" w:ascii="仿宋_GB2312" w:eastAsia="仿宋_GB2312"/>
                <w:color w:val="000000"/>
                <w:sz w:val="22"/>
              </w:rPr>
              <w:t>预算成本</w:t>
            </w:r>
          </w:p>
        </w:tc>
        <w:tc>
          <w:tcPr>
            <w:tcW w:w="3402" w:type="dxa"/>
            <w:tcBorders>
              <w:top w:val="single" w:color="auto" w:sz="4" w:space="0"/>
              <w:left w:val="nil"/>
              <w:bottom w:val="single" w:color="auto" w:sz="4" w:space="0"/>
              <w:right w:val="single" w:color="000000" w:sz="4" w:space="0"/>
            </w:tcBorders>
            <w:shd w:val="clear" w:color="auto" w:fill="auto"/>
            <w:vAlign w:val="center"/>
          </w:tcPr>
          <w:p>
            <w:pPr>
              <w:rPr>
                <w:rFonts w:ascii="仿宋_GB2312" w:eastAsia="仿宋_GB2312"/>
                <w:color w:val="000000"/>
                <w:sz w:val="22"/>
              </w:rPr>
            </w:pPr>
            <w:r>
              <w:rPr>
                <w:rFonts w:hint="eastAsia" w:ascii="仿宋_GB2312" w:eastAsia="仿宋_GB2312"/>
                <w:color w:val="000000"/>
                <w:sz w:val="22"/>
              </w:rPr>
              <w:t>开展此项工作所需资金成本</w:t>
            </w:r>
          </w:p>
        </w:tc>
        <w:tc>
          <w:tcPr>
            <w:tcW w:w="1843" w:type="dxa"/>
            <w:tcBorders>
              <w:top w:val="single" w:color="auto" w:sz="4" w:space="0"/>
              <w:left w:val="nil"/>
              <w:bottom w:val="single" w:color="auto" w:sz="4" w:space="0"/>
              <w:right w:val="single" w:color="000000" w:sz="4" w:space="0"/>
            </w:tcBorders>
            <w:shd w:val="clear" w:color="auto" w:fill="auto"/>
            <w:vAlign w:val="center"/>
          </w:tcPr>
          <w:p>
            <w:pPr>
              <w:jc w:val="center"/>
              <w:rPr>
                <w:rFonts w:ascii="仿宋_GB2312" w:eastAsia="仿宋_GB2312"/>
                <w:color w:val="000000"/>
                <w:sz w:val="22"/>
              </w:rPr>
            </w:pPr>
            <w:r>
              <w:rPr>
                <w:rFonts w:hint="eastAsia" w:ascii="仿宋_GB2312" w:eastAsia="仿宋_GB2312"/>
                <w:color w:val="000000"/>
                <w:sz w:val="22"/>
              </w:rPr>
              <w:t>＝72.3万元</w:t>
            </w:r>
          </w:p>
        </w:tc>
        <w:tc>
          <w:tcPr>
            <w:tcW w:w="2155"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22"/>
              </w:rPr>
            </w:pPr>
            <w:r>
              <w:rPr>
                <w:rFonts w:hint="eastAsia" w:ascii="仿宋_GB2312" w:eastAsia="仿宋_GB2312"/>
                <w:color w:val="000000"/>
                <w:sz w:val="2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rPr>
              <w:t>可持续影响指标</w:t>
            </w:r>
          </w:p>
        </w:tc>
        <w:tc>
          <w:tcPr>
            <w:tcW w:w="1985" w:type="dxa"/>
            <w:tcBorders>
              <w:top w:val="single" w:color="auto" w:sz="4" w:space="0"/>
              <w:left w:val="nil"/>
              <w:bottom w:val="nil"/>
              <w:right w:val="single" w:color="000000" w:sz="4" w:space="0"/>
            </w:tcBorders>
            <w:shd w:val="clear" w:color="auto" w:fill="auto"/>
            <w:vAlign w:val="center"/>
          </w:tcPr>
          <w:p>
            <w:pPr>
              <w:jc w:val="left"/>
              <w:rPr>
                <w:rFonts w:ascii="仿宋_GB2312" w:eastAsia="仿宋_GB2312"/>
                <w:color w:val="000000"/>
                <w:sz w:val="22"/>
              </w:rPr>
            </w:pPr>
            <w:r>
              <w:rPr>
                <w:rFonts w:hint="eastAsia" w:ascii="仿宋_GB2312" w:eastAsia="仿宋_GB2312"/>
                <w:color w:val="000000"/>
                <w:sz w:val="22"/>
              </w:rPr>
              <w:t>加强财政资金管理</w:t>
            </w:r>
          </w:p>
        </w:tc>
        <w:tc>
          <w:tcPr>
            <w:tcW w:w="3402" w:type="dxa"/>
            <w:tcBorders>
              <w:top w:val="single" w:color="auto" w:sz="4" w:space="0"/>
              <w:left w:val="nil"/>
              <w:bottom w:val="nil"/>
              <w:right w:val="single" w:color="000000" w:sz="4" w:space="0"/>
            </w:tcBorders>
            <w:shd w:val="clear" w:color="auto" w:fill="auto"/>
            <w:vAlign w:val="center"/>
          </w:tcPr>
          <w:p>
            <w:pPr>
              <w:rPr>
                <w:rFonts w:ascii="仿宋_GB2312" w:eastAsia="仿宋_GB2312"/>
                <w:color w:val="000000"/>
                <w:sz w:val="22"/>
              </w:rPr>
            </w:pPr>
            <w:r>
              <w:rPr>
                <w:rFonts w:hint="eastAsia" w:ascii="仿宋_GB2312" w:eastAsia="仿宋_GB2312"/>
                <w:color w:val="000000"/>
                <w:sz w:val="22"/>
              </w:rPr>
              <w:t>提升会计信息质量，加强对财政资金的监管</w:t>
            </w:r>
          </w:p>
        </w:tc>
        <w:tc>
          <w:tcPr>
            <w:tcW w:w="1843" w:type="dxa"/>
            <w:tcBorders>
              <w:top w:val="single" w:color="auto" w:sz="4" w:space="0"/>
              <w:left w:val="nil"/>
              <w:bottom w:val="nil"/>
              <w:right w:val="single" w:color="000000" w:sz="4" w:space="0"/>
            </w:tcBorders>
            <w:shd w:val="clear" w:color="auto" w:fill="auto"/>
            <w:vAlign w:val="center"/>
          </w:tcPr>
          <w:p>
            <w:pPr>
              <w:jc w:val="center"/>
              <w:rPr>
                <w:rFonts w:ascii="仿宋_GB2312" w:eastAsia="仿宋_GB2312"/>
                <w:color w:val="000000"/>
                <w:sz w:val="22"/>
              </w:rPr>
            </w:pPr>
            <w:r>
              <w:rPr>
                <w:rFonts w:hint="eastAsia" w:ascii="仿宋_GB2312" w:eastAsia="仿宋_GB2312"/>
                <w:color w:val="000000"/>
                <w:sz w:val="22"/>
              </w:rPr>
              <w:t>≥10个</w:t>
            </w:r>
          </w:p>
        </w:tc>
        <w:tc>
          <w:tcPr>
            <w:tcW w:w="2155" w:type="dxa"/>
            <w:tcBorders>
              <w:top w:val="single" w:color="auto" w:sz="4" w:space="0"/>
              <w:left w:val="nil"/>
              <w:bottom w:val="nil"/>
              <w:right w:val="single" w:color="auto" w:sz="4" w:space="0"/>
            </w:tcBorders>
            <w:shd w:val="clear" w:color="auto" w:fill="auto"/>
            <w:vAlign w:val="center"/>
          </w:tcPr>
          <w:p>
            <w:pPr>
              <w:jc w:val="center"/>
              <w:rPr>
                <w:rFonts w:ascii="仿宋_GB2312" w:eastAsia="仿宋_GB2312"/>
                <w:color w:val="000000"/>
                <w:sz w:val="22"/>
              </w:rPr>
            </w:pPr>
            <w:r>
              <w:rPr>
                <w:rFonts w:hint="eastAsia" w:ascii="仿宋_GB2312" w:eastAsia="仿宋_GB2312"/>
                <w:color w:val="000000"/>
                <w:sz w:val="2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rPr>
              <w:t>满意度指标</w:t>
            </w:r>
          </w:p>
        </w:tc>
        <w:tc>
          <w:tcPr>
            <w:tcW w:w="1985" w:type="dxa"/>
            <w:tcBorders>
              <w:top w:val="single" w:color="auto" w:sz="4" w:space="0"/>
              <w:left w:val="nil"/>
              <w:bottom w:val="single" w:color="auto" w:sz="4" w:space="0"/>
              <w:right w:val="single" w:color="000000" w:sz="4" w:space="0"/>
            </w:tcBorders>
            <w:shd w:val="clear" w:color="auto" w:fill="auto"/>
            <w:vAlign w:val="center"/>
          </w:tcPr>
          <w:p>
            <w:pPr>
              <w:jc w:val="left"/>
              <w:rPr>
                <w:rFonts w:ascii="仿宋_GB2312" w:eastAsia="仿宋_GB2312"/>
                <w:color w:val="000000"/>
                <w:sz w:val="22"/>
              </w:rPr>
            </w:pPr>
            <w:r>
              <w:rPr>
                <w:rFonts w:hint="eastAsia" w:ascii="仿宋_GB2312" w:eastAsia="仿宋_GB2312"/>
                <w:color w:val="000000"/>
                <w:sz w:val="22"/>
              </w:rPr>
              <w:t>对象满意度</w:t>
            </w:r>
          </w:p>
        </w:tc>
        <w:tc>
          <w:tcPr>
            <w:tcW w:w="3402" w:type="dxa"/>
            <w:tcBorders>
              <w:top w:val="single" w:color="auto" w:sz="4" w:space="0"/>
              <w:left w:val="nil"/>
              <w:bottom w:val="single" w:color="auto" w:sz="4" w:space="0"/>
              <w:right w:val="single" w:color="000000" w:sz="4" w:space="0"/>
            </w:tcBorders>
            <w:shd w:val="clear" w:color="auto" w:fill="auto"/>
            <w:vAlign w:val="center"/>
          </w:tcPr>
          <w:p>
            <w:pPr>
              <w:rPr>
                <w:rFonts w:ascii="仿宋_GB2312" w:eastAsia="仿宋_GB2312"/>
                <w:color w:val="000000"/>
                <w:sz w:val="22"/>
              </w:rPr>
            </w:pPr>
            <w:r>
              <w:rPr>
                <w:rFonts w:hint="eastAsia" w:ascii="仿宋_GB2312" w:eastAsia="仿宋_GB2312"/>
                <w:color w:val="000000"/>
                <w:sz w:val="22"/>
              </w:rPr>
              <w:t>调查被检查对象的满意度</w:t>
            </w:r>
          </w:p>
        </w:tc>
        <w:tc>
          <w:tcPr>
            <w:tcW w:w="1843" w:type="dxa"/>
            <w:tcBorders>
              <w:top w:val="single" w:color="auto" w:sz="4" w:space="0"/>
              <w:left w:val="nil"/>
              <w:bottom w:val="single" w:color="auto" w:sz="4" w:space="0"/>
              <w:right w:val="single" w:color="000000" w:sz="4" w:space="0"/>
            </w:tcBorders>
            <w:shd w:val="clear" w:color="auto" w:fill="auto"/>
            <w:vAlign w:val="center"/>
          </w:tcPr>
          <w:p>
            <w:pPr>
              <w:jc w:val="center"/>
              <w:rPr>
                <w:rFonts w:ascii="仿宋_GB2312" w:eastAsia="仿宋_GB2312"/>
                <w:color w:val="000000"/>
                <w:sz w:val="22"/>
              </w:rPr>
            </w:pPr>
            <w:r>
              <w:rPr>
                <w:rFonts w:hint="eastAsia" w:ascii="仿宋_GB2312" w:eastAsia="仿宋_GB2312"/>
                <w:color w:val="000000"/>
                <w:sz w:val="22"/>
              </w:rPr>
              <w:t>≥90%</w:t>
            </w:r>
          </w:p>
        </w:tc>
        <w:tc>
          <w:tcPr>
            <w:tcW w:w="215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color w:val="000000"/>
                <w:sz w:val="22"/>
              </w:rPr>
            </w:pPr>
            <w:r>
              <w:rPr>
                <w:rFonts w:hint="eastAsia" w:ascii="仿宋_GB2312" w:eastAsia="仿宋_GB2312"/>
                <w:color w:val="000000"/>
                <w:sz w:val="22"/>
              </w:rPr>
              <w:t>工作计划</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国库电子化支付系统维护经费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按照相关规定编制政府部门财务报告、政府综合财务报告，推广应用会计核算平台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eastAsia="仿宋_GB2312"/>
              </w:rPr>
              <w:t>数量</w:t>
            </w:r>
          </w:p>
        </w:tc>
        <w:tc>
          <w:tcPr>
            <w:tcW w:w="1985" w:type="dxa"/>
            <w:tcBorders>
              <w:top w:val="single" w:color="auto" w:sz="4" w:space="0"/>
              <w:left w:val="nil"/>
              <w:bottom w:val="single" w:color="auto" w:sz="4" w:space="0"/>
              <w:right w:val="single" w:color="000000" w:sz="4" w:space="0"/>
            </w:tcBorders>
            <w:shd w:val="clear" w:color="auto" w:fill="auto"/>
            <w:vAlign w:val="center"/>
          </w:tcPr>
          <w:p>
            <w:pPr>
              <w:jc w:val="center"/>
              <w:rPr>
                <w:rFonts w:ascii="仿宋_GB2312" w:eastAsia="仿宋_GB2312"/>
                <w:sz w:val="20"/>
                <w:szCs w:val="20"/>
              </w:rPr>
            </w:pPr>
            <w:r>
              <w:rPr>
                <w:rFonts w:hint="eastAsia" w:ascii="仿宋_GB2312" w:eastAsia="仿宋_GB2312"/>
                <w:sz w:val="20"/>
                <w:szCs w:val="20"/>
              </w:rPr>
              <w:t>上报政府部门财政报告和政府综合财务报告</w:t>
            </w:r>
          </w:p>
        </w:tc>
        <w:tc>
          <w:tcPr>
            <w:tcW w:w="3402" w:type="dxa"/>
            <w:tcBorders>
              <w:top w:val="single" w:color="auto" w:sz="4" w:space="0"/>
              <w:left w:val="nil"/>
              <w:bottom w:val="single" w:color="auto" w:sz="4" w:space="0"/>
              <w:right w:val="single" w:color="000000" w:sz="4" w:space="0"/>
            </w:tcBorders>
            <w:shd w:val="clear" w:color="auto" w:fill="auto"/>
            <w:vAlign w:val="center"/>
          </w:tcPr>
          <w:p>
            <w:pPr>
              <w:jc w:val="center"/>
              <w:rPr>
                <w:rFonts w:ascii="仿宋_GB2312" w:eastAsia="仿宋_GB2312"/>
                <w:sz w:val="18"/>
                <w:szCs w:val="18"/>
              </w:rPr>
            </w:pPr>
            <w:r>
              <w:rPr>
                <w:rFonts w:hint="eastAsia" w:ascii="仿宋_GB2312" w:eastAsia="仿宋_GB2312"/>
                <w:sz w:val="18"/>
                <w:szCs w:val="18"/>
              </w:rPr>
              <w:t>全区所有预算部门、单位政府部门财务报告及政府综合财务报告编制</w:t>
            </w:r>
          </w:p>
        </w:tc>
        <w:tc>
          <w:tcPr>
            <w:tcW w:w="1843" w:type="dxa"/>
            <w:tcBorders>
              <w:top w:val="single" w:color="auto" w:sz="4" w:space="0"/>
              <w:left w:val="nil"/>
              <w:bottom w:val="single" w:color="auto" w:sz="4" w:space="0"/>
              <w:right w:val="single" w:color="000000" w:sz="4" w:space="0"/>
            </w:tcBorders>
            <w:shd w:val="clear" w:color="auto" w:fill="auto"/>
            <w:vAlign w:val="center"/>
          </w:tcPr>
          <w:p>
            <w:pPr>
              <w:jc w:val="center"/>
              <w:rPr>
                <w:rFonts w:ascii="仿宋_GB2312" w:eastAsia="仿宋_GB2312"/>
                <w:sz w:val="24"/>
                <w:szCs w:val="24"/>
              </w:rPr>
            </w:pPr>
            <w:r>
              <w:rPr>
                <w:rFonts w:hint="eastAsia" w:ascii="仿宋_GB2312" w:eastAsia="仿宋_GB2312"/>
              </w:rPr>
              <w:t>≥100个</w:t>
            </w:r>
          </w:p>
        </w:tc>
        <w:tc>
          <w:tcPr>
            <w:tcW w:w="215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sz w:val="18"/>
                <w:szCs w:val="18"/>
              </w:rPr>
            </w:pPr>
            <w:r>
              <w:rPr>
                <w:rFonts w:hint="eastAsia" w:ascii="仿宋_GB2312" w:eastAsia="仿宋_GB2312"/>
                <w:sz w:val="18"/>
                <w:szCs w:val="18"/>
              </w:rPr>
              <w:t>《政府财务报告编制办法（试行）》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vMerge w:val="continue"/>
            <w:tcBorders>
              <w:left w:val="single" w:color="auto" w:sz="4" w:space="0"/>
              <w:bottom w:val="single" w:color="000000" w:sz="4" w:space="0"/>
              <w:right w:val="single" w:color="auto" w:sz="4" w:space="0"/>
            </w:tcBorders>
            <w:vAlign w:val="center"/>
          </w:tcPr>
          <w:p>
            <w:pPr>
              <w:rPr>
                <w:rFonts w:ascii="仿宋_GB2312" w:hAnsi="宋体" w:eastAsia="仿宋_GB2312" w:cs="宋体"/>
                <w:sz w:val="24"/>
                <w:szCs w:val="24"/>
              </w:rPr>
            </w:pPr>
          </w:p>
        </w:tc>
        <w:tc>
          <w:tcPr>
            <w:tcW w:w="1985" w:type="dxa"/>
            <w:tcBorders>
              <w:top w:val="single" w:color="auto" w:sz="4" w:space="0"/>
              <w:left w:val="nil"/>
              <w:bottom w:val="single" w:color="auto" w:sz="4" w:space="0"/>
              <w:right w:val="single" w:color="000000" w:sz="4" w:space="0"/>
            </w:tcBorders>
            <w:shd w:val="clear" w:color="auto" w:fill="auto"/>
            <w:vAlign w:val="center"/>
          </w:tcPr>
          <w:p>
            <w:pPr>
              <w:jc w:val="center"/>
              <w:rPr>
                <w:rFonts w:ascii="仿宋_GB2312" w:eastAsia="仿宋_GB2312"/>
                <w:sz w:val="20"/>
                <w:szCs w:val="20"/>
              </w:rPr>
            </w:pPr>
            <w:r>
              <w:rPr>
                <w:rFonts w:hint="eastAsia" w:ascii="仿宋_GB2312" w:eastAsia="仿宋_GB2312"/>
                <w:sz w:val="20"/>
                <w:szCs w:val="20"/>
              </w:rPr>
              <w:t>会计核算平台服务单位数量</w:t>
            </w:r>
          </w:p>
        </w:tc>
        <w:tc>
          <w:tcPr>
            <w:tcW w:w="3402" w:type="dxa"/>
            <w:tcBorders>
              <w:top w:val="single" w:color="auto" w:sz="4" w:space="0"/>
              <w:left w:val="nil"/>
              <w:bottom w:val="single" w:color="auto" w:sz="4" w:space="0"/>
              <w:right w:val="single" w:color="000000" w:sz="4" w:space="0"/>
            </w:tcBorders>
            <w:shd w:val="clear" w:color="auto" w:fill="auto"/>
            <w:vAlign w:val="center"/>
          </w:tcPr>
          <w:p>
            <w:pPr>
              <w:jc w:val="center"/>
              <w:rPr>
                <w:rFonts w:ascii="仿宋_GB2312" w:eastAsia="仿宋_GB2312"/>
                <w:sz w:val="18"/>
                <w:szCs w:val="18"/>
              </w:rPr>
            </w:pPr>
            <w:r>
              <w:rPr>
                <w:rFonts w:hint="eastAsia" w:ascii="仿宋_GB2312" w:eastAsia="仿宋_GB2312"/>
                <w:sz w:val="18"/>
                <w:szCs w:val="18"/>
              </w:rPr>
              <w:t>会计核算平台服务单位数量</w:t>
            </w:r>
          </w:p>
        </w:tc>
        <w:tc>
          <w:tcPr>
            <w:tcW w:w="1843" w:type="dxa"/>
            <w:tcBorders>
              <w:top w:val="single" w:color="auto" w:sz="4" w:space="0"/>
              <w:left w:val="nil"/>
              <w:bottom w:val="single" w:color="auto" w:sz="4" w:space="0"/>
              <w:right w:val="single" w:color="000000" w:sz="4" w:space="0"/>
            </w:tcBorders>
            <w:shd w:val="clear" w:color="auto" w:fill="auto"/>
            <w:vAlign w:val="center"/>
          </w:tcPr>
          <w:p>
            <w:pPr>
              <w:jc w:val="center"/>
              <w:rPr>
                <w:rFonts w:ascii="仿宋_GB2312" w:eastAsia="仿宋_GB2312"/>
                <w:sz w:val="24"/>
                <w:szCs w:val="24"/>
              </w:rPr>
            </w:pPr>
            <w:r>
              <w:rPr>
                <w:rFonts w:hint="eastAsia" w:ascii="仿宋_GB2312" w:eastAsia="仿宋_GB2312"/>
              </w:rPr>
              <w:t>≥90个</w:t>
            </w:r>
          </w:p>
        </w:tc>
        <w:tc>
          <w:tcPr>
            <w:tcW w:w="2155"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18"/>
                <w:szCs w:val="18"/>
              </w:rPr>
            </w:pPr>
            <w:r>
              <w:rPr>
                <w:rFonts w:hint="eastAsia" w:ascii="仿宋_GB2312" w:eastAsia="仿宋_GB2312"/>
                <w:sz w:val="18"/>
                <w:szCs w:val="18"/>
              </w:rPr>
              <w:t>《全省会计集中核算平台推广应用实施方案》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eastAsia="仿宋_GB2312"/>
              </w:rPr>
              <w:t>质量</w:t>
            </w:r>
          </w:p>
        </w:tc>
        <w:tc>
          <w:tcPr>
            <w:tcW w:w="1985" w:type="dxa"/>
            <w:tcBorders>
              <w:top w:val="single" w:color="auto" w:sz="4" w:space="0"/>
              <w:left w:val="nil"/>
              <w:bottom w:val="single" w:color="auto" w:sz="4" w:space="0"/>
              <w:right w:val="single" w:color="000000" w:sz="4" w:space="0"/>
            </w:tcBorders>
            <w:shd w:val="clear" w:color="auto" w:fill="auto"/>
            <w:vAlign w:val="center"/>
          </w:tcPr>
          <w:p>
            <w:pPr>
              <w:jc w:val="center"/>
              <w:rPr>
                <w:rFonts w:ascii="仿宋_GB2312" w:eastAsia="仿宋_GB2312"/>
                <w:sz w:val="20"/>
                <w:szCs w:val="20"/>
              </w:rPr>
            </w:pPr>
            <w:r>
              <w:rPr>
                <w:rFonts w:hint="eastAsia" w:ascii="仿宋_GB2312" w:eastAsia="仿宋_GB2312"/>
                <w:sz w:val="20"/>
                <w:szCs w:val="20"/>
              </w:rPr>
              <w:t>上报政府财务报告和政府综合财务报告合格率</w:t>
            </w:r>
          </w:p>
        </w:tc>
        <w:tc>
          <w:tcPr>
            <w:tcW w:w="3402" w:type="dxa"/>
            <w:tcBorders>
              <w:top w:val="single" w:color="auto" w:sz="4" w:space="0"/>
              <w:left w:val="nil"/>
              <w:bottom w:val="single" w:color="auto" w:sz="4" w:space="0"/>
              <w:right w:val="single" w:color="000000" w:sz="4" w:space="0"/>
            </w:tcBorders>
            <w:shd w:val="clear" w:color="auto" w:fill="auto"/>
            <w:vAlign w:val="center"/>
          </w:tcPr>
          <w:p>
            <w:pPr>
              <w:jc w:val="center"/>
              <w:rPr>
                <w:rFonts w:ascii="仿宋_GB2312" w:eastAsia="仿宋_GB2312"/>
                <w:sz w:val="18"/>
                <w:szCs w:val="18"/>
              </w:rPr>
            </w:pPr>
            <w:r>
              <w:rPr>
                <w:rFonts w:hint="eastAsia" w:ascii="仿宋_GB2312" w:eastAsia="仿宋_GB2312"/>
                <w:sz w:val="18"/>
                <w:szCs w:val="18"/>
              </w:rPr>
              <w:t>上报政府财务报告和政府综合财务报告合格数量占上报总数量的比例</w:t>
            </w:r>
          </w:p>
        </w:tc>
        <w:tc>
          <w:tcPr>
            <w:tcW w:w="1843" w:type="dxa"/>
            <w:tcBorders>
              <w:top w:val="single" w:color="auto" w:sz="4" w:space="0"/>
              <w:left w:val="nil"/>
              <w:bottom w:val="single" w:color="auto" w:sz="4" w:space="0"/>
              <w:right w:val="single" w:color="000000" w:sz="4" w:space="0"/>
            </w:tcBorders>
            <w:shd w:val="clear" w:color="auto" w:fill="auto"/>
            <w:vAlign w:val="center"/>
          </w:tcPr>
          <w:p>
            <w:pPr>
              <w:jc w:val="center"/>
              <w:rPr>
                <w:rFonts w:ascii="仿宋_GB2312" w:eastAsia="仿宋_GB2312"/>
                <w:sz w:val="24"/>
                <w:szCs w:val="24"/>
              </w:rPr>
            </w:pPr>
            <w:r>
              <w:rPr>
                <w:rFonts w:hint="eastAsia" w:ascii="仿宋_GB2312" w:eastAsia="仿宋_GB2312"/>
              </w:rPr>
              <w:t>=100%</w:t>
            </w:r>
          </w:p>
        </w:tc>
        <w:tc>
          <w:tcPr>
            <w:tcW w:w="215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sz w:val="18"/>
                <w:szCs w:val="18"/>
              </w:rPr>
            </w:pPr>
            <w:r>
              <w:rPr>
                <w:rFonts w:hint="eastAsia" w:ascii="仿宋_GB2312" w:eastAsia="仿宋_GB2312"/>
                <w:sz w:val="18"/>
                <w:szCs w:val="18"/>
              </w:rPr>
              <w:t>《政府财务报告编制办法（试行）》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vMerge w:val="continue"/>
            <w:tcBorders>
              <w:left w:val="single" w:color="auto" w:sz="4" w:space="0"/>
              <w:bottom w:val="single" w:color="000000" w:sz="4" w:space="0"/>
              <w:right w:val="single" w:color="auto" w:sz="4" w:space="0"/>
            </w:tcBorders>
            <w:vAlign w:val="center"/>
          </w:tcPr>
          <w:p>
            <w:pPr>
              <w:rPr>
                <w:rFonts w:ascii="仿宋_GB2312" w:hAnsi="宋体" w:eastAsia="仿宋_GB2312" w:cs="宋体"/>
                <w:sz w:val="24"/>
                <w:szCs w:val="24"/>
              </w:rPr>
            </w:pPr>
          </w:p>
        </w:tc>
        <w:tc>
          <w:tcPr>
            <w:tcW w:w="1985" w:type="dxa"/>
            <w:tcBorders>
              <w:top w:val="single" w:color="auto" w:sz="4" w:space="0"/>
              <w:left w:val="nil"/>
              <w:bottom w:val="single" w:color="auto" w:sz="4" w:space="0"/>
              <w:right w:val="single" w:color="000000" w:sz="4" w:space="0"/>
            </w:tcBorders>
            <w:shd w:val="clear" w:color="auto" w:fill="auto"/>
            <w:vAlign w:val="center"/>
          </w:tcPr>
          <w:p>
            <w:pPr>
              <w:jc w:val="center"/>
              <w:rPr>
                <w:rFonts w:ascii="仿宋_GB2312" w:eastAsia="仿宋_GB2312"/>
                <w:sz w:val="20"/>
                <w:szCs w:val="20"/>
              </w:rPr>
            </w:pPr>
            <w:r>
              <w:rPr>
                <w:rFonts w:hint="eastAsia" w:ascii="仿宋_GB2312" w:eastAsia="仿宋_GB2312"/>
                <w:sz w:val="20"/>
                <w:szCs w:val="20"/>
              </w:rPr>
              <w:t>会计核算平台使用率</w:t>
            </w:r>
          </w:p>
        </w:tc>
        <w:tc>
          <w:tcPr>
            <w:tcW w:w="3402" w:type="dxa"/>
            <w:tcBorders>
              <w:top w:val="single" w:color="auto" w:sz="4" w:space="0"/>
              <w:left w:val="nil"/>
              <w:bottom w:val="single" w:color="auto" w:sz="4" w:space="0"/>
              <w:right w:val="single" w:color="000000" w:sz="4" w:space="0"/>
            </w:tcBorders>
            <w:shd w:val="clear" w:color="auto" w:fill="auto"/>
            <w:vAlign w:val="center"/>
          </w:tcPr>
          <w:p>
            <w:pPr>
              <w:jc w:val="center"/>
              <w:rPr>
                <w:rFonts w:ascii="仿宋_GB2312" w:eastAsia="仿宋_GB2312"/>
                <w:sz w:val="18"/>
                <w:szCs w:val="18"/>
              </w:rPr>
            </w:pPr>
            <w:r>
              <w:rPr>
                <w:rFonts w:hint="eastAsia" w:ascii="仿宋_GB2312" w:eastAsia="仿宋_GB2312"/>
                <w:sz w:val="18"/>
                <w:szCs w:val="18"/>
              </w:rPr>
              <w:t>会计核算平台单位占平台服务总单位的比例</w:t>
            </w:r>
          </w:p>
        </w:tc>
        <w:tc>
          <w:tcPr>
            <w:tcW w:w="1843" w:type="dxa"/>
            <w:tcBorders>
              <w:top w:val="single" w:color="auto" w:sz="4" w:space="0"/>
              <w:left w:val="nil"/>
              <w:bottom w:val="single" w:color="auto" w:sz="4" w:space="0"/>
              <w:right w:val="single" w:color="000000" w:sz="4" w:space="0"/>
            </w:tcBorders>
            <w:shd w:val="clear" w:color="auto" w:fill="auto"/>
            <w:vAlign w:val="center"/>
          </w:tcPr>
          <w:p>
            <w:pPr>
              <w:jc w:val="center"/>
              <w:rPr>
                <w:rFonts w:ascii="仿宋_GB2312" w:eastAsia="仿宋_GB2312"/>
                <w:sz w:val="24"/>
                <w:szCs w:val="24"/>
              </w:rPr>
            </w:pPr>
            <w:r>
              <w:rPr>
                <w:rFonts w:hint="eastAsia" w:ascii="仿宋_GB2312" w:eastAsia="仿宋_GB2312"/>
              </w:rPr>
              <w:t>≥80%</w:t>
            </w:r>
          </w:p>
        </w:tc>
        <w:tc>
          <w:tcPr>
            <w:tcW w:w="2155"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18"/>
                <w:szCs w:val="18"/>
              </w:rPr>
            </w:pPr>
            <w:r>
              <w:rPr>
                <w:rFonts w:hint="eastAsia" w:ascii="仿宋_GB2312" w:eastAsia="仿宋_GB2312"/>
                <w:sz w:val="18"/>
                <w:szCs w:val="18"/>
              </w:rPr>
              <w:t>《全省会计集中核算平台推广应用实施方案》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rPr>
              <w:t>时效</w:t>
            </w:r>
          </w:p>
        </w:tc>
        <w:tc>
          <w:tcPr>
            <w:tcW w:w="1985" w:type="dxa"/>
            <w:tcBorders>
              <w:top w:val="single" w:color="auto" w:sz="4" w:space="0"/>
              <w:left w:val="nil"/>
              <w:bottom w:val="single" w:color="auto" w:sz="4" w:space="0"/>
              <w:right w:val="single" w:color="000000" w:sz="4" w:space="0"/>
            </w:tcBorders>
            <w:shd w:val="clear" w:color="auto" w:fill="auto"/>
            <w:vAlign w:val="center"/>
          </w:tcPr>
          <w:p>
            <w:pPr>
              <w:jc w:val="center"/>
              <w:rPr>
                <w:rFonts w:ascii="仿宋_GB2312" w:eastAsia="仿宋_GB2312"/>
                <w:sz w:val="20"/>
                <w:szCs w:val="20"/>
              </w:rPr>
            </w:pPr>
            <w:r>
              <w:rPr>
                <w:rFonts w:hint="eastAsia" w:ascii="仿宋_GB2312" w:eastAsia="仿宋_GB2312"/>
                <w:sz w:val="20"/>
                <w:szCs w:val="20"/>
              </w:rPr>
              <w:t>工作完成的及时性</w:t>
            </w:r>
          </w:p>
        </w:tc>
        <w:tc>
          <w:tcPr>
            <w:tcW w:w="3402" w:type="dxa"/>
            <w:tcBorders>
              <w:top w:val="single" w:color="auto" w:sz="4" w:space="0"/>
              <w:left w:val="nil"/>
              <w:bottom w:val="single" w:color="auto" w:sz="4" w:space="0"/>
              <w:right w:val="single" w:color="000000" w:sz="4" w:space="0"/>
            </w:tcBorders>
            <w:shd w:val="clear" w:color="auto" w:fill="auto"/>
            <w:vAlign w:val="center"/>
          </w:tcPr>
          <w:p>
            <w:pPr>
              <w:jc w:val="center"/>
              <w:rPr>
                <w:rFonts w:ascii="仿宋_GB2312" w:eastAsia="仿宋_GB2312"/>
                <w:sz w:val="18"/>
                <w:szCs w:val="18"/>
              </w:rPr>
            </w:pPr>
            <w:r>
              <w:rPr>
                <w:rFonts w:hint="eastAsia" w:ascii="仿宋_GB2312" w:eastAsia="仿宋_GB2312"/>
                <w:sz w:val="18"/>
                <w:szCs w:val="18"/>
              </w:rPr>
              <w:t>政府部门财政报告和政府综合财务报告、会计核算平台推广工作完成的及时性</w:t>
            </w:r>
          </w:p>
        </w:tc>
        <w:tc>
          <w:tcPr>
            <w:tcW w:w="1843" w:type="dxa"/>
            <w:tcBorders>
              <w:top w:val="single" w:color="auto" w:sz="4" w:space="0"/>
              <w:left w:val="nil"/>
              <w:bottom w:val="single" w:color="auto" w:sz="4" w:space="0"/>
              <w:right w:val="single" w:color="000000" w:sz="4" w:space="0"/>
            </w:tcBorders>
            <w:shd w:val="clear" w:color="auto" w:fill="auto"/>
            <w:vAlign w:val="center"/>
          </w:tcPr>
          <w:p>
            <w:pPr>
              <w:jc w:val="center"/>
              <w:rPr>
                <w:rFonts w:ascii="仿宋_GB2312" w:eastAsia="仿宋_GB2312"/>
                <w:sz w:val="24"/>
                <w:szCs w:val="24"/>
              </w:rPr>
            </w:pPr>
            <w:r>
              <w:rPr>
                <w:rFonts w:hint="eastAsia" w:ascii="仿宋_GB2312" w:eastAsia="仿宋_GB2312"/>
              </w:rPr>
              <w:t>及时</w:t>
            </w:r>
          </w:p>
        </w:tc>
        <w:tc>
          <w:tcPr>
            <w:tcW w:w="2155"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18"/>
                <w:szCs w:val="18"/>
              </w:rPr>
            </w:pPr>
            <w:r>
              <w:rPr>
                <w:rFonts w:hint="eastAsia" w:ascii="仿宋_GB2312" w:eastAsia="仿宋_GB2312"/>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eastAsia="仿宋_GB2312"/>
              </w:rPr>
              <w:t>社会效益</w:t>
            </w:r>
          </w:p>
        </w:tc>
        <w:tc>
          <w:tcPr>
            <w:tcW w:w="1985" w:type="dxa"/>
            <w:tcBorders>
              <w:top w:val="single" w:color="auto" w:sz="4" w:space="0"/>
              <w:left w:val="nil"/>
              <w:bottom w:val="single" w:color="auto" w:sz="4" w:space="0"/>
              <w:right w:val="single" w:color="000000" w:sz="4" w:space="0"/>
            </w:tcBorders>
            <w:shd w:val="clear" w:color="auto" w:fill="auto"/>
            <w:vAlign w:val="center"/>
          </w:tcPr>
          <w:p>
            <w:pPr>
              <w:jc w:val="center"/>
              <w:rPr>
                <w:rFonts w:ascii="仿宋_GB2312" w:eastAsia="仿宋_GB2312"/>
                <w:sz w:val="18"/>
                <w:szCs w:val="18"/>
              </w:rPr>
            </w:pPr>
            <w:r>
              <w:rPr>
                <w:rFonts w:hint="eastAsia" w:ascii="仿宋_GB2312" w:eastAsia="仿宋_GB2312"/>
                <w:sz w:val="18"/>
                <w:szCs w:val="18"/>
              </w:rPr>
              <w:t>全面反映政府财务状态，提升预算单位财务工作效率</w:t>
            </w:r>
          </w:p>
        </w:tc>
        <w:tc>
          <w:tcPr>
            <w:tcW w:w="3402" w:type="dxa"/>
            <w:tcBorders>
              <w:top w:val="single" w:color="auto" w:sz="4" w:space="0"/>
              <w:left w:val="nil"/>
              <w:bottom w:val="single" w:color="auto" w:sz="4" w:space="0"/>
              <w:right w:val="single" w:color="000000" w:sz="4" w:space="0"/>
            </w:tcBorders>
            <w:shd w:val="clear" w:color="auto" w:fill="auto"/>
            <w:vAlign w:val="center"/>
          </w:tcPr>
          <w:p>
            <w:pPr>
              <w:jc w:val="center"/>
              <w:rPr>
                <w:rFonts w:ascii="仿宋_GB2312" w:eastAsia="仿宋_GB2312"/>
                <w:sz w:val="18"/>
                <w:szCs w:val="18"/>
              </w:rPr>
            </w:pPr>
            <w:r>
              <w:rPr>
                <w:rFonts w:hint="eastAsia" w:ascii="仿宋_GB2312" w:eastAsia="仿宋_GB2312"/>
                <w:sz w:val="18"/>
                <w:szCs w:val="18"/>
              </w:rPr>
              <w:t>全面反映政府财务状态，提升预算单位财务工作效率</w:t>
            </w:r>
          </w:p>
        </w:tc>
        <w:tc>
          <w:tcPr>
            <w:tcW w:w="1843" w:type="dxa"/>
            <w:tcBorders>
              <w:top w:val="single" w:color="auto" w:sz="4" w:space="0"/>
              <w:left w:val="nil"/>
              <w:bottom w:val="single" w:color="auto" w:sz="4" w:space="0"/>
              <w:right w:val="single" w:color="000000" w:sz="4" w:space="0"/>
            </w:tcBorders>
            <w:shd w:val="clear" w:color="auto" w:fill="auto"/>
            <w:vAlign w:val="center"/>
          </w:tcPr>
          <w:p>
            <w:pPr>
              <w:jc w:val="center"/>
              <w:rPr>
                <w:rFonts w:ascii="仿宋_GB2312" w:eastAsia="仿宋_GB2312"/>
                <w:sz w:val="18"/>
                <w:szCs w:val="18"/>
              </w:rPr>
            </w:pPr>
            <w:r>
              <w:rPr>
                <w:rFonts w:hint="eastAsia" w:ascii="仿宋_GB2312" w:eastAsia="仿宋_GB2312"/>
                <w:sz w:val="18"/>
                <w:szCs w:val="18"/>
              </w:rPr>
              <w:t>全面反映</w:t>
            </w:r>
          </w:p>
        </w:tc>
        <w:tc>
          <w:tcPr>
            <w:tcW w:w="215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sz w:val="18"/>
                <w:szCs w:val="18"/>
              </w:rPr>
            </w:pPr>
            <w:r>
              <w:rPr>
                <w:rFonts w:hint="eastAsia" w:ascii="仿宋_GB2312" w:eastAsia="仿宋_GB2312"/>
                <w:sz w:val="18"/>
                <w:szCs w:val="18"/>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eastAsia="仿宋_GB2312"/>
              </w:rPr>
              <w:t>满意度</w:t>
            </w:r>
          </w:p>
        </w:tc>
        <w:tc>
          <w:tcPr>
            <w:tcW w:w="1985" w:type="dxa"/>
            <w:tcBorders>
              <w:top w:val="single" w:color="auto" w:sz="4" w:space="0"/>
              <w:left w:val="nil"/>
              <w:bottom w:val="single" w:color="auto" w:sz="4" w:space="0"/>
              <w:right w:val="single" w:color="000000" w:sz="4" w:space="0"/>
            </w:tcBorders>
            <w:shd w:val="clear" w:color="auto" w:fill="auto"/>
            <w:vAlign w:val="center"/>
          </w:tcPr>
          <w:p>
            <w:pPr>
              <w:jc w:val="center"/>
              <w:rPr>
                <w:rFonts w:ascii="仿宋_GB2312" w:eastAsia="仿宋_GB2312"/>
                <w:sz w:val="20"/>
                <w:szCs w:val="20"/>
              </w:rPr>
            </w:pPr>
            <w:r>
              <w:rPr>
                <w:rFonts w:hint="eastAsia" w:ascii="仿宋_GB2312" w:eastAsia="仿宋_GB2312"/>
                <w:sz w:val="20"/>
                <w:szCs w:val="20"/>
              </w:rPr>
              <w:t>预算单位满意度</w:t>
            </w:r>
          </w:p>
        </w:tc>
        <w:tc>
          <w:tcPr>
            <w:tcW w:w="3402" w:type="dxa"/>
            <w:tcBorders>
              <w:top w:val="single" w:color="auto" w:sz="4" w:space="0"/>
              <w:left w:val="nil"/>
              <w:bottom w:val="single" w:color="auto" w:sz="4" w:space="0"/>
              <w:right w:val="single" w:color="000000" w:sz="4" w:space="0"/>
            </w:tcBorders>
            <w:shd w:val="clear" w:color="auto" w:fill="auto"/>
            <w:vAlign w:val="center"/>
          </w:tcPr>
          <w:p>
            <w:pPr>
              <w:jc w:val="center"/>
              <w:rPr>
                <w:rFonts w:ascii="仿宋_GB2312" w:eastAsia="仿宋_GB2312"/>
                <w:sz w:val="18"/>
                <w:szCs w:val="18"/>
              </w:rPr>
            </w:pPr>
            <w:r>
              <w:rPr>
                <w:rFonts w:hint="eastAsia" w:ascii="仿宋_GB2312" w:eastAsia="仿宋_GB2312"/>
                <w:sz w:val="18"/>
                <w:szCs w:val="18"/>
              </w:rPr>
              <w:t>预算单位满意人数占服务对象人数的满意度</w:t>
            </w:r>
          </w:p>
        </w:tc>
        <w:tc>
          <w:tcPr>
            <w:tcW w:w="1843" w:type="dxa"/>
            <w:tcBorders>
              <w:top w:val="single" w:color="auto" w:sz="4" w:space="0"/>
              <w:left w:val="nil"/>
              <w:bottom w:val="single" w:color="auto" w:sz="4" w:space="0"/>
              <w:right w:val="single" w:color="000000" w:sz="4" w:space="0"/>
            </w:tcBorders>
            <w:shd w:val="clear" w:color="auto" w:fill="auto"/>
            <w:vAlign w:val="center"/>
          </w:tcPr>
          <w:p>
            <w:pPr>
              <w:jc w:val="center"/>
              <w:rPr>
                <w:rFonts w:ascii="仿宋_GB2312" w:eastAsia="仿宋_GB2312"/>
                <w:sz w:val="24"/>
                <w:szCs w:val="24"/>
              </w:rPr>
            </w:pPr>
            <w:r>
              <w:rPr>
                <w:rFonts w:hint="eastAsia" w:ascii="仿宋_GB2312" w:eastAsia="仿宋_GB2312"/>
              </w:rPr>
              <w:t>≥80%</w:t>
            </w:r>
          </w:p>
        </w:tc>
        <w:tc>
          <w:tcPr>
            <w:tcW w:w="215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sz w:val="18"/>
                <w:szCs w:val="18"/>
              </w:rPr>
            </w:pPr>
            <w:r>
              <w:rPr>
                <w:rFonts w:hint="eastAsia" w:ascii="仿宋_GB2312" w:eastAsia="仿宋_GB2312"/>
                <w:sz w:val="18"/>
                <w:szCs w:val="18"/>
              </w:rPr>
              <w:t>调查问卷</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3.</w:t>
      </w:r>
      <w:r>
        <w:rPr>
          <w:rFonts w:hint="eastAsia" w:ascii="Times New Roman" w:hAnsi="Times New Roman" w:eastAsia="仿宋_GB2312" w:cs="Times New Roman"/>
          <w:sz w:val="28"/>
        </w:rPr>
        <w:t>预算绩效管理经费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加强预算绩效管理，做到花钱要问效，有效多安排，低效减安排，无效要问责，实现预算绩效管理一体化。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eastAsia="仿宋_GB2312"/>
                <w:color w:val="000000"/>
                <w:sz w:val="20"/>
                <w:szCs w:val="20"/>
              </w:rPr>
              <w:t>数量</w:t>
            </w:r>
          </w:p>
        </w:tc>
        <w:tc>
          <w:tcPr>
            <w:tcW w:w="1985" w:type="dxa"/>
            <w:tcBorders>
              <w:top w:val="single" w:color="auto" w:sz="4" w:space="0"/>
              <w:left w:val="nil"/>
              <w:bottom w:val="single" w:color="auto" w:sz="4" w:space="0"/>
              <w:right w:val="single" w:color="000000" w:sz="4" w:space="0"/>
            </w:tcBorders>
            <w:shd w:val="clear" w:color="auto" w:fill="auto"/>
            <w:vAlign w:val="center"/>
          </w:tcPr>
          <w:p>
            <w:pPr>
              <w:jc w:val="center"/>
              <w:rPr>
                <w:rFonts w:ascii="宋体"/>
                <w:sz w:val="18"/>
                <w:szCs w:val="18"/>
              </w:rPr>
            </w:pPr>
            <w:r>
              <w:rPr>
                <w:rFonts w:hint="eastAsia"/>
                <w:sz w:val="18"/>
                <w:szCs w:val="18"/>
              </w:rPr>
              <w:t>培训期数</w:t>
            </w:r>
          </w:p>
        </w:tc>
        <w:tc>
          <w:tcPr>
            <w:tcW w:w="3402" w:type="dxa"/>
            <w:tcBorders>
              <w:top w:val="single" w:color="auto" w:sz="4" w:space="0"/>
              <w:left w:val="nil"/>
              <w:bottom w:val="single" w:color="auto" w:sz="4" w:space="0"/>
              <w:right w:val="single" w:color="000000" w:sz="4" w:space="0"/>
            </w:tcBorders>
            <w:shd w:val="clear" w:color="auto" w:fill="auto"/>
            <w:vAlign w:val="center"/>
          </w:tcPr>
          <w:p>
            <w:pPr>
              <w:jc w:val="center"/>
              <w:rPr>
                <w:sz w:val="18"/>
                <w:szCs w:val="18"/>
              </w:rPr>
            </w:pPr>
            <w:r>
              <w:rPr>
                <w:rFonts w:hint="eastAsia"/>
                <w:sz w:val="18"/>
                <w:szCs w:val="18"/>
              </w:rPr>
              <w:t>培训期数</w:t>
            </w:r>
          </w:p>
        </w:tc>
        <w:tc>
          <w:tcPr>
            <w:tcW w:w="1843" w:type="dxa"/>
            <w:tcBorders>
              <w:top w:val="single" w:color="auto" w:sz="4" w:space="0"/>
              <w:left w:val="nil"/>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≥5期</w:t>
            </w:r>
          </w:p>
        </w:tc>
        <w:tc>
          <w:tcPr>
            <w:tcW w:w="21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eastAsia="仿宋_GB2312"/>
                <w:color w:val="000000"/>
                <w:sz w:val="20"/>
                <w:szCs w:val="20"/>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sz w:val="20"/>
                <w:szCs w:val="20"/>
              </w:rPr>
            </w:pPr>
            <w:r>
              <w:rPr>
                <w:rFonts w:hint="eastAsia" w:ascii="仿宋_GB2312" w:eastAsia="仿宋_GB2312"/>
                <w:color w:val="000000"/>
                <w:sz w:val="20"/>
                <w:szCs w:val="20"/>
              </w:rPr>
              <w:t>数量</w:t>
            </w:r>
          </w:p>
        </w:tc>
        <w:tc>
          <w:tcPr>
            <w:tcW w:w="1985" w:type="dxa"/>
            <w:tcBorders>
              <w:top w:val="single" w:color="auto" w:sz="4" w:space="0"/>
              <w:left w:val="nil"/>
              <w:bottom w:val="single" w:color="auto" w:sz="4" w:space="0"/>
              <w:right w:val="single" w:color="000000" w:sz="4" w:space="0"/>
            </w:tcBorders>
            <w:shd w:val="clear" w:color="auto" w:fill="auto"/>
            <w:vAlign w:val="center"/>
          </w:tcPr>
          <w:p>
            <w:pPr>
              <w:jc w:val="center"/>
              <w:rPr>
                <w:rFonts w:ascii="宋体"/>
                <w:sz w:val="18"/>
                <w:szCs w:val="18"/>
              </w:rPr>
            </w:pPr>
            <w:r>
              <w:rPr>
                <w:rFonts w:hint="eastAsia"/>
                <w:sz w:val="18"/>
                <w:szCs w:val="18"/>
              </w:rPr>
              <w:t>绩效覆盖部门数量</w:t>
            </w:r>
          </w:p>
        </w:tc>
        <w:tc>
          <w:tcPr>
            <w:tcW w:w="3402" w:type="dxa"/>
            <w:tcBorders>
              <w:top w:val="single" w:color="auto" w:sz="4" w:space="0"/>
              <w:left w:val="nil"/>
              <w:bottom w:val="single" w:color="auto" w:sz="4" w:space="0"/>
              <w:right w:val="single" w:color="000000" w:sz="4" w:space="0"/>
            </w:tcBorders>
            <w:shd w:val="clear" w:color="auto" w:fill="auto"/>
            <w:vAlign w:val="center"/>
          </w:tcPr>
          <w:p>
            <w:pPr>
              <w:jc w:val="center"/>
              <w:rPr>
                <w:sz w:val="18"/>
                <w:szCs w:val="18"/>
              </w:rPr>
            </w:pPr>
            <w:r>
              <w:rPr>
                <w:rFonts w:hint="eastAsia"/>
                <w:sz w:val="18"/>
                <w:szCs w:val="18"/>
              </w:rPr>
              <w:t>绩效覆盖部门数量</w:t>
            </w:r>
          </w:p>
        </w:tc>
        <w:tc>
          <w:tcPr>
            <w:tcW w:w="1843" w:type="dxa"/>
            <w:tcBorders>
              <w:top w:val="nil"/>
              <w:left w:val="nil"/>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w:t>
            </w:r>
            <w:r>
              <w:rPr>
                <w:sz w:val="18"/>
                <w:szCs w:val="18"/>
              </w:rPr>
              <w:t>57</w:t>
            </w:r>
            <w:r>
              <w:rPr>
                <w:rFonts w:hint="eastAsia"/>
                <w:sz w:val="18"/>
                <w:szCs w:val="18"/>
              </w:rPr>
              <w:t>个</w:t>
            </w:r>
          </w:p>
        </w:tc>
        <w:tc>
          <w:tcPr>
            <w:tcW w:w="2155"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sz w:val="20"/>
                <w:szCs w:val="20"/>
              </w:rPr>
            </w:pPr>
            <w:r>
              <w:rPr>
                <w:rFonts w:hint="eastAsia" w:ascii="仿宋_GB2312" w:eastAsia="仿宋_GB2312"/>
                <w:color w:val="000000"/>
                <w:sz w:val="20"/>
                <w:szCs w:val="20"/>
              </w:rPr>
              <w:t>数量</w:t>
            </w:r>
          </w:p>
        </w:tc>
        <w:tc>
          <w:tcPr>
            <w:tcW w:w="1985" w:type="dxa"/>
            <w:tcBorders>
              <w:top w:val="single" w:color="auto" w:sz="4" w:space="0"/>
              <w:left w:val="nil"/>
              <w:bottom w:val="single" w:color="auto" w:sz="4" w:space="0"/>
              <w:right w:val="single" w:color="000000" w:sz="4" w:space="0"/>
            </w:tcBorders>
            <w:shd w:val="clear" w:color="auto" w:fill="auto"/>
            <w:vAlign w:val="center"/>
          </w:tcPr>
          <w:p>
            <w:pPr>
              <w:jc w:val="center"/>
              <w:rPr>
                <w:rFonts w:ascii="宋体"/>
                <w:sz w:val="18"/>
                <w:szCs w:val="18"/>
              </w:rPr>
            </w:pPr>
            <w:r>
              <w:rPr>
                <w:rFonts w:hint="eastAsia"/>
                <w:sz w:val="18"/>
                <w:szCs w:val="18"/>
              </w:rPr>
              <w:t>三方出具报告数量</w:t>
            </w:r>
          </w:p>
        </w:tc>
        <w:tc>
          <w:tcPr>
            <w:tcW w:w="3402" w:type="dxa"/>
            <w:tcBorders>
              <w:top w:val="single" w:color="auto" w:sz="4" w:space="0"/>
              <w:left w:val="nil"/>
              <w:bottom w:val="single" w:color="auto" w:sz="4" w:space="0"/>
              <w:right w:val="single" w:color="000000" w:sz="4" w:space="0"/>
            </w:tcBorders>
            <w:shd w:val="clear" w:color="auto" w:fill="auto"/>
            <w:vAlign w:val="center"/>
          </w:tcPr>
          <w:p>
            <w:pPr>
              <w:jc w:val="center"/>
              <w:rPr>
                <w:sz w:val="18"/>
                <w:szCs w:val="18"/>
              </w:rPr>
            </w:pPr>
            <w:r>
              <w:rPr>
                <w:rFonts w:hint="eastAsia"/>
                <w:sz w:val="18"/>
                <w:szCs w:val="18"/>
              </w:rPr>
              <w:t>三方出具报告数量</w:t>
            </w:r>
          </w:p>
        </w:tc>
        <w:tc>
          <w:tcPr>
            <w:tcW w:w="1843" w:type="dxa"/>
            <w:tcBorders>
              <w:top w:val="nil"/>
              <w:left w:val="nil"/>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≥30个</w:t>
            </w:r>
          </w:p>
        </w:tc>
        <w:tc>
          <w:tcPr>
            <w:tcW w:w="2155"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sz w:val="20"/>
                <w:szCs w:val="20"/>
              </w:rPr>
            </w:pPr>
            <w:r>
              <w:rPr>
                <w:rFonts w:hint="eastAsia" w:ascii="仿宋_GB2312" w:eastAsia="仿宋_GB2312"/>
                <w:color w:val="000000"/>
                <w:sz w:val="20"/>
                <w:szCs w:val="20"/>
              </w:rPr>
              <w:t>质量</w:t>
            </w:r>
          </w:p>
        </w:tc>
        <w:tc>
          <w:tcPr>
            <w:tcW w:w="198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sz w:val="18"/>
                <w:szCs w:val="18"/>
              </w:rPr>
            </w:pPr>
            <w:r>
              <w:rPr>
                <w:rFonts w:hint="eastAsia"/>
                <w:sz w:val="18"/>
                <w:szCs w:val="18"/>
              </w:rPr>
              <w:t>预算绩效覆盖率</w:t>
            </w:r>
          </w:p>
        </w:tc>
        <w:tc>
          <w:tcPr>
            <w:tcW w:w="3402" w:type="dxa"/>
            <w:tcBorders>
              <w:top w:val="single" w:color="auto" w:sz="4" w:space="0"/>
              <w:left w:val="nil"/>
              <w:bottom w:val="single" w:color="auto" w:sz="4" w:space="0"/>
              <w:right w:val="single" w:color="auto" w:sz="4" w:space="0"/>
            </w:tcBorders>
            <w:shd w:val="clear" w:color="auto" w:fill="auto"/>
            <w:vAlign w:val="center"/>
          </w:tcPr>
          <w:p>
            <w:pPr>
              <w:jc w:val="left"/>
              <w:rPr>
                <w:sz w:val="18"/>
                <w:szCs w:val="18"/>
              </w:rPr>
            </w:pPr>
            <w:r>
              <w:rPr>
                <w:rFonts w:hint="eastAsia"/>
                <w:sz w:val="18"/>
                <w:szCs w:val="18"/>
              </w:rPr>
              <w:t>纳入绩效管理的部门/部门总数</w:t>
            </w:r>
          </w:p>
        </w:tc>
        <w:tc>
          <w:tcPr>
            <w:tcW w:w="1843" w:type="dxa"/>
            <w:tcBorders>
              <w:top w:val="nil"/>
              <w:left w:val="nil"/>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w:t>
            </w:r>
            <w:r>
              <w:rPr>
                <w:sz w:val="18"/>
                <w:szCs w:val="18"/>
              </w:rPr>
              <w:t>100%</w:t>
            </w:r>
          </w:p>
        </w:tc>
        <w:tc>
          <w:tcPr>
            <w:tcW w:w="2155"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sz w:val="20"/>
                <w:szCs w:val="20"/>
              </w:rPr>
            </w:pPr>
            <w:r>
              <w:rPr>
                <w:rFonts w:hint="eastAsia" w:ascii="仿宋_GB2312" w:eastAsia="仿宋_GB2312"/>
                <w:color w:val="000000"/>
                <w:sz w:val="20"/>
                <w:szCs w:val="20"/>
              </w:rPr>
              <w:t>时效</w:t>
            </w:r>
          </w:p>
        </w:tc>
        <w:tc>
          <w:tcPr>
            <w:tcW w:w="198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sz w:val="18"/>
                <w:szCs w:val="18"/>
              </w:rPr>
            </w:pPr>
            <w:r>
              <w:rPr>
                <w:rFonts w:hint="eastAsia"/>
                <w:sz w:val="18"/>
                <w:szCs w:val="18"/>
              </w:rPr>
              <w:t>任务完成及时率</w:t>
            </w:r>
          </w:p>
        </w:tc>
        <w:tc>
          <w:tcPr>
            <w:tcW w:w="3402" w:type="dxa"/>
            <w:tcBorders>
              <w:top w:val="single" w:color="auto" w:sz="4" w:space="0"/>
              <w:left w:val="nil"/>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任务完成及时率</w:t>
            </w:r>
          </w:p>
        </w:tc>
        <w:tc>
          <w:tcPr>
            <w:tcW w:w="1843" w:type="dxa"/>
            <w:tcBorders>
              <w:top w:val="nil"/>
              <w:left w:val="nil"/>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≥90%</w:t>
            </w:r>
          </w:p>
        </w:tc>
        <w:tc>
          <w:tcPr>
            <w:tcW w:w="215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color w:val="000000"/>
                <w:sz w:val="20"/>
                <w:szCs w:val="20"/>
              </w:rPr>
            </w:pPr>
            <w:r>
              <w:rPr>
                <w:rFonts w:hint="eastAsia"/>
                <w:color w:val="000000"/>
                <w:sz w:val="20"/>
                <w:szCs w:val="20"/>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sz w:val="20"/>
                <w:szCs w:val="20"/>
              </w:rPr>
            </w:pPr>
            <w:r>
              <w:rPr>
                <w:rFonts w:hint="eastAsia" w:ascii="仿宋_GB2312" w:eastAsia="仿宋_GB2312"/>
                <w:color w:val="000000"/>
                <w:sz w:val="20"/>
                <w:szCs w:val="20"/>
              </w:rPr>
              <w:t>成本</w:t>
            </w:r>
          </w:p>
        </w:tc>
        <w:tc>
          <w:tcPr>
            <w:tcW w:w="198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sz w:val="18"/>
                <w:szCs w:val="18"/>
              </w:rPr>
            </w:pPr>
            <w:r>
              <w:rPr>
                <w:rFonts w:hint="eastAsia"/>
                <w:sz w:val="18"/>
                <w:szCs w:val="18"/>
              </w:rPr>
              <w:t>项目总成本</w:t>
            </w:r>
          </w:p>
        </w:tc>
        <w:tc>
          <w:tcPr>
            <w:tcW w:w="3402" w:type="dxa"/>
            <w:tcBorders>
              <w:top w:val="single" w:color="auto" w:sz="4" w:space="0"/>
              <w:left w:val="nil"/>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项目总成本</w:t>
            </w:r>
          </w:p>
        </w:tc>
        <w:tc>
          <w:tcPr>
            <w:tcW w:w="1843" w:type="dxa"/>
            <w:tcBorders>
              <w:top w:val="nil"/>
              <w:left w:val="nil"/>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≤360万</w:t>
            </w:r>
            <w:r>
              <w:rPr>
                <w:sz w:val="18"/>
                <w:szCs w:val="18"/>
              </w:rPr>
              <w:t>元</w:t>
            </w:r>
          </w:p>
        </w:tc>
        <w:tc>
          <w:tcPr>
            <w:tcW w:w="215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eastAsia="仿宋_GB2312"/>
                <w:color w:val="000000"/>
                <w:sz w:val="20"/>
                <w:szCs w:val="20"/>
              </w:rPr>
              <w:t>可持续影响</w:t>
            </w:r>
          </w:p>
        </w:tc>
        <w:tc>
          <w:tcPr>
            <w:tcW w:w="198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sz w:val="18"/>
                <w:szCs w:val="18"/>
              </w:rPr>
            </w:pPr>
            <w:r>
              <w:rPr>
                <w:rFonts w:hint="eastAsia"/>
                <w:sz w:val="18"/>
                <w:szCs w:val="18"/>
              </w:rPr>
              <w:t>建立长期有效的绩效管理机制</w:t>
            </w:r>
          </w:p>
        </w:tc>
        <w:tc>
          <w:tcPr>
            <w:tcW w:w="3402" w:type="dxa"/>
            <w:tcBorders>
              <w:top w:val="single" w:color="auto" w:sz="4" w:space="0"/>
              <w:left w:val="nil"/>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逐步建立长期有效的绩效管理机制</w:t>
            </w:r>
          </w:p>
        </w:tc>
        <w:tc>
          <w:tcPr>
            <w:tcW w:w="1843" w:type="dxa"/>
            <w:tcBorders>
              <w:top w:val="single" w:color="auto" w:sz="4" w:space="0"/>
              <w:left w:val="nil"/>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文字描述</w:t>
            </w:r>
          </w:p>
        </w:tc>
        <w:tc>
          <w:tcPr>
            <w:tcW w:w="215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sz w:val="18"/>
                <w:szCs w:val="18"/>
              </w:rPr>
            </w:pPr>
            <w:r>
              <w:rPr>
                <w:rFonts w:hint="eastAsia"/>
                <w:color w:val="000000"/>
                <w:sz w:val="20"/>
                <w:szCs w:val="20"/>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eastAsia="仿宋_GB2312"/>
                <w:color w:val="000000"/>
                <w:sz w:val="20"/>
                <w:szCs w:val="20"/>
              </w:rPr>
              <w:t>满意度</w:t>
            </w:r>
          </w:p>
        </w:tc>
        <w:tc>
          <w:tcPr>
            <w:tcW w:w="198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sz w:val="18"/>
                <w:szCs w:val="18"/>
              </w:rPr>
            </w:pPr>
            <w:r>
              <w:rPr>
                <w:rFonts w:hint="eastAsia"/>
                <w:sz w:val="18"/>
                <w:szCs w:val="18"/>
              </w:rPr>
              <w:t>培训对象满意度</w:t>
            </w:r>
          </w:p>
        </w:tc>
        <w:tc>
          <w:tcPr>
            <w:tcW w:w="3402" w:type="dxa"/>
            <w:tcBorders>
              <w:top w:val="single" w:color="auto" w:sz="4" w:space="0"/>
              <w:left w:val="nil"/>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满意人数/培训总人数</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sz w:val="18"/>
                <w:szCs w:val="18"/>
              </w:rPr>
              <w:t>≥90%</w:t>
            </w:r>
          </w:p>
        </w:tc>
        <w:tc>
          <w:tcPr>
            <w:tcW w:w="215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sz w:val="18"/>
                <w:szCs w:val="18"/>
              </w:rPr>
            </w:pPr>
            <w:r>
              <w:rPr>
                <w:rFonts w:hint="eastAsia" w:ascii="仿宋_GB2312" w:eastAsia="仿宋_GB2312"/>
                <w:sz w:val="18"/>
                <w:szCs w:val="18"/>
              </w:rPr>
              <w:t>调查问卷</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3</w:t>
      </w:r>
      <w:r>
        <w:rPr>
          <w:rFonts w:ascii="Times New Roman" w:hAnsi="Times New Roman" w:eastAsia="仿宋_GB2312" w:cs="Times New Roman"/>
          <w:sz w:val="32"/>
          <w:szCs w:val="24"/>
        </w:rPr>
        <w:t>47.45万元。具体内容见下表。</w:t>
      </w:r>
    </w:p>
    <w:bookmarkEnd w:id="2"/>
    <w:p>
      <w:pPr>
        <w:spacing w:line="584" w:lineRule="exact"/>
        <w:jc w:val="left"/>
        <w:outlineLvl w:val="0"/>
        <w:rPr>
          <w:rFonts w:ascii="Times New Roman" w:hAnsi="Times New Roman" w:eastAsia="仿宋_GB2312" w:cs="Times New Roman"/>
        </w:rPr>
      </w:pPr>
    </w:p>
    <w:p>
      <w:pPr>
        <w:jc w:val="center"/>
        <w:outlineLvl w:val="1"/>
        <w:rPr>
          <w:rFonts w:ascii="方正小标宋_GBK" w:eastAsia="方正小标宋_GBK" w:cs="Times New Roman"/>
          <w:sz w:val="32"/>
        </w:rPr>
      </w:pPr>
      <w:bookmarkStart w:id="3" w:name="_Toc64920910"/>
    </w:p>
    <w:p>
      <w:pPr>
        <w:jc w:val="center"/>
        <w:outlineLvl w:val="1"/>
        <w:rPr>
          <w:rFonts w:ascii="方正小标宋_GBK" w:eastAsia="方正小标宋_GBK" w:cs="Times New Roman"/>
          <w:sz w:val="32"/>
        </w:rPr>
      </w:pPr>
    </w:p>
    <w:p>
      <w:pPr>
        <w:jc w:val="center"/>
        <w:outlineLvl w:val="1"/>
        <w:rPr>
          <w:rFonts w:ascii="方正小标宋_GBK" w:eastAsia="方正小标宋_GBK" w:cs="Times New Roman"/>
          <w:sz w:val="32"/>
        </w:rPr>
      </w:pPr>
    </w:p>
    <w:p>
      <w:pPr>
        <w:jc w:val="center"/>
        <w:outlineLvl w:val="1"/>
        <w:rPr>
          <w:rFonts w:ascii="Times New Roman" w:hAnsi="Times New Roman" w:cs="Times New Roman"/>
          <w:sz w:val="32"/>
        </w:rPr>
      </w:pPr>
      <w:r>
        <w:rPr>
          <w:rFonts w:hint="eastAsia" w:ascii="方正小标宋_GBK" w:eastAsia="方正小标宋_GBK" w:cs="Times New Roman"/>
          <w:sz w:val="32"/>
        </w:rPr>
        <w:t>部门政府采购预算</w:t>
      </w:r>
      <w:bookmarkEnd w:id="3"/>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228001</w:t>
            </w:r>
            <w:r>
              <w:rPr>
                <w:rFonts w:ascii="方正小标宋_GBK" w:eastAsia="方正小标宋_GBK" w:cs="Times New Roman"/>
                <w:sz w:val="24"/>
              </w:rPr>
              <w:t>廊坊</w:t>
            </w:r>
            <w:r>
              <w:rPr>
                <w:rFonts w:hint="eastAsia" w:ascii="方正小标宋_GBK" w:eastAsia="方正小标宋_GBK" w:cs="Times New Roman"/>
                <w:sz w:val="24"/>
              </w:rPr>
              <w:t>市</w:t>
            </w:r>
            <w:r>
              <w:rPr>
                <w:rFonts w:ascii="方正小标宋_GBK" w:eastAsia="方正小标宋_GBK" w:cs="Times New Roman"/>
                <w:sz w:val="24"/>
              </w:rPr>
              <w:t>广阳区财政局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b/>
              </w:rPr>
            </w:pPr>
            <w:r>
              <w:rPr>
                <w:rFonts w:hint="eastAsia" w:ascii="方正书宋_GBK" w:eastAsia="方正书宋_GBK"/>
                <w:b/>
              </w:rPr>
              <w:t>3</w:t>
            </w:r>
            <w:r>
              <w:rPr>
                <w:rFonts w:ascii="方正书宋_GBK" w:eastAsia="方正书宋_GBK"/>
                <w:b/>
              </w:rPr>
              <w:t>47.45</w:t>
            </w:r>
          </w:p>
        </w:tc>
        <w:tc>
          <w:tcPr>
            <w:tcW w:w="1134" w:type="dxa"/>
            <w:shd w:val="clear" w:color="auto" w:fill="auto"/>
            <w:vAlign w:val="center"/>
          </w:tcPr>
          <w:p>
            <w:pPr>
              <w:spacing w:line="300" w:lineRule="exact"/>
              <w:jc w:val="right"/>
              <w:rPr>
                <w:rFonts w:ascii="方正书宋_GBK" w:eastAsia="方正书宋_GBK"/>
                <w:b/>
              </w:rPr>
            </w:pPr>
            <w:r>
              <w:rPr>
                <w:rFonts w:hint="eastAsia" w:ascii="方正书宋_GBK" w:eastAsia="方正书宋_GBK"/>
                <w:b/>
              </w:rPr>
              <w:t>3</w:t>
            </w:r>
            <w:r>
              <w:rPr>
                <w:rFonts w:ascii="方正书宋_GBK" w:eastAsia="方正书宋_GBK"/>
                <w:b/>
              </w:rPr>
              <w:t>47.45</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公用类项目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596.88</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公用类项目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596.88</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激光打印机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A0201060102</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47</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30.55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30.55</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公用类项目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596.88</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金属质柜类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A060503</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组</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19</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公用类项目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596.88</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其他家具用具</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特定目标类</w:t>
            </w:r>
          </w:p>
        </w:tc>
        <w:tc>
          <w:tcPr>
            <w:tcW w:w="1134"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300</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服务</w:t>
            </w:r>
          </w:p>
        </w:tc>
        <w:tc>
          <w:tcPr>
            <w:tcW w:w="1531"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cs="Times New Roman"/>
              </w:rPr>
              <w:t>C</w:t>
            </w:r>
            <w:r>
              <w:rPr>
                <w:rFonts w:hint="eastAsia" w:ascii="方正书宋_GBK" w:eastAsia="方正书宋_GBK" w:cs="Times New Roman"/>
              </w:rPr>
              <w:t>080299</w:t>
            </w:r>
          </w:p>
        </w:tc>
        <w:tc>
          <w:tcPr>
            <w:tcW w:w="709"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个</w:t>
            </w:r>
          </w:p>
        </w:tc>
        <w:tc>
          <w:tcPr>
            <w:tcW w:w="907"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1</w:t>
            </w:r>
          </w:p>
        </w:tc>
        <w:tc>
          <w:tcPr>
            <w:tcW w:w="907"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300</w:t>
            </w:r>
          </w:p>
        </w:tc>
        <w:tc>
          <w:tcPr>
            <w:tcW w:w="1134"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300</w:t>
            </w:r>
          </w:p>
        </w:tc>
        <w:tc>
          <w:tcPr>
            <w:tcW w:w="1134"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300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广阳区财政局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122.43万元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详见下表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47.45万元，</w:t>
      </w:r>
      <w:r>
        <w:rPr>
          <w:rFonts w:ascii="Times New Roman" w:hAnsi="Times New Roman" w:eastAsia="仿宋_GB2312" w:cs="Times New Roman"/>
          <w:sz w:val="32"/>
          <w:szCs w:val="32"/>
        </w:rPr>
        <w:t>主要为计算机设备、打印设备、空调、办公家具等，已列入政府采购预算。</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广阳区财政局部门</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广阳区财政局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截止时间：202</w:t>
            </w:r>
            <w:r>
              <w:rPr>
                <w:rFonts w:hint="eastAsia" w:ascii="Times New Roman" w:hAnsi="Times New Roman" w:eastAsia="仿宋_GB2312" w:cs="Times New Roman"/>
                <w:kern w:val="0"/>
                <w:sz w:val="22"/>
              </w:rPr>
              <w:t>0</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5122.43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7956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4778.27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5584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4778.27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21.19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322.97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方正小标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16</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33F98"/>
    <w:rsid w:val="000C557C"/>
    <w:rsid w:val="00176260"/>
    <w:rsid w:val="001912E1"/>
    <w:rsid w:val="001C7588"/>
    <w:rsid w:val="001D18E5"/>
    <w:rsid w:val="002F6791"/>
    <w:rsid w:val="00301F9F"/>
    <w:rsid w:val="00356683"/>
    <w:rsid w:val="003C4259"/>
    <w:rsid w:val="004324CA"/>
    <w:rsid w:val="004A54AA"/>
    <w:rsid w:val="00531451"/>
    <w:rsid w:val="005A0551"/>
    <w:rsid w:val="005F009C"/>
    <w:rsid w:val="00607CF8"/>
    <w:rsid w:val="00782110"/>
    <w:rsid w:val="00807A76"/>
    <w:rsid w:val="008467C3"/>
    <w:rsid w:val="00861BC6"/>
    <w:rsid w:val="008B2075"/>
    <w:rsid w:val="008F0EB4"/>
    <w:rsid w:val="0090390D"/>
    <w:rsid w:val="00936083"/>
    <w:rsid w:val="00A218C6"/>
    <w:rsid w:val="00B17B32"/>
    <w:rsid w:val="00B53F42"/>
    <w:rsid w:val="00B80935"/>
    <w:rsid w:val="00C446C0"/>
    <w:rsid w:val="00D347CC"/>
    <w:rsid w:val="00E27CE3"/>
    <w:rsid w:val="00E53B9C"/>
    <w:rsid w:val="00E62E57"/>
    <w:rsid w:val="00E87424"/>
    <w:rsid w:val="00EB2FFC"/>
    <w:rsid w:val="00F06549"/>
    <w:rsid w:val="00F346A7"/>
    <w:rsid w:val="00F72E40"/>
    <w:rsid w:val="00F82663"/>
    <w:rsid w:val="00F909B1"/>
    <w:rsid w:val="00F94DEC"/>
    <w:rsid w:val="0E097AAC"/>
    <w:rsid w:val="7B381E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0"/>
    <w:rPr>
      <w:rFonts w:ascii="Times New Roman" w:hAnsi="Times New Roman" w:cs="Times New Roman"/>
      <w:szCs w:val="24"/>
    </w:rPr>
  </w:style>
  <w:style w:type="paragraph" w:styleId="6">
    <w:name w:val="footnote text"/>
    <w:basedOn w:val="1"/>
    <w:uiPriority w:val="0"/>
    <w:pPr>
      <w:snapToGrid w:val="0"/>
      <w:jc w:val="left"/>
    </w:pPr>
    <w:rPr>
      <w:rFonts w:cs="Times New Roman"/>
      <w:sz w:val="18"/>
      <w:szCs w:val="18"/>
    </w:rPr>
  </w:style>
  <w:style w:type="paragraph" w:styleId="7">
    <w:name w:val="toc 2"/>
    <w:basedOn w:val="1"/>
    <w:next w:val="1"/>
    <w:uiPriority w:val="0"/>
    <w:pPr>
      <w:ind w:left="200" w:leftChars="200"/>
    </w:pPr>
    <w:rPr>
      <w:rFonts w:ascii="Times New Roman" w:hAnsi="Times New Roman" w:cs="Times New Roman"/>
      <w:szCs w:val="24"/>
    </w:rPr>
  </w:style>
  <w:style w:type="character" w:styleId="10">
    <w:name w:val="footnote reference"/>
    <w:uiPriority w:val="0"/>
    <w:rPr>
      <w:vertAlign w:val="superscript"/>
    </w:rPr>
  </w:style>
  <w:style w:type="paragraph" w:customStyle="1" w:styleId="11">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1180</Words>
  <Characters>6730</Characters>
  <Lines>56</Lines>
  <Paragraphs>15</Paragraphs>
  <TotalTime>9096</TotalTime>
  <ScaleCrop>false</ScaleCrop>
  <LinksUpToDate>false</LinksUpToDate>
  <CharactersWithSpaces>7895</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2022-07-08T02:06:37Z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B40ABE9CC4AB48989A08FDE01934BCDC</vt:lpwstr>
  </property>
</Properties>
</file>