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行政审批局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负责全区行政审批制度改革工作，以及相关工作体系、体质机制创新和完善工作。</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负责投资项目、经贸上午、环境保护、建设交通、文教卫生、社会事务、涉农事务等方面的行政审批以及相关事项，并承担相应的法律责任。</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负责政务服务中心平台综合功能的建设和管理，以及各项行政服务体系的建设、指导和推动工作。</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负责全区行政审批、行政服务体系的信息化建设。</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协调和指导乡镇行政审批相关工作。</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负责进驻行政服务中心的职能部门行政审批工作的规范、管理和监督。</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负责进驻行政服务中心的职能部门工作人员的教育、培训、管理和考核。</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负责公共资源交易工作。</w:t>
      </w:r>
    </w:p>
    <w:p>
      <w:pPr>
        <w:numPr>
          <w:ilvl w:val="0"/>
          <w:numId w:val="1"/>
        </w:numPr>
        <w:spacing w:line="584" w:lineRule="exact"/>
        <w:rPr>
          <w:rFonts w:ascii="仿宋" w:hAnsi="仿宋" w:eastAsia="仿宋"/>
          <w:sz w:val="32"/>
          <w:szCs w:val="32"/>
        </w:rPr>
      </w:pPr>
      <w:r>
        <w:rPr>
          <w:rFonts w:hint="eastAsia" w:ascii="仿宋" w:hAnsi="仿宋" w:eastAsia="仿宋"/>
          <w:sz w:val="32"/>
          <w:szCs w:val="32"/>
        </w:rPr>
        <w:t>承办区委、区政府交办的其他事项。</w:t>
      </w: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廊坊市广阳区行政审批局</w:t>
            </w:r>
          </w:p>
        </w:tc>
        <w:tc>
          <w:tcPr>
            <w:tcW w:w="1134"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正科级</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Times New Roman" w:hAnsi="Times New Roman" w:eastAsia="仿宋_GB2312"/>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按照预算管理有关规定，目前我区部门预算的编制实行综合预算制度，即全部收入和支出都反映在预算中。廊坊市广阳区行政审批局机关及所属事业单位的收支包含在部门预算中。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反映本部门当年全部收入。20</w:t>
      </w:r>
      <w:r>
        <w:rPr>
          <w:rFonts w:hint="eastAsia" w:ascii="仿宋" w:hAnsi="仿宋" w:eastAsia="仿宋" w:cs="Times New Roman"/>
          <w:sz w:val="32"/>
          <w:szCs w:val="32"/>
        </w:rPr>
        <w:t>21</w:t>
      </w:r>
      <w:r>
        <w:rPr>
          <w:rFonts w:ascii="仿宋" w:hAnsi="仿宋" w:eastAsia="仿宋" w:cs="Times New Roman"/>
          <w:sz w:val="32"/>
          <w:szCs w:val="32"/>
        </w:rPr>
        <w:t>年预算收入</w:t>
      </w:r>
      <w:r>
        <w:rPr>
          <w:rFonts w:hint="eastAsia" w:ascii="仿宋" w:hAnsi="仿宋" w:eastAsia="仿宋" w:cs="Times New Roman"/>
          <w:sz w:val="32"/>
          <w:szCs w:val="32"/>
        </w:rPr>
        <w:t>778.34</w:t>
      </w:r>
      <w:r>
        <w:rPr>
          <w:rFonts w:ascii="仿宋" w:hAnsi="仿宋" w:eastAsia="仿宋" w:cs="Times New Roman"/>
          <w:sz w:val="32"/>
          <w:szCs w:val="32"/>
        </w:rPr>
        <w:t>万元，其中：一般公共预算收入</w:t>
      </w:r>
      <w:r>
        <w:rPr>
          <w:rFonts w:hint="eastAsia" w:ascii="仿宋" w:hAnsi="仿宋" w:eastAsia="仿宋" w:cs="Times New Roman"/>
          <w:sz w:val="32"/>
          <w:szCs w:val="32"/>
        </w:rPr>
        <w:t>778.34</w:t>
      </w:r>
      <w:r>
        <w:rPr>
          <w:rFonts w:ascii="仿宋" w:hAnsi="仿宋" w:eastAsia="仿宋" w:cs="Times New Roman"/>
          <w:sz w:val="32"/>
          <w:szCs w:val="32"/>
        </w:rPr>
        <w:t>万元，基金预算收入</w:t>
      </w:r>
      <w:r>
        <w:rPr>
          <w:rFonts w:hint="eastAsia" w:ascii="仿宋" w:hAnsi="仿宋" w:eastAsia="仿宋" w:cs="Times New Roman"/>
          <w:sz w:val="32"/>
          <w:szCs w:val="32"/>
        </w:rPr>
        <w:t>0</w:t>
      </w:r>
      <w:r>
        <w:rPr>
          <w:rFonts w:ascii="仿宋" w:hAnsi="仿宋" w:eastAsia="仿宋" w:cs="Times New Roman"/>
          <w:sz w:val="32"/>
          <w:szCs w:val="32"/>
        </w:rPr>
        <w:t>万元，财政专户核拨收入</w:t>
      </w:r>
      <w:r>
        <w:rPr>
          <w:rFonts w:hint="eastAsia" w:ascii="仿宋" w:hAnsi="仿宋" w:eastAsia="仿宋" w:cs="Times New Roman"/>
          <w:sz w:val="32"/>
          <w:szCs w:val="32"/>
        </w:rPr>
        <w:t>0</w:t>
      </w:r>
      <w:r>
        <w:rPr>
          <w:rFonts w:ascii="仿宋" w:hAnsi="仿宋" w:eastAsia="仿宋" w:cs="Times New Roman"/>
          <w:sz w:val="32"/>
          <w:szCs w:val="32"/>
        </w:rPr>
        <w:t>万元，其他来源收入</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上年结转</w:t>
      </w:r>
      <w:r>
        <w:rPr>
          <w:rFonts w:hint="eastAsia" w:ascii="仿宋" w:hAnsi="仿宋" w:eastAsia="仿宋" w:cs="Times New Roman"/>
          <w:sz w:val="32"/>
          <w:szCs w:val="32"/>
        </w:rPr>
        <w:t>0万元</w:t>
      </w:r>
      <w:r>
        <w:rPr>
          <w:rFonts w:ascii="仿宋" w:hAnsi="仿宋" w:eastAsia="仿宋"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收支预算总表支出栏、基本支出表、项目支出表按经济分类和支出功能分类科目编制，反映廊坊市</w:t>
      </w:r>
      <w:r>
        <w:rPr>
          <w:rFonts w:hint="eastAsia" w:ascii="仿宋" w:hAnsi="仿宋" w:eastAsia="仿宋" w:cs="Times New Roman"/>
          <w:sz w:val="32"/>
          <w:szCs w:val="32"/>
        </w:rPr>
        <w:t>广阳区行政审批局2021</w:t>
      </w:r>
      <w:r>
        <w:rPr>
          <w:rFonts w:ascii="仿宋" w:hAnsi="仿宋" w:eastAsia="仿宋" w:cs="Times New Roman"/>
          <w:sz w:val="32"/>
          <w:szCs w:val="32"/>
        </w:rPr>
        <w:t>年度部门预算中支出预算的总体情况。20</w:t>
      </w:r>
      <w:r>
        <w:rPr>
          <w:rFonts w:hint="eastAsia" w:ascii="仿宋" w:hAnsi="仿宋" w:eastAsia="仿宋" w:cs="Times New Roman"/>
          <w:sz w:val="32"/>
          <w:szCs w:val="32"/>
        </w:rPr>
        <w:t>21</w:t>
      </w:r>
      <w:r>
        <w:rPr>
          <w:rFonts w:ascii="仿宋" w:hAnsi="仿宋" w:eastAsia="仿宋" w:cs="Times New Roman"/>
          <w:sz w:val="32"/>
          <w:szCs w:val="32"/>
        </w:rPr>
        <w:t>年支出预算</w:t>
      </w:r>
      <w:r>
        <w:rPr>
          <w:rFonts w:hint="eastAsia" w:ascii="仿宋" w:hAnsi="仿宋" w:eastAsia="仿宋" w:cs="Times New Roman"/>
          <w:sz w:val="32"/>
          <w:szCs w:val="32"/>
        </w:rPr>
        <w:t>778.34</w:t>
      </w:r>
      <w:r>
        <w:rPr>
          <w:rFonts w:ascii="仿宋" w:hAnsi="仿宋" w:eastAsia="仿宋" w:cs="Times New Roman"/>
          <w:sz w:val="32"/>
          <w:szCs w:val="32"/>
        </w:rPr>
        <w:t>万元，其中基本支出</w:t>
      </w:r>
      <w:r>
        <w:rPr>
          <w:rFonts w:hint="eastAsia" w:ascii="仿宋" w:hAnsi="仿宋" w:eastAsia="仿宋" w:cs="Times New Roman"/>
          <w:sz w:val="32"/>
          <w:szCs w:val="32"/>
        </w:rPr>
        <w:t>550.05</w:t>
      </w:r>
      <w:r>
        <w:rPr>
          <w:rFonts w:ascii="仿宋" w:hAnsi="仿宋" w:eastAsia="仿宋" w:cs="Times New Roman"/>
          <w:sz w:val="32"/>
          <w:szCs w:val="32"/>
        </w:rPr>
        <w:t>万元，包括人员类项目经费</w:t>
      </w:r>
      <w:r>
        <w:rPr>
          <w:rFonts w:hint="eastAsia" w:ascii="仿宋" w:hAnsi="仿宋" w:eastAsia="仿宋" w:cs="Times New Roman"/>
          <w:sz w:val="32"/>
          <w:szCs w:val="32"/>
        </w:rPr>
        <w:t>510.89</w:t>
      </w:r>
      <w:r>
        <w:rPr>
          <w:rFonts w:ascii="仿宋" w:hAnsi="仿宋" w:eastAsia="仿宋" w:cs="Times New Roman"/>
          <w:sz w:val="32"/>
          <w:szCs w:val="32"/>
        </w:rPr>
        <w:t>万元和</w:t>
      </w:r>
      <w:r>
        <w:rPr>
          <w:rFonts w:hint="eastAsia" w:ascii="仿宋" w:hAnsi="仿宋" w:eastAsia="仿宋" w:cs="Times New Roman"/>
          <w:sz w:val="32"/>
          <w:szCs w:val="32"/>
        </w:rPr>
        <w:t>运转类</w:t>
      </w:r>
      <w:r>
        <w:rPr>
          <w:rFonts w:ascii="仿宋" w:hAnsi="仿宋" w:eastAsia="仿宋" w:cs="Times New Roman"/>
          <w:sz w:val="32"/>
          <w:szCs w:val="32"/>
        </w:rPr>
        <w:t>公用项目经费</w:t>
      </w:r>
      <w:r>
        <w:rPr>
          <w:rFonts w:hint="eastAsia" w:ascii="仿宋" w:hAnsi="仿宋" w:eastAsia="仿宋" w:cs="Times New Roman"/>
          <w:sz w:val="32"/>
          <w:szCs w:val="32"/>
        </w:rPr>
        <w:t>39.16</w:t>
      </w:r>
      <w:r>
        <w:rPr>
          <w:rFonts w:ascii="仿宋" w:hAnsi="仿宋" w:eastAsia="仿宋" w:cs="Times New Roman"/>
          <w:sz w:val="32"/>
          <w:szCs w:val="32"/>
        </w:rPr>
        <w:t>万元；运转类其他及特定目标类项目支出</w:t>
      </w:r>
      <w:r>
        <w:rPr>
          <w:rFonts w:hint="eastAsia" w:ascii="仿宋" w:hAnsi="仿宋" w:eastAsia="仿宋" w:cs="Times New Roman"/>
          <w:sz w:val="32"/>
          <w:szCs w:val="32"/>
        </w:rPr>
        <w:t>228.29</w:t>
      </w:r>
      <w:r>
        <w:rPr>
          <w:rFonts w:ascii="仿宋" w:hAnsi="仿宋" w:eastAsia="仿宋" w:cs="Times New Roman"/>
          <w:sz w:val="32"/>
          <w:szCs w:val="32"/>
        </w:rPr>
        <w:t>万元</w:t>
      </w:r>
      <w:r>
        <w:rPr>
          <w:rFonts w:hint="eastAsia" w:ascii="仿宋" w:hAnsi="仿宋" w:eastAsia="仿宋" w:cs="Times New Roman"/>
          <w:sz w:val="32"/>
          <w:szCs w:val="32"/>
        </w:rPr>
        <w:t>,主要为"广阳·城市经济招商营商会客大厅"项目平台建设及运营维护经费,"广阳·城市经济招商营商会客大厅"项目房屋租赁经费的项目支出。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年预算收支安排</w:t>
      </w:r>
      <w:r>
        <w:rPr>
          <w:rFonts w:hint="eastAsia" w:ascii="仿宋" w:hAnsi="仿宋" w:eastAsia="仿宋" w:cs="Times New Roman"/>
          <w:sz w:val="32"/>
          <w:szCs w:val="32"/>
        </w:rPr>
        <w:t>778.34</w:t>
      </w:r>
      <w:r>
        <w:rPr>
          <w:rFonts w:ascii="仿宋" w:hAnsi="仿宋" w:eastAsia="仿宋" w:cs="Times New Roman"/>
          <w:sz w:val="32"/>
          <w:szCs w:val="32"/>
        </w:rPr>
        <w:t>万元，较20</w:t>
      </w:r>
      <w:r>
        <w:rPr>
          <w:rFonts w:hint="eastAsia" w:ascii="仿宋" w:hAnsi="仿宋" w:eastAsia="仿宋" w:cs="Times New Roman"/>
          <w:sz w:val="32"/>
          <w:szCs w:val="32"/>
        </w:rPr>
        <w:t>20</w:t>
      </w:r>
      <w:r>
        <w:rPr>
          <w:rFonts w:ascii="仿宋" w:hAnsi="仿宋" w:eastAsia="仿宋" w:cs="Times New Roman"/>
          <w:sz w:val="32"/>
          <w:szCs w:val="32"/>
        </w:rPr>
        <w:t>年预算增加</w:t>
      </w:r>
      <w:r>
        <w:rPr>
          <w:rFonts w:hint="eastAsia" w:ascii="仿宋" w:hAnsi="仿宋" w:eastAsia="仿宋" w:cs="Times New Roman"/>
          <w:sz w:val="32"/>
          <w:szCs w:val="32"/>
        </w:rPr>
        <w:t>334.31</w:t>
      </w:r>
      <w:r>
        <w:rPr>
          <w:rFonts w:ascii="仿宋" w:hAnsi="仿宋" w:eastAsia="仿宋" w:cs="Times New Roman"/>
          <w:sz w:val="32"/>
          <w:szCs w:val="32"/>
        </w:rPr>
        <w:t>万元，其中：基本支出增加</w:t>
      </w:r>
      <w:r>
        <w:rPr>
          <w:rFonts w:hint="eastAsia" w:ascii="仿宋" w:hAnsi="仿宋" w:eastAsia="仿宋" w:cs="Times New Roman"/>
          <w:sz w:val="32"/>
          <w:szCs w:val="32"/>
        </w:rPr>
        <w:t>106.02</w:t>
      </w:r>
      <w:r>
        <w:rPr>
          <w:rFonts w:ascii="仿宋" w:hAnsi="仿宋" w:eastAsia="仿宋" w:cs="Times New Roman"/>
          <w:sz w:val="32"/>
          <w:szCs w:val="32"/>
        </w:rPr>
        <w:t>万元，主要为</w:t>
      </w:r>
      <w:r>
        <w:rPr>
          <w:rFonts w:hint="eastAsia" w:ascii="仿宋" w:hAnsi="仿宋" w:eastAsia="仿宋" w:cs="Times New Roman"/>
          <w:sz w:val="32"/>
          <w:szCs w:val="32"/>
        </w:rPr>
        <w:t>人员经费</w:t>
      </w:r>
      <w:r>
        <w:rPr>
          <w:rFonts w:ascii="仿宋" w:hAnsi="仿宋" w:eastAsia="仿宋" w:cs="Times New Roman"/>
          <w:sz w:val="32"/>
          <w:szCs w:val="32"/>
        </w:rPr>
        <w:t>支出；项目支出增加</w:t>
      </w:r>
      <w:r>
        <w:rPr>
          <w:rFonts w:hint="eastAsia" w:ascii="仿宋" w:hAnsi="仿宋" w:eastAsia="仿宋" w:cs="Times New Roman"/>
          <w:sz w:val="32"/>
          <w:szCs w:val="32"/>
        </w:rPr>
        <w:t>228.29</w:t>
      </w:r>
      <w:r>
        <w:rPr>
          <w:rFonts w:ascii="仿宋" w:hAnsi="仿宋" w:eastAsia="仿宋" w:cs="Times New Roman"/>
          <w:sz w:val="32"/>
          <w:szCs w:val="32"/>
        </w:rPr>
        <w:t>万元，主要为</w:t>
      </w:r>
      <w:r>
        <w:rPr>
          <w:rFonts w:hint="eastAsia" w:ascii="仿宋" w:hAnsi="仿宋" w:eastAsia="仿宋" w:cs="Times New Roman"/>
          <w:sz w:val="32"/>
          <w:szCs w:val="32"/>
        </w:rPr>
        <w:t>“广阳·城市经济招商营商会客大厅”项目房屋租赁经费和“广阳·城市经济招商营商会客大厅”项目平台建设及运营维护经费的</w:t>
      </w:r>
      <w:r>
        <w:rPr>
          <w:rFonts w:ascii="仿宋" w:hAnsi="仿宋" w:eastAsia="仿宋"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年，我局机关运行经费共计安排</w:t>
      </w:r>
      <w:r>
        <w:rPr>
          <w:rFonts w:hint="eastAsia" w:ascii="仿宋" w:hAnsi="仿宋" w:eastAsia="仿宋" w:cs="Times New Roman"/>
          <w:sz w:val="32"/>
          <w:szCs w:val="32"/>
        </w:rPr>
        <w:t>39.16</w:t>
      </w:r>
      <w:r>
        <w:rPr>
          <w:rFonts w:ascii="仿宋" w:hAnsi="仿宋" w:eastAsia="仿宋" w:cs="Times New Roman"/>
          <w:sz w:val="32"/>
          <w:szCs w:val="32"/>
        </w:rPr>
        <w:t>万元，主要用于</w:t>
      </w:r>
      <w:r>
        <w:rPr>
          <w:rFonts w:hint="eastAsia" w:ascii="仿宋" w:hAnsi="仿宋" w:eastAsia="仿宋" w:cs="Times New Roman"/>
          <w:sz w:val="32"/>
          <w:szCs w:val="32"/>
        </w:rPr>
        <w:t>审批局</w:t>
      </w:r>
      <w:r>
        <w:rPr>
          <w:rFonts w:ascii="仿宋" w:hAnsi="仿宋" w:eastAsia="仿宋"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3" w:firstLineChars="200"/>
        <w:jc w:val="left"/>
        <w:rPr>
          <w:rFonts w:ascii="Times New Roman" w:hAnsi="Times New Roman" w:eastAsia="仿宋_GB2312" w:cs="Times New Roman"/>
          <w:b/>
          <w:sz w:val="32"/>
          <w:szCs w:val="32"/>
        </w:rPr>
      </w:pPr>
      <w:r>
        <w:rPr>
          <w:rFonts w:ascii="黑体" w:hAnsi="黑体" w:eastAsia="黑体"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年，我局财政拨款“三公”经费预算安排</w:t>
      </w:r>
      <w:r>
        <w:rPr>
          <w:rFonts w:hint="eastAsia" w:ascii="仿宋" w:hAnsi="仿宋" w:eastAsia="仿宋" w:cs="Times New Roman"/>
          <w:sz w:val="32"/>
          <w:szCs w:val="32"/>
        </w:rPr>
        <w:t>2.19</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其中</w:t>
      </w:r>
      <w:r>
        <w:rPr>
          <w:rFonts w:hint="eastAsia" w:ascii="仿宋" w:hAnsi="仿宋" w:eastAsia="仿宋" w:cs="Times New Roman"/>
          <w:sz w:val="32"/>
          <w:szCs w:val="32"/>
        </w:rPr>
        <w:t>，</w:t>
      </w:r>
      <w:r>
        <w:rPr>
          <w:rFonts w:ascii="仿宋" w:hAnsi="仿宋" w:eastAsia="仿宋" w:cs="Times New Roman"/>
          <w:sz w:val="32"/>
          <w:szCs w:val="32"/>
        </w:rPr>
        <w:t>因公出国（境）费</w:t>
      </w:r>
      <w:r>
        <w:rPr>
          <w:rFonts w:hint="eastAsia" w:ascii="仿宋" w:hAnsi="仿宋" w:eastAsia="仿宋" w:cs="Times New Roman"/>
          <w:sz w:val="32"/>
          <w:szCs w:val="32"/>
        </w:rPr>
        <w:t>0</w:t>
      </w:r>
      <w:r>
        <w:rPr>
          <w:rFonts w:ascii="仿宋" w:hAnsi="仿宋" w:eastAsia="仿宋" w:cs="Times New Roman"/>
          <w:sz w:val="32"/>
          <w:szCs w:val="32"/>
        </w:rPr>
        <w:t>万元；公务用车购置及运维费</w:t>
      </w:r>
      <w:r>
        <w:rPr>
          <w:rFonts w:hint="eastAsia" w:ascii="仿宋" w:hAnsi="仿宋" w:eastAsia="仿宋" w:cs="Times New Roman"/>
          <w:sz w:val="32"/>
          <w:szCs w:val="32"/>
        </w:rPr>
        <w:t>2.19</w:t>
      </w:r>
      <w:r>
        <w:rPr>
          <w:rFonts w:ascii="仿宋" w:hAnsi="仿宋" w:eastAsia="仿宋" w:cs="Times New Roman"/>
          <w:sz w:val="32"/>
          <w:szCs w:val="32"/>
        </w:rPr>
        <w:t>万元（其中：公务用车购置费为</w:t>
      </w:r>
      <w:r>
        <w:rPr>
          <w:rFonts w:hint="eastAsia" w:ascii="仿宋" w:hAnsi="仿宋" w:eastAsia="仿宋" w:cs="Times New Roman"/>
          <w:sz w:val="32"/>
          <w:szCs w:val="32"/>
        </w:rPr>
        <w:t>0</w:t>
      </w:r>
      <w:r>
        <w:rPr>
          <w:rFonts w:ascii="仿宋" w:hAnsi="仿宋" w:eastAsia="仿宋" w:cs="Times New Roman"/>
          <w:sz w:val="32"/>
          <w:szCs w:val="32"/>
        </w:rPr>
        <w:t>万元，公务用车运维费</w:t>
      </w:r>
      <w:r>
        <w:rPr>
          <w:rFonts w:hint="eastAsia" w:ascii="仿宋" w:hAnsi="仿宋" w:eastAsia="仿宋" w:cs="Times New Roman"/>
          <w:sz w:val="32"/>
          <w:szCs w:val="32"/>
        </w:rPr>
        <w:t>2.19</w:t>
      </w:r>
      <w:r>
        <w:rPr>
          <w:rFonts w:ascii="仿宋" w:hAnsi="仿宋" w:eastAsia="仿宋" w:cs="Times New Roman"/>
          <w:sz w:val="32"/>
          <w:szCs w:val="32"/>
        </w:rPr>
        <w:t>万元)；公务接待费</w:t>
      </w:r>
      <w:r>
        <w:rPr>
          <w:rFonts w:hint="eastAsia" w:ascii="仿宋" w:hAnsi="仿宋" w:eastAsia="仿宋" w:cs="Times New Roman"/>
          <w:sz w:val="32"/>
          <w:szCs w:val="32"/>
        </w:rPr>
        <w:t>0</w:t>
      </w:r>
      <w:r>
        <w:rPr>
          <w:rFonts w:ascii="仿宋" w:hAnsi="仿宋" w:eastAsia="仿宋" w:cs="Times New Roman"/>
          <w:sz w:val="32"/>
          <w:szCs w:val="32"/>
        </w:rPr>
        <w:t>万元。与20</w:t>
      </w:r>
      <w:r>
        <w:rPr>
          <w:rFonts w:hint="eastAsia" w:ascii="仿宋" w:hAnsi="仿宋" w:eastAsia="仿宋" w:cs="Times New Roman"/>
          <w:sz w:val="32"/>
          <w:szCs w:val="32"/>
        </w:rPr>
        <w:t>20</w:t>
      </w:r>
      <w:r>
        <w:rPr>
          <w:rFonts w:ascii="仿宋" w:hAnsi="仿宋" w:eastAsia="仿宋" w:cs="Times New Roman"/>
          <w:sz w:val="32"/>
          <w:szCs w:val="32"/>
        </w:rPr>
        <w:t>年相比持平，无增减变化。</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numPr>
          <w:ilvl w:val="0"/>
          <w:numId w:val="2"/>
        </w:numPr>
        <w:spacing w:line="584" w:lineRule="exact"/>
        <w:jc w:val="left"/>
        <w:rPr>
          <w:rFonts w:ascii="仿宋" w:hAnsi="仿宋" w:eastAsia="仿宋"/>
          <w:sz w:val="32"/>
          <w:szCs w:val="32"/>
        </w:rPr>
      </w:pPr>
      <w:r>
        <w:rPr>
          <w:rFonts w:hint="eastAsia" w:ascii="仿宋" w:hAnsi="仿宋" w:eastAsia="仿宋"/>
          <w:sz w:val="32"/>
          <w:szCs w:val="32"/>
        </w:rPr>
        <w:t>贯彻执行国家、省、市有关行政审批的方针政策、法律法规，制定行政审批局各项规章制度和管理办法，负责全区行政审批工作体系、体制机制创新和完善工作；</w:t>
      </w:r>
    </w:p>
    <w:p>
      <w:pPr>
        <w:numPr>
          <w:ilvl w:val="0"/>
          <w:numId w:val="2"/>
        </w:numPr>
        <w:spacing w:line="584" w:lineRule="exact"/>
        <w:jc w:val="left"/>
        <w:rPr>
          <w:rFonts w:ascii="仿宋" w:hAnsi="仿宋" w:eastAsia="仿宋"/>
          <w:sz w:val="32"/>
          <w:szCs w:val="32"/>
        </w:rPr>
      </w:pPr>
      <w:r>
        <w:rPr>
          <w:rFonts w:hint="eastAsia" w:ascii="仿宋" w:hAnsi="仿宋" w:eastAsia="仿宋"/>
          <w:sz w:val="32"/>
          <w:szCs w:val="32"/>
        </w:rPr>
        <w:t>负责规范行政审批行为，优化审批流程，提高审批效率，并依法全面公开行政审批信息；</w:t>
      </w:r>
    </w:p>
    <w:p>
      <w:pPr>
        <w:numPr>
          <w:ilvl w:val="0"/>
          <w:numId w:val="2"/>
        </w:numPr>
        <w:spacing w:line="584" w:lineRule="exact"/>
        <w:jc w:val="left"/>
        <w:rPr>
          <w:rFonts w:ascii="仿宋" w:hAnsi="仿宋" w:eastAsia="仿宋"/>
          <w:sz w:val="32"/>
          <w:szCs w:val="32"/>
        </w:rPr>
      </w:pPr>
      <w:r>
        <w:rPr>
          <w:rFonts w:hint="eastAsia" w:ascii="仿宋" w:hAnsi="仿宋" w:eastAsia="仿宋"/>
          <w:sz w:val="32"/>
          <w:szCs w:val="32"/>
        </w:rPr>
        <w:t>配合上级部门政务服务平台的建设和管理，建立和完善政务服务体系，提升办公软件环境及其他事项；</w:t>
      </w:r>
    </w:p>
    <w:p>
      <w:pPr>
        <w:numPr>
          <w:ilvl w:val="0"/>
          <w:numId w:val="2"/>
        </w:numPr>
        <w:spacing w:line="584" w:lineRule="exact"/>
        <w:jc w:val="left"/>
        <w:rPr>
          <w:rFonts w:ascii="仿宋" w:hAnsi="仿宋" w:eastAsia="仿宋"/>
          <w:sz w:val="32"/>
          <w:szCs w:val="32"/>
        </w:rPr>
      </w:pPr>
      <w:r>
        <w:rPr>
          <w:rFonts w:hint="eastAsia" w:ascii="仿宋" w:hAnsi="仿宋" w:eastAsia="仿宋"/>
          <w:sz w:val="32"/>
          <w:szCs w:val="32"/>
        </w:rPr>
        <w:t>拟定全区行政管理办法、措施和制度，加强队伍建设，开展教育培训及法律服务工作，做好机关后勤保障等其他工作。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 w:hAnsi="仿宋" w:eastAsia="仿宋" w:cs="Times New Roman"/>
          <w:sz w:val="32"/>
          <w:szCs w:val="32"/>
        </w:rPr>
      </w:pPr>
      <w:r>
        <w:rPr>
          <w:rFonts w:hint="eastAsia" w:ascii="仿宋_GB2312" w:eastAsia="仿宋_GB2312" w:cs="Times New Roman"/>
          <w:sz w:val="32"/>
          <w:szCs w:val="32"/>
        </w:rPr>
        <w:t>1、</w:t>
      </w:r>
      <w:r>
        <w:rPr>
          <w:rFonts w:hint="eastAsia" w:ascii="仿宋" w:hAnsi="仿宋" w:eastAsia="仿宋" w:cs="Times New Roman"/>
          <w:sz w:val="32"/>
          <w:szCs w:val="32"/>
        </w:rPr>
        <w:t>组织实施审批局各项规章制度和管理办法，做好深化行政审批制度改革、提高审批效率，优化政务服务环境;</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2、完成全年审批业务申请受理，按照规定程序对行政审批事项进行要件审核，对符合规定条件的行政审批事项进行批准，完成对各工作人员的业务培训、教育培训、管理、监督和考核工作，加强档案管理；</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3、配合上级部门完成政务服务平台建设，并有效管理和运用，深化互联网+政务服务改革；</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4、完成各部门间业务交流和上级部门交办的工作，加强行政管理能力建设，促进自身建设、服务保障能力进一步提升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1、提高认识，高度重视。加强目标绩效管理，是改进机关作风、提高工作效能、规范内部管理的重要手段。目标绩效管理工作要作为“一把手”工程，单位负责人亲自抓、负总责。</w:t>
      </w:r>
    </w:p>
    <w:p>
      <w:pPr>
        <w:overflowPunct w:val="0"/>
        <w:adjustRightInd w:val="0"/>
        <w:snapToGrid w:val="0"/>
        <w:spacing w:afterLines="50" w:line="580"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2、成立机构，健全机制。成立由局长担任主任的目标绩效管理考评委员会，建立健全工作机制，负责谋划推进、部署协调、督查落实等工作。考评委员会下设办公室（绩效办），设综合、督导检查、监督仲裁三个小组，负责目标绩效管理考评日常工作。</w:t>
      </w:r>
    </w:p>
    <w:p>
      <w:pPr>
        <w:overflowPunct w:val="0"/>
        <w:adjustRightInd w:val="0"/>
        <w:snapToGrid w:val="0"/>
        <w:spacing w:afterLines="50" w:line="580"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3、认真组织，有序推进。结合自身实际，明确目标任务，切实落实责任，细化工作措施，确保目标绩效管理工作扎实有效。</w:t>
      </w:r>
    </w:p>
    <w:p>
      <w:pPr>
        <w:overflowPunct w:val="0"/>
        <w:adjustRightInd w:val="0"/>
        <w:snapToGrid w:val="0"/>
        <w:spacing w:afterLines="50" w:line="580"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4、健全制度，强化支撑。严格执行绩效管理制度，完善管理体系，规范管理行为，提高管理质量，为目标绩效管理提供强力支撑。</w:t>
      </w:r>
    </w:p>
    <w:p>
      <w:pPr>
        <w:overflowPunct w:val="0"/>
        <w:adjustRightInd w:val="0"/>
        <w:snapToGrid w:val="0"/>
        <w:spacing w:afterLines="50" w:line="580"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5、加强督导，严肃纪律。以季度检查、重点抽查、中期督查、年终复查等方式，加强对落实目标绩效管理工作情况的督导检查，对目标绩效管理工作中发现的违规违纪行为，严格责任追究。</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项目数据库的项目数量</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项目数据库的项目数量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13000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个</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整体运维安全运行保障率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核心系统长期安全运行保障时间占所有时间的比例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99</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平台搭建的期限</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仿宋" w:hAnsi="仿宋" w:eastAsia="仿宋"/>
                <w:color w:val="000000"/>
                <w:sz w:val="20"/>
                <w:szCs w:val="20"/>
              </w:rPr>
              <w:t>平台搭建及运营的期限</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年</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平台运营所需金额</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考察平台运营的金额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228.29</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扩大影响力</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扩大广阳区的影响力</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扩大</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引进项目数量</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考察引进项目数量</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逐年递增</w:t>
            </w: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平台使用用户满意度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工作总结</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平台使用用户对平台的满意度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“广阳</w:t>
      </w:r>
      <w:r>
        <w:rPr>
          <w:rFonts w:hint="eastAsia" w:ascii="宋体" w:hAnsi="宋体" w:cs="宋体"/>
          <w:sz w:val="28"/>
        </w:rPr>
        <w:t>•</w:t>
      </w:r>
      <w:r>
        <w:rPr>
          <w:rFonts w:hint="eastAsia" w:ascii="仿宋" w:hAnsi="仿宋" w:eastAsia="仿宋" w:cs="仿宋"/>
          <w:sz w:val="28"/>
        </w:rPr>
        <w:t>城市经济招商营商会客大厅”项目房屋租赁经费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rPr>
              <w:t>房屋租赁租期三年，从2020年开始，在租赁期限内保障房屋的正常使用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数量</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租赁房屋的面积</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考察租赁房屋的建筑面积</w:t>
            </w:r>
          </w:p>
        </w:tc>
        <w:tc>
          <w:tcPr>
            <w:tcW w:w="1843" w:type="dxa"/>
            <w:shd w:val="clear" w:color="auto" w:fill="auto"/>
            <w:vAlign w:val="center"/>
          </w:tcPr>
          <w:p>
            <w:pPr>
              <w:jc w:val="center"/>
              <w:rPr>
                <w:rFonts w:ascii="仿宋" w:hAnsi="仿宋" w:eastAsia="仿宋" w:cs="Times New Roman"/>
                <w:color w:val="000000"/>
                <w:sz w:val="20"/>
                <w:szCs w:val="20"/>
              </w:rPr>
            </w:pPr>
            <w:r>
              <w:rPr>
                <w:rFonts w:ascii="仿宋" w:hAnsi="仿宋" w:eastAsia="仿宋" w:cs="Times New Roman"/>
                <w:color w:val="000000"/>
                <w:sz w:val="20"/>
                <w:szCs w:val="20"/>
              </w:rPr>
              <w:t>≥1200</w:t>
            </w:r>
            <w:r>
              <w:rPr>
                <w:rFonts w:hint="eastAsia" w:ascii="仿宋" w:hAnsi="仿宋" w:eastAsia="仿宋" w:cs="Times New Roman"/>
                <w:color w:val="000000"/>
                <w:sz w:val="20"/>
                <w:szCs w:val="20"/>
              </w:rPr>
              <w:t>平米</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质量</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租赁的房屋质量的达标率</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考察租赁的房屋质量是否达标</w:t>
            </w:r>
          </w:p>
        </w:tc>
        <w:tc>
          <w:tcPr>
            <w:tcW w:w="1843"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=100%</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时效</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房屋租赁的期限</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考察房屋租赁的期限</w:t>
            </w:r>
          </w:p>
        </w:tc>
        <w:tc>
          <w:tcPr>
            <w:tcW w:w="1843"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=3年</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成本</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房屋租金的金额</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考察房屋租金的金额</w:t>
            </w:r>
          </w:p>
        </w:tc>
        <w:tc>
          <w:tcPr>
            <w:tcW w:w="1843" w:type="dxa"/>
            <w:shd w:val="clear" w:color="auto" w:fill="auto"/>
            <w:vAlign w:val="center"/>
          </w:tcPr>
          <w:p>
            <w:pPr>
              <w:jc w:val="center"/>
              <w:rPr>
                <w:rFonts w:ascii="仿宋" w:hAnsi="仿宋" w:eastAsia="仿宋" w:cs="Times New Roman"/>
                <w:color w:val="000000"/>
                <w:sz w:val="24"/>
                <w:szCs w:val="24"/>
              </w:rPr>
            </w:pPr>
            <w:r>
              <w:rPr>
                <w:rFonts w:ascii="仿宋" w:hAnsi="仿宋" w:eastAsia="仿宋" w:cs="Times New Roman"/>
                <w:color w:val="000000"/>
              </w:rPr>
              <w:t>=78.29</w:t>
            </w:r>
            <w:r>
              <w:rPr>
                <w:rFonts w:hint="eastAsia" w:ascii="仿宋" w:hAnsi="仿宋" w:eastAsia="仿宋" w:cs="Times New Roman"/>
                <w:color w:val="000000"/>
              </w:rPr>
              <w:t>万元</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社会效益</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会客大厅能够正常使用率</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考察会客大厅能否正常使用</w:t>
            </w:r>
          </w:p>
        </w:tc>
        <w:tc>
          <w:tcPr>
            <w:tcW w:w="1843"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=100%</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仿宋" w:hAnsi="仿宋" w:eastAsia="仿宋" w:cs="Times New Roman"/>
              </w:rPr>
            </w:pPr>
          </w:p>
        </w:tc>
        <w:tc>
          <w:tcPr>
            <w:tcW w:w="1985" w:type="dxa"/>
            <w:shd w:val="clear" w:color="auto" w:fill="auto"/>
            <w:vAlign w:val="center"/>
          </w:tcPr>
          <w:p>
            <w:pPr>
              <w:spacing w:line="300" w:lineRule="exact"/>
              <w:jc w:val="left"/>
              <w:rPr>
                <w:rFonts w:ascii="仿宋" w:hAnsi="仿宋" w:eastAsia="仿宋" w:cs="Times New Roman"/>
              </w:rPr>
            </w:pPr>
          </w:p>
        </w:tc>
        <w:tc>
          <w:tcPr>
            <w:tcW w:w="3402" w:type="dxa"/>
            <w:shd w:val="clear" w:color="auto" w:fill="auto"/>
            <w:vAlign w:val="center"/>
          </w:tcPr>
          <w:p>
            <w:pPr>
              <w:spacing w:line="300" w:lineRule="exact"/>
              <w:jc w:val="left"/>
              <w:rPr>
                <w:rFonts w:ascii="仿宋" w:hAnsi="仿宋" w:eastAsia="仿宋" w:cs="Times New Roman"/>
              </w:rPr>
            </w:pPr>
          </w:p>
        </w:tc>
        <w:tc>
          <w:tcPr>
            <w:tcW w:w="1843" w:type="dxa"/>
            <w:shd w:val="clear" w:color="auto" w:fill="auto"/>
            <w:vAlign w:val="center"/>
          </w:tcPr>
          <w:p>
            <w:pPr>
              <w:spacing w:line="300" w:lineRule="exact"/>
              <w:jc w:val="left"/>
              <w:rPr>
                <w:rFonts w:ascii="仿宋" w:hAnsi="仿宋" w:eastAsia="仿宋" w:cs="Times New Roman"/>
              </w:rPr>
            </w:pPr>
          </w:p>
        </w:tc>
        <w:tc>
          <w:tcPr>
            <w:tcW w:w="2155" w:type="dxa"/>
            <w:shd w:val="clear" w:color="auto" w:fill="auto"/>
            <w:vAlign w:val="center"/>
          </w:tcPr>
          <w:p>
            <w:pPr>
              <w:spacing w:line="300" w:lineRule="exact"/>
              <w:jc w:val="left"/>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满意度</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服务对象满意度</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平台使用用户对房屋的满意度</w:t>
            </w:r>
          </w:p>
        </w:tc>
        <w:tc>
          <w:tcPr>
            <w:tcW w:w="1843" w:type="dxa"/>
            <w:shd w:val="clear" w:color="auto" w:fill="auto"/>
            <w:vAlign w:val="center"/>
          </w:tcPr>
          <w:p>
            <w:pPr>
              <w:jc w:val="center"/>
              <w:rPr>
                <w:rFonts w:ascii="仿宋" w:hAnsi="仿宋" w:eastAsia="仿宋" w:cs="Times New Roman"/>
                <w:color w:val="000000"/>
                <w:sz w:val="24"/>
                <w:szCs w:val="24"/>
              </w:rPr>
            </w:pPr>
            <w:r>
              <w:rPr>
                <w:rFonts w:ascii="仿宋" w:hAnsi="仿宋" w:eastAsia="仿宋" w:cs="Times New Roman"/>
                <w:color w:val="000000"/>
              </w:rPr>
              <w:t>≥95%</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“广阳</w:t>
      </w:r>
      <w:r>
        <w:rPr>
          <w:rFonts w:hint="eastAsia" w:ascii="宋体" w:hAnsi="宋体" w:cs="宋体"/>
          <w:sz w:val="28"/>
        </w:rPr>
        <w:t>•</w:t>
      </w:r>
      <w:r>
        <w:rPr>
          <w:rFonts w:hint="eastAsia" w:ascii="仿宋" w:hAnsi="仿宋" w:eastAsia="仿宋" w:cs="仿宋"/>
          <w:sz w:val="28"/>
        </w:rPr>
        <w:t>城市经济招商营商会客大厅”项目平台建设及运营维护经费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项目数据库的项目数量达到13000个，整体运维安全运行保障率达到99%以上。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数量</w:t>
            </w:r>
          </w:p>
        </w:tc>
        <w:tc>
          <w:tcPr>
            <w:tcW w:w="1985" w:type="dxa"/>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项目数据库的项目数量</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项目数据库的项目数量</w:t>
            </w:r>
          </w:p>
        </w:tc>
        <w:tc>
          <w:tcPr>
            <w:tcW w:w="1843" w:type="dxa"/>
            <w:shd w:val="clear" w:color="auto" w:fill="auto"/>
            <w:vAlign w:val="center"/>
          </w:tcPr>
          <w:p>
            <w:pPr>
              <w:jc w:val="center"/>
              <w:rPr>
                <w:rFonts w:ascii="仿宋" w:hAnsi="仿宋" w:eastAsia="仿宋" w:cs="Times New Roman"/>
                <w:sz w:val="20"/>
                <w:szCs w:val="20"/>
              </w:rPr>
            </w:pPr>
            <w:r>
              <w:rPr>
                <w:rFonts w:ascii="仿宋" w:hAnsi="仿宋" w:eastAsia="仿宋" w:cs="Times New Roman"/>
                <w:sz w:val="20"/>
                <w:szCs w:val="20"/>
              </w:rPr>
              <w:t>≥13000</w:t>
            </w:r>
            <w:r>
              <w:rPr>
                <w:rFonts w:hint="eastAsia" w:ascii="仿宋" w:hAnsi="仿宋" w:eastAsia="仿宋" w:cs="Times New Roman"/>
                <w:sz w:val="20"/>
                <w:szCs w:val="20"/>
              </w:rPr>
              <w:t>个</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质量</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整体运维安全运行保障率</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核心系统长期安全运行保障时间占所有时间的比例</w:t>
            </w:r>
          </w:p>
        </w:tc>
        <w:tc>
          <w:tcPr>
            <w:tcW w:w="1843" w:type="dxa"/>
            <w:shd w:val="clear" w:color="auto" w:fill="auto"/>
            <w:vAlign w:val="center"/>
          </w:tcPr>
          <w:p>
            <w:pPr>
              <w:jc w:val="center"/>
              <w:rPr>
                <w:rFonts w:ascii="仿宋" w:hAnsi="仿宋" w:eastAsia="仿宋" w:cs="Times New Roman"/>
                <w:color w:val="000000"/>
                <w:sz w:val="20"/>
                <w:szCs w:val="20"/>
              </w:rPr>
            </w:pPr>
            <w:r>
              <w:rPr>
                <w:rFonts w:ascii="仿宋" w:hAnsi="仿宋" w:eastAsia="仿宋" w:cs="Times New Roman"/>
                <w:color w:val="000000"/>
                <w:sz w:val="20"/>
                <w:szCs w:val="20"/>
              </w:rPr>
              <w:t>≥99%</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时效</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平台搭建的期限</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平台搭建及运营的期限</w:t>
            </w:r>
          </w:p>
        </w:tc>
        <w:tc>
          <w:tcPr>
            <w:tcW w:w="1843" w:type="dxa"/>
            <w:shd w:val="clear" w:color="auto" w:fill="auto"/>
            <w:vAlign w:val="center"/>
          </w:tcPr>
          <w:p>
            <w:pPr>
              <w:jc w:val="center"/>
              <w:rPr>
                <w:rFonts w:ascii="仿宋" w:hAnsi="仿宋" w:eastAsia="仿宋"/>
                <w:color w:val="000000"/>
                <w:sz w:val="24"/>
                <w:szCs w:val="24"/>
              </w:rPr>
            </w:pPr>
            <w:r>
              <w:rPr>
                <w:rFonts w:ascii="仿宋" w:hAnsi="仿宋" w:eastAsia="仿宋"/>
                <w:color w:val="000000"/>
              </w:rPr>
              <w:t>≤</w:t>
            </w:r>
            <w:r>
              <w:rPr>
                <w:rFonts w:hint="eastAsia" w:ascii="仿宋" w:hAnsi="仿宋" w:eastAsia="仿宋"/>
                <w:color w:val="000000"/>
              </w:rPr>
              <w:t>1年</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成本</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运营费的金额</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考察运营费的金额</w:t>
            </w:r>
          </w:p>
        </w:tc>
        <w:tc>
          <w:tcPr>
            <w:tcW w:w="1843" w:type="dxa"/>
            <w:shd w:val="clear" w:color="auto" w:fill="auto"/>
            <w:vAlign w:val="center"/>
          </w:tcPr>
          <w:p>
            <w:pPr>
              <w:jc w:val="center"/>
              <w:rPr>
                <w:rFonts w:ascii="仿宋" w:hAnsi="仿宋" w:eastAsia="仿宋" w:cs="Times New Roman"/>
                <w:color w:val="000000"/>
                <w:sz w:val="24"/>
                <w:szCs w:val="24"/>
              </w:rPr>
            </w:pPr>
            <w:r>
              <w:rPr>
                <w:rFonts w:ascii="仿宋" w:hAnsi="仿宋" w:eastAsia="仿宋" w:cs="Times New Roman"/>
                <w:color w:val="000000"/>
              </w:rPr>
              <w:t>=150</w:t>
            </w:r>
            <w:r>
              <w:rPr>
                <w:rFonts w:hint="eastAsia" w:ascii="仿宋" w:hAnsi="仿宋" w:eastAsia="仿宋" w:cs="Times New Roman"/>
                <w:color w:val="000000"/>
              </w:rPr>
              <w:t>万元</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经济效益</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引进项目数量</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考察引进项目数量</w:t>
            </w:r>
          </w:p>
        </w:tc>
        <w:tc>
          <w:tcPr>
            <w:tcW w:w="1843"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逐年递增</w:t>
            </w:r>
          </w:p>
        </w:tc>
        <w:tc>
          <w:tcPr>
            <w:tcW w:w="2155" w:type="dxa"/>
            <w:shd w:val="clear" w:color="auto" w:fill="auto"/>
            <w:vAlign w:val="center"/>
          </w:tcPr>
          <w:p>
            <w:pPr>
              <w:jc w:val="center"/>
              <w:rPr>
                <w:rFonts w:ascii="仿宋" w:hAnsi="仿宋" w:eastAsia="仿宋" w:cs="Times New Roman"/>
                <w:color w:val="000000"/>
                <w:sz w:val="24"/>
                <w:szCs w:val="24"/>
              </w:rPr>
            </w:pPr>
            <w:r>
              <w:rPr>
                <w:rFonts w:ascii="仿宋" w:hAnsi="仿宋" w:eastAsia="仿宋" w:cs="Times New Roman"/>
                <w:color w:val="00000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社会效益</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扩大影响力</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扩大广阳区的影响力</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扩大</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满意度</w:t>
            </w:r>
          </w:p>
        </w:tc>
        <w:tc>
          <w:tcPr>
            <w:tcW w:w="1985"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平台使用用户满意度</w:t>
            </w:r>
          </w:p>
        </w:tc>
        <w:tc>
          <w:tcPr>
            <w:tcW w:w="3402" w:type="dxa"/>
            <w:shd w:val="clear" w:color="auto" w:fill="auto"/>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平台使用用户对平台的满意度</w:t>
            </w:r>
          </w:p>
        </w:tc>
        <w:tc>
          <w:tcPr>
            <w:tcW w:w="1843" w:type="dxa"/>
            <w:shd w:val="clear" w:color="auto" w:fill="auto"/>
            <w:vAlign w:val="center"/>
          </w:tcPr>
          <w:p>
            <w:pPr>
              <w:jc w:val="center"/>
              <w:rPr>
                <w:rFonts w:ascii="仿宋" w:hAnsi="仿宋" w:eastAsia="仿宋" w:cs="Times New Roman"/>
                <w:color w:val="000000"/>
                <w:sz w:val="24"/>
                <w:szCs w:val="24"/>
              </w:rPr>
            </w:pPr>
            <w:r>
              <w:rPr>
                <w:rFonts w:ascii="仿宋" w:hAnsi="仿宋" w:eastAsia="仿宋" w:cs="Times New Roman"/>
                <w:color w:val="000000"/>
              </w:rPr>
              <w:t>≥95%</w:t>
            </w:r>
          </w:p>
        </w:tc>
        <w:tc>
          <w:tcPr>
            <w:tcW w:w="2155" w:type="dxa"/>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满意度调查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【161001】</w:t>
            </w:r>
            <w:r>
              <w:rPr>
                <w:rFonts w:ascii="方正小标宋_GBK" w:eastAsia="方正小标宋_GBK" w:cs="Times New Roman"/>
                <w:sz w:val="24"/>
              </w:rPr>
              <w:t>廊坊市</w:t>
            </w:r>
            <w:r>
              <w:rPr>
                <w:rFonts w:hint="eastAsia" w:ascii="方正小标宋_GBK" w:eastAsia="方正小标宋_GBK"/>
                <w:sz w:val="24"/>
              </w:rPr>
              <w:t>广阳区行政审批局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75.19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广阳区行政审批局部门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广阳区行政审批局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75.19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1辆</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cantSplit/>
          <w:trHeight w:val="772"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tcPr>
          <w:p>
            <w:pPr>
              <w:spacing w:line="584" w:lineRule="exact"/>
              <w:jc w:val="center"/>
              <w:rPr>
                <w:rFonts w:ascii="Times New Roman" w:hAnsi="Times New Roman" w:eastAsia="仿宋_GB2312" w:cs="Times New Roman"/>
                <w:sz w:val="13"/>
              </w:rPr>
            </w:pPr>
            <w:r>
              <w:rPr>
                <w:rFonts w:hint="eastAsia" w:ascii="Times New Roman" w:hAnsi="Times New Roman" w:eastAsia="仿宋_GB2312"/>
                <w:sz w:val="15"/>
                <w:szCs w:val="24"/>
              </w:rPr>
              <w:t>电脑、打印机、复印件、办公家具等合计307件件</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A2490"/>
    <w:multiLevelType w:val="multilevel"/>
    <w:tmpl w:val="3CDA2490"/>
    <w:lvl w:ilvl="0" w:tentative="0">
      <w:start w:val="1"/>
      <w:numFmt w:val="decimal"/>
      <w:lvlText w:val="%1、"/>
      <w:lvlJc w:val="left"/>
      <w:pPr>
        <w:tabs>
          <w:tab w:val="left" w:pos="1320"/>
        </w:tabs>
        <w:ind w:left="1320" w:hanging="84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5F051055"/>
    <w:multiLevelType w:val="multilevel"/>
    <w:tmpl w:val="5F051055"/>
    <w:lvl w:ilvl="0" w:tentative="0">
      <w:start w:val="1"/>
      <w:numFmt w:val="decimal"/>
      <w:lvlText w:val="%1、"/>
      <w:lvlJc w:val="left"/>
      <w:pPr>
        <w:tabs>
          <w:tab w:val="left" w:pos="1363"/>
        </w:tabs>
        <w:ind w:left="1363" w:hanging="720"/>
      </w:pPr>
      <w:rPr>
        <w:rFonts w:hint="default" w:cs="Times New Roman"/>
      </w:rPr>
    </w:lvl>
    <w:lvl w:ilvl="1" w:tentative="0">
      <w:start w:val="1"/>
      <w:numFmt w:val="lowerLetter"/>
      <w:lvlText w:val="%2)"/>
      <w:lvlJc w:val="left"/>
      <w:pPr>
        <w:tabs>
          <w:tab w:val="left" w:pos="1483"/>
        </w:tabs>
        <w:ind w:left="1483" w:hanging="420"/>
      </w:pPr>
      <w:rPr>
        <w:rFonts w:cs="Times New Roman"/>
      </w:rPr>
    </w:lvl>
    <w:lvl w:ilvl="2" w:tentative="0">
      <w:start w:val="1"/>
      <w:numFmt w:val="lowerRoman"/>
      <w:lvlText w:val="%3."/>
      <w:lvlJc w:val="right"/>
      <w:pPr>
        <w:tabs>
          <w:tab w:val="left" w:pos="1903"/>
        </w:tabs>
        <w:ind w:left="1903" w:hanging="420"/>
      </w:pPr>
      <w:rPr>
        <w:rFonts w:cs="Times New Roman"/>
      </w:rPr>
    </w:lvl>
    <w:lvl w:ilvl="3" w:tentative="0">
      <w:start w:val="1"/>
      <w:numFmt w:val="decimal"/>
      <w:lvlText w:val="%4."/>
      <w:lvlJc w:val="left"/>
      <w:pPr>
        <w:tabs>
          <w:tab w:val="left" w:pos="2323"/>
        </w:tabs>
        <w:ind w:left="2323" w:hanging="420"/>
      </w:pPr>
      <w:rPr>
        <w:rFonts w:cs="Times New Roman"/>
      </w:rPr>
    </w:lvl>
    <w:lvl w:ilvl="4" w:tentative="0">
      <w:start w:val="1"/>
      <w:numFmt w:val="lowerLetter"/>
      <w:lvlText w:val="%5)"/>
      <w:lvlJc w:val="left"/>
      <w:pPr>
        <w:tabs>
          <w:tab w:val="left" w:pos="2743"/>
        </w:tabs>
        <w:ind w:left="2743" w:hanging="420"/>
      </w:pPr>
      <w:rPr>
        <w:rFonts w:cs="Times New Roman"/>
      </w:rPr>
    </w:lvl>
    <w:lvl w:ilvl="5" w:tentative="0">
      <w:start w:val="1"/>
      <w:numFmt w:val="lowerRoman"/>
      <w:lvlText w:val="%6."/>
      <w:lvlJc w:val="right"/>
      <w:pPr>
        <w:tabs>
          <w:tab w:val="left" w:pos="3163"/>
        </w:tabs>
        <w:ind w:left="3163" w:hanging="420"/>
      </w:pPr>
      <w:rPr>
        <w:rFonts w:cs="Times New Roman"/>
      </w:rPr>
    </w:lvl>
    <w:lvl w:ilvl="6" w:tentative="0">
      <w:start w:val="1"/>
      <w:numFmt w:val="decimal"/>
      <w:lvlText w:val="%7."/>
      <w:lvlJc w:val="left"/>
      <w:pPr>
        <w:tabs>
          <w:tab w:val="left" w:pos="3583"/>
        </w:tabs>
        <w:ind w:left="3583" w:hanging="420"/>
      </w:pPr>
      <w:rPr>
        <w:rFonts w:cs="Times New Roman"/>
      </w:rPr>
    </w:lvl>
    <w:lvl w:ilvl="7" w:tentative="0">
      <w:start w:val="1"/>
      <w:numFmt w:val="lowerLetter"/>
      <w:lvlText w:val="%8)"/>
      <w:lvlJc w:val="left"/>
      <w:pPr>
        <w:tabs>
          <w:tab w:val="left" w:pos="4003"/>
        </w:tabs>
        <w:ind w:left="4003" w:hanging="420"/>
      </w:pPr>
      <w:rPr>
        <w:rFonts w:cs="Times New Roman"/>
      </w:rPr>
    </w:lvl>
    <w:lvl w:ilvl="8" w:tentative="0">
      <w:start w:val="1"/>
      <w:numFmt w:val="lowerRoman"/>
      <w:lvlText w:val="%9."/>
      <w:lvlJc w:val="right"/>
      <w:pPr>
        <w:tabs>
          <w:tab w:val="left" w:pos="4423"/>
        </w:tabs>
        <w:ind w:left="442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12C6"/>
    <w:rsid w:val="00026F4F"/>
    <w:rsid w:val="00065E1B"/>
    <w:rsid w:val="000E55E0"/>
    <w:rsid w:val="00121DF5"/>
    <w:rsid w:val="00235286"/>
    <w:rsid w:val="0027476F"/>
    <w:rsid w:val="00301F9F"/>
    <w:rsid w:val="00356683"/>
    <w:rsid w:val="0036792B"/>
    <w:rsid w:val="003720DE"/>
    <w:rsid w:val="003D28AD"/>
    <w:rsid w:val="003D7914"/>
    <w:rsid w:val="00474DAE"/>
    <w:rsid w:val="00494144"/>
    <w:rsid w:val="004A54AA"/>
    <w:rsid w:val="005469D9"/>
    <w:rsid w:val="00735B36"/>
    <w:rsid w:val="007757EF"/>
    <w:rsid w:val="007A4CC0"/>
    <w:rsid w:val="00807A76"/>
    <w:rsid w:val="008F0EB4"/>
    <w:rsid w:val="009227A1"/>
    <w:rsid w:val="00A218C6"/>
    <w:rsid w:val="00B17B32"/>
    <w:rsid w:val="00B408F4"/>
    <w:rsid w:val="00B7073B"/>
    <w:rsid w:val="00B80935"/>
    <w:rsid w:val="00C928EF"/>
    <w:rsid w:val="00D1171B"/>
    <w:rsid w:val="00D347CC"/>
    <w:rsid w:val="00D418D4"/>
    <w:rsid w:val="00D63E98"/>
    <w:rsid w:val="00E27CE3"/>
    <w:rsid w:val="00E90E97"/>
    <w:rsid w:val="00F50BF8"/>
    <w:rsid w:val="00FD4BF0"/>
    <w:rsid w:val="00FE5E73"/>
    <w:rsid w:val="15966117"/>
    <w:rsid w:val="7D3E68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705</Words>
  <Characters>4023</Characters>
  <Lines>33</Lines>
  <Paragraphs>9</Paragraphs>
  <TotalTime>9200</TotalTime>
  <ScaleCrop>false</ScaleCrop>
  <LinksUpToDate>false</LinksUpToDate>
  <CharactersWithSpaces>4719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2022-07-08T02:15:18Z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59E9E681F439441C8205EE5943E76302</vt:lpwstr>
  </property>
</Properties>
</file>