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lang w:val="en-US" w:eastAsia="zh-CN"/>
        </w:rPr>
        <w:t>疾病预防控制中心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疾病预防控制中心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1、研究提出急慢性传染病、慢性非传染性疾病、地方病、寄生虫病、职业病等疾病的预防控制规划，制定疾病控制技术方案和对策措施的建议。２、负责疾病预防、监测与控制信息的采集整理、统计分析、综合评价及疫情报告。３、开展人群健康监测、疾病的流行病学调查，承担疾病预防、疫点控制、疫区消毒及控制效果评价。４、开展与疾病控制相关技术的科学研究、培训、咨询和指导工作</w:t>
      </w:r>
      <w:r>
        <w:rPr>
          <w:rFonts w:hint="eastAsia" w:ascii="仿宋_GB2312" w:hAnsi="仿宋_GB2312" w:eastAsia="仿宋_GB2312" w:cs="仿宋_GB2312"/>
          <w:color w:val="000000"/>
          <w:sz w:val="32"/>
          <w:szCs w:val="32"/>
          <w:lang w:eastAsia="zh-CN"/>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廊坊市广阳区疾病预防控制中心</w:t>
            </w:r>
          </w:p>
        </w:tc>
        <w:tc>
          <w:tcPr>
            <w:tcW w:w="1134"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全额事业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股级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lang w:val="en-US" w:eastAsia="zh-CN"/>
        </w:rPr>
        <w:t>廊坊市广阳区疾病预防控制中心的收支包含在部门预算中。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579.04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579.04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疾病预防控制中心2021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579.04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579.04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437.33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141.71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579.04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141.71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141.71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公用经费</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141.71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廊坊市广阳区疾病预防控制中心</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公务接待费0万元</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numPr>
          <w:ilvl w:val="0"/>
          <w:numId w:val="0"/>
        </w:numPr>
        <w:spacing w:line="584"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五、</w:t>
      </w:r>
      <w:r>
        <w:rPr>
          <w:rFonts w:ascii="Times New Roman" w:hAnsi="Times New Roman" w:eastAsia="黑体" w:cs="Times New Roman"/>
          <w:color w:val="000000" w:themeColor="text1"/>
          <w:sz w:val="32"/>
          <w:szCs w:val="32"/>
          <w14:textFill>
            <w14:solidFill>
              <w14:schemeClr w14:val="tx1"/>
            </w14:solidFill>
          </w14:textFill>
        </w:rPr>
        <w:t>绩效预算信息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广阳区疾病预防控制中心在区委区政府和区卫健局的坚强领导下，在上级业务主管部门的重视帮助下，全面贯彻落实习近平新时代中国特色社会主义思想，</w:t>
      </w:r>
      <w:r>
        <w:rPr>
          <w:rFonts w:hint="eastAsia" w:ascii="仿宋_GB2312" w:eastAsia="仿宋_GB2312"/>
          <w:sz w:val="32"/>
          <w:szCs w:val="32"/>
          <w:lang w:val="en-US" w:eastAsia="zh-CN"/>
        </w:rPr>
        <w:t>全年目标如下：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一是按照《突发公共卫生事件应急条例》和各类应急预案的要求，依法开展卫生应急工作，完善部门协调，规范信息报告，进一步加强中心应急指挥调度、现场应急防控队伍和物资储备等工作。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是加强对医疗单位疾控工作的指导与考核，按照上级提出的指导原则，认真制定计划，加强直接面向基层医疗机构的业务指导，提高防保人员、乡村医生传染病防治的业务素质，及时发现问题，提高疾病控制工作质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是不断完善监测预警系统，加强各类医疗机构的传染病报告管理，规范监测哨点的工作，建立和完善疫情公共信息平台，完善疫情信息管理，加强公共卫生信息预测分析，增强预警预报和快速反应能力，对疫情网络直报确定专人实行定时监控，按时审核，加强主动搜索，及时分析和预测全区疫情动态变化，加强疫情信息的分析和利用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四是</w:t>
      </w:r>
      <w:r>
        <w:rPr>
          <w:rFonts w:hint="eastAsia" w:ascii="仿宋_GB2312" w:eastAsia="仿宋_GB2312"/>
          <w:sz w:val="32"/>
          <w:szCs w:val="32"/>
        </w:rPr>
        <w:t>强化疫情报告管理工作。依法健全了疫情管理组织，制定了疫情报告制度，确保疫情电话24小时畅通，安排专人24小时负责网络直报的卡片审核工作，确保疫情报出后及时审核并处理。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五是</w:t>
      </w:r>
      <w:r>
        <w:rPr>
          <w:rFonts w:hint="eastAsia" w:ascii="仿宋_GB2312" w:eastAsia="仿宋_GB2312"/>
          <w:sz w:val="32"/>
          <w:szCs w:val="32"/>
        </w:rPr>
        <w:t>为提高免疫接种率,我中心积极创造条件支持、指导各接种门诊增加冷链系统运转次数，市区内接种门诊全部实行日接种，乡镇接种门诊全部实行了周接种。我中心加强了生物制品的运输、使用等各个环节的管理和对各预防接种门诊计划免疫工作的督导检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（二）分项</w:t>
      </w:r>
      <w:r>
        <w:rPr>
          <w:rFonts w:hint="eastAsia" w:ascii="楷体_GB2312" w:hAnsi="楷体_GB2312" w:eastAsia="楷体_GB2312" w:cs="楷体_GB2312"/>
          <w:b/>
          <w:sz w:val="32"/>
          <w:szCs w:val="32"/>
        </w:rPr>
        <w:t>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传染病防治工作：</w:t>
      </w:r>
      <w:r>
        <w:rPr>
          <w:rFonts w:hint="eastAsia" w:ascii="仿宋_GB2312" w:eastAsia="仿宋_GB2312"/>
          <w:sz w:val="32"/>
          <w:szCs w:val="32"/>
        </w:rPr>
        <w:t>依法开展卫生应急工作，完善部门协调，规范信息报告，进一步加强中心应急指挥调度、现场应急防控队伍和物资储备等工作。认真学习各类《突发公共卫生事件应急预案》、《群体性不明原因疾病应急处置预案》和各种技术方案，针对可能出现的各种突发事件，继续修订完善相应的应急预案并有效运行，有计划地添置必要的防控装备和设施，一旦发现疫情及时作出响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切实加强手足口病防控。为进一步加强手足口病的预防控制工作，指导和规范手足口病疫情处置，我中心修订完善了《广阳区手足口病预防控制工作方案》，并根据方案积极深入医疗机构、乡村、学校、托幼机构等搜索疫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开展霍乱监测工作。每年的5-10月，每旬到广阳区医院和广阳区妇幼保健院开展门诊病例主动搜索工作，并有计划、有重点地对外环境水、市售（海）水产品、市售食品等开展霍乱监测。此外，对5家乡镇卫生院和2家区级医院进行肠道门诊督导检查，督导覆盖率100%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开展食源性疾病监测工作。在辖区内的各乡镇卫生院、公立社区卫生服务中心、二级以上医疗机构设置了13家食源性疾病监测哨点，对疑似与食品有关的生物性、化学性、有毒动植物性的感染或中毒病例、异常病例进行监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开展性病艾滋病防治工作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健全组织制度和工作机制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我区成立了由区政府主管领导负责，区直各部门主要负责同志为成员的防治艾滋病工作委员会，并下设办公室，明确了艾滋病防治成员单位工作职责和分工。开展高危人群行为干预和重点人群宣传活动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开展新冠肺炎疫情防控工作。中心全体人员开展了疫情防控业务培训，安排落实疫情防控工作，区疾控中心成立疫情防控应急领导小组，全员分成疫情应急处置、密切接触者追踪管理、样本转运、消杀和技术指导、疫情信息、集中隔离点防控组、后勤保障等十二个专业小组，各司其职，相互配合开展疫情防控工作。疾控中心专业技术人员深入到辖区各医疗机构，对预检分诊以及发热门诊的设置、病例监测、个人防护和特定场所消杀开展全面指导；同时，对应急物资进行盘点，积极联系供应厂家紧急采购应急物资，为我中心前期紧急状态下的疫情防控工作提供了物资保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（三）工作保障措施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做好春季和秋季学校复课工作，区疾控中心开展了多次专项培训、应急推演、现场指导等周密的前期工作，开学后又选派疫情防控技术人员进驻各复学学校进行现场指导；确保辖区学校顺利复学，保障广大师生健康安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提高免疫接种率,我中心积极创造条件支持、指导各接种门诊增加冷链系统运转次数，市区内接种门诊全部实行了日接种，乡镇接种门诊全部实行了周接种。我中心加强了生物制品的运输、使用等各个环节的管理和对各预防接种门诊计划免疫工作的督导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为防止我区麻疹疫情的“抬头”，我中心要求各接种门诊在常规接种的基础上对本辖区儿童进行疫苗的查漏补种工作，纳入对各预防接种单位的日常工作考核。实行周报告制度,每周通报全区麻疹疫情形势。</w:t>
      </w:r>
    </w:p>
    <w:p>
      <w:pPr>
        <w:spacing w:line="584"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rPr>
        <w:t>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083"/>
        <w:gridCol w:w="1986"/>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一级指标</w:t>
            </w:r>
          </w:p>
        </w:tc>
        <w:tc>
          <w:tcPr>
            <w:tcW w:w="825"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二级</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w:t>
            </w:r>
          </w:p>
        </w:tc>
        <w:tc>
          <w:tcPr>
            <w:tcW w:w="1083"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三级</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w:t>
            </w:r>
          </w:p>
        </w:tc>
        <w:tc>
          <w:tcPr>
            <w:tcW w:w="198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评（扣）分标准</w:t>
            </w:r>
          </w:p>
        </w:tc>
        <w:tc>
          <w:tcPr>
            <w:tcW w:w="1483"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绩效指标</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描述</w:t>
            </w:r>
          </w:p>
        </w:tc>
        <w:tc>
          <w:tcPr>
            <w:tcW w:w="1604"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指标值</w:t>
            </w:r>
          </w:p>
        </w:tc>
        <w:tc>
          <w:tcPr>
            <w:tcW w:w="1277"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指标值</w:t>
            </w:r>
          </w:p>
          <w:p>
            <w:pPr>
              <w:keepNext w:val="0"/>
              <w:keepLines w:val="0"/>
              <w:widowControl/>
              <w:suppressLineNumbers w:val="0"/>
              <w:adjustRightInd w:val="0"/>
              <w:snapToGrid w:val="0"/>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825"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083"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986"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483"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符号</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值</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黑体" w:hAnsi="黑体" w:eastAsia="黑体" w:cs="黑体"/>
                <w:b w:val="0"/>
                <w:bCs/>
              </w:rPr>
            </w:pPr>
            <w:r>
              <w:rPr>
                <w:rFonts w:hint="default" w:ascii="黑体" w:hAnsi="黑体" w:eastAsia="黑体" w:cs="黑体"/>
                <w:b w:val="0"/>
                <w:bCs/>
              </w:rPr>
              <w:t>单位</w:t>
            </w:r>
          </w:p>
        </w:tc>
        <w:tc>
          <w:tcPr>
            <w:tcW w:w="1277"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20" w:hRule="atLeast"/>
          <w:jc w:val="center"/>
        </w:trPr>
        <w:tc>
          <w:tcPr>
            <w:tcW w:w="55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0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绩效数量</w:t>
            </w:r>
          </w:p>
        </w:tc>
        <w:tc>
          <w:tcPr>
            <w:tcW w:w="198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广阳区卫健局绩效数量</w:t>
            </w:r>
          </w:p>
        </w:tc>
        <w:tc>
          <w:tcPr>
            <w:tcW w:w="543" w:type="dxa"/>
            <w:tcBorders>
              <w:tl2br w:val="nil"/>
              <w:tr2bl w:val="nil"/>
            </w:tcBorders>
            <w:vAlign w:val="center"/>
          </w:tcPr>
          <w:p>
            <w:pPr>
              <w:keepNext w:val="0"/>
              <w:keepLines w:val="0"/>
              <w:widowControl/>
              <w:suppressLineNumbers w:val="0"/>
              <w:tabs>
                <w:tab w:val="left" w:pos="419"/>
              </w:tabs>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p>
            <w:pPr>
              <w:keepNext w:val="0"/>
              <w:keepLines w:val="0"/>
              <w:widowControl/>
              <w:suppressLineNumbers w:val="0"/>
              <w:tabs>
                <w:tab w:val="left" w:pos="419"/>
              </w:tabs>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0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发放率</w:t>
            </w:r>
          </w:p>
        </w:tc>
        <w:tc>
          <w:tcPr>
            <w:tcW w:w="198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发放率</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0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完成时间</w:t>
            </w:r>
          </w:p>
        </w:tc>
        <w:tc>
          <w:tcPr>
            <w:tcW w:w="198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完成工作需要的时间</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月</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0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绩效费用</w:t>
            </w:r>
          </w:p>
        </w:tc>
        <w:tc>
          <w:tcPr>
            <w:tcW w:w="198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广阳区卫健局绩效费用</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6797.36</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万元</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社会</w:t>
            </w:r>
          </w:p>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10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社会稳定水平</w:t>
            </w:r>
          </w:p>
        </w:tc>
        <w:tc>
          <w:tcPr>
            <w:tcW w:w="198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48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社会稳定水平</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提高</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2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083"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kern w:val="2"/>
                <w:sz w:val="21"/>
                <w:szCs w:val="22"/>
                <w:lang w:val="en-US" w:eastAsia="zh-CN" w:bidi="ar"/>
              </w:rPr>
              <w:t>服务对象满意度指标</w:t>
            </w:r>
          </w:p>
        </w:tc>
        <w:tc>
          <w:tcPr>
            <w:tcW w:w="1986"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483" w:type="dxa"/>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辖区居民满意人数/总人数</w:t>
            </w:r>
          </w:p>
        </w:tc>
        <w:tc>
          <w:tcPr>
            <w:tcW w:w="54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57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w:t>
      </w:r>
    </w:p>
    <w:p>
      <w:pPr>
        <w:jc w:val="center"/>
        <w:outlineLvl w:val="1"/>
        <w:rPr>
          <w:rFonts w:hint="eastAsia" w:ascii="黑体" w:hAnsi="黑体" w:eastAsia="黑体" w:cs="黑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黑体" w:hAnsi="黑体" w:eastAsia="黑体" w:cs="黑体"/>
                <w:sz w:val="24"/>
                <w:lang w:val="en-US" w:eastAsia="zh-CN"/>
              </w:rPr>
            </w:pPr>
            <w:r>
              <w:rPr>
                <w:rFonts w:hint="eastAsia" w:ascii="黑体" w:hAnsi="黑体" w:eastAsia="黑体" w:cs="黑体"/>
                <w:sz w:val="24"/>
                <w:lang w:val="en-US" w:eastAsia="zh-CN"/>
              </w:rPr>
              <w:t>[570007]廊坊市广阳区疾病预防控制中心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政府采购项目来源</w:t>
            </w:r>
          </w:p>
        </w:tc>
        <w:tc>
          <w:tcPr>
            <w:tcW w:w="153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采购物品名称</w:t>
            </w:r>
          </w:p>
        </w:tc>
        <w:tc>
          <w:tcPr>
            <w:tcW w:w="153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政府采购目录序号</w:t>
            </w:r>
          </w:p>
        </w:tc>
        <w:tc>
          <w:tcPr>
            <w:tcW w:w="7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计量  单位</w:t>
            </w:r>
          </w:p>
        </w:tc>
        <w:tc>
          <w:tcPr>
            <w:tcW w:w="90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数量</w:t>
            </w:r>
          </w:p>
        </w:tc>
        <w:tc>
          <w:tcPr>
            <w:tcW w:w="90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单价</w:t>
            </w:r>
          </w:p>
        </w:tc>
        <w:tc>
          <w:tcPr>
            <w:tcW w:w="6804" w:type="dxa"/>
            <w:gridSpan w:val="6"/>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项目名称</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预算资金</w:t>
            </w:r>
          </w:p>
        </w:tc>
        <w:tc>
          <w:tcPr>
            <w:tcW w:w="1531"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1531"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709"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907"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907" w:type="dxa"/>
            <w:vMerge w:val="continue"/>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合计</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一般公共预算拨款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基金预算拨款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国有资本经营预算拨款</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财政专户核拨</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r>
              <w:rPr>
                <w:rFonts w:hint="eastAsia" w:ascii="黑体" w:hAnsi="黑体" w:eastAsia="黑体" w:cs="黑体"/>
                <w:b w:val="0"/>
                <w:bCs/>
              </w:rPr>
              <w:t>合  计</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lang w:val="en-US" w:eastAsia="zh-C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黑体" w:hAnsi="黑体" w:eastAsia="黑体" w:cs="黑体"/>
                <w:b w:val="0"/>
                <w:bCs/>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eastAsia" w:ascii="黑体" w:hAnsi="黑体" w:eastAsia="黑体" w:cs="黑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53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70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0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bookmarkEnd w:id="0"/>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疾病预防控制中心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438.33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val="en-US" w:eastAsia="zh-CN"/>
              </w:rPr>
              <w:t>疾病预防控制中心</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广阳区疾病预防控制中心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438.33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320.33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27A0DA5"/>
    <w:rsid w:val="05E55CE2"/>
    <w:rsid w:val="1EC64FD7"/>
    <w:rsid w:val="4099542F"/>
    <w:rsid w:val="4522737D"/>
    <w:rsid w:val="534A0234"/>
    <w:rsid w:val="594408AB"/>
    <w:rsid w:val="5F8C261C"/>
    <w:rsid w:val="69EE2873"/>
    <w:rsid w:val="78354E19"/>
    <w:rsid w:val="7F74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0</TotalTime>
  <ScaleCrop>false</ScaleCrop>
  <LinksUpToDate>false</LinksUpToDate>
  <CharactersWithSpaces>3288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2022-07-08T02:45:42Z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14F1FE89166E4D12A744F95F690AB18B</vt:lpwstr>
  </property>
</Properties>
</file>