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4" w:name="_GoBack"/>
      <w:r>
        <w:rPr>
          <w:rFonts w:hint="eastAsia" w:ascii="Times New Roman" w:hAnsi="Times New Roman" w:eastAsia="方正小标宋简体" w:cs="Times New Roman"/>
          <w:sz w:val="44"/>
          <w:szCs w:val="44"/>
        </w:rPr>
        <w:t>群众艺术馆</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4"/>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广阳区群众艺术馆</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1、面向基层，宣传、普及文化艺术知识，辅导群众业余文化艺术活动，培养基层群众文艺骨干，组织开展各类群众文化艺术培训，不断提高全区群众文化活动水平。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2、坚持“二为”方向，“双百方针”和“精品”战略，组织专业、业余文化艺术工作者开展创作，排演文艺节目，积极唱响主旋律。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3、组织开展文化艺术研究活动，挖掘、整理、保护辖区民族民间文化艺术遗产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围绕全区中心工作，开展丰富多彩的群众文化艺术活动，创新群众文化艺术活动形式，举办文艺演出、文艺展览、文艺比赛等。巩固和完善城乡文化阵地，积极开展各项馆办活动，深入开展文化下乡活动，不断满足人民群众日益增长的文化生活需求。   </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18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12"/>
        <w:gridCol w:w="2541"/>
        <w:gridCol w:w="1276"/>
        <w:gridCol w:w="32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81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2541"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1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812" w:type="dxa"/>
            <w:vMerge w:val="continue"/>
            <w:shd w:val="clear" w:color="auto" w:fill="auto"/>
            <w:vAlign w:val="center"/>
          </w:tcPr>
          <w:p/>
        </w:tc>
        <w:tc>
          <w:tcPr>
            <w:tcW w:w="2541" w:type="dxa"/>
            <w:vMerge w:val="continue"/>
            <w:shd w:val="clear" w:color="auto" w:fill="auto"/>
            <w:vAlign w:val="center"/>
          </w:tcPr>
          <w:p/>
        </w:tc>
        <w:tc>
          <w:tcPr>
            <w:tcW w:w="1276" w:type="dxa"/>
            <w:vMerge w:val="continue"/>
            <w:shd w:val="clear" w:color="auto" w:fill="auto"/>
            <w:vAlign w:val="center"/>
          </w:tcPr>
          <w:p/>
        </w:tc>
        <w:tc>
          <w:tcPr>
            <w:tcW w:w="3213"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812" w:type="dxa"/>
            <w:shd w:val="clear" w:color="auto" w:fill="auto"/>
            <w:vAlign w:val="center"/>
          </w:tcPr>
          <w:p>
            <w:pPr>
              <w:widowControl/>
              <w:spacing w:line="57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廊坊市广阳区群众艺术馆</w:t>
            </w:r>
          </w:p>
        </w:tc>
        <w:tc>
          <w:tcPr>
            <w:tcW w:w="2541" w:type="dxa"/>
            <w:shd w:val="clear" w:color="auto" w:fill="auto"/>
            <w:vAlign w:val="center"/>
          </w:tcPr>
          <w:p>
            <w:pPr>
              <w:widowControl/>
              <w:spacing w:line="570" w:lineRule="exact"/>
              <w:jc w:val="center"/>
              <w:rPr>
                <w:rFonts w:ascii="仿宋_GB2312" w:hAnsi="仿宋_GB2312" w:eastAsia="仿宋_GB2312" w:cs="仿宋_GB2312"/>
                <w:kern w:val="0"/>
                <w:szCs w:val="21"/>
                <w:highlight w:val="yellow"/>
              </w:rPr>
            </w:pPr>
            <w:r>
              <w:rPr>
                <w:rFonts w:hint="eastAsia" w:ascii="仿宋_GB2312" w:hAnsi="仿宋_GB2312" w:eastAsia="仿宋_GB2312" w:cs="仿宋_GB2312"/>
                <w:kern w:val="0"/>
                <w:szCs w:val="21"/>
              </w:rPr>
              <w:t>全额事业</w:t>
            </w:r>
          </w:p>
        </w:tc>
        <w:tc>
          <w:tcPr>
            <w:tcW w:w="1276" w:type="dxa"/>
            <w:shd w:val="clear" w:color="auto" w:fill="auto"/>
            <w:vAlign w:val="center"/>
          </w:tcPr>
          <w:p>
            <w:pPr>
              <w:widowControl/>
              <w:spacing w:line="57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正股级</w:t>
            </w:r>
          </w:p>
        </w:tc>
        <w:tc>
          <w:tcPr>
            <w:tcW w:w="3213" w:type="dxa"/>
            <w:shd w:val="clear" w:color="auto" w:fill="auto"/>
            <w:vAlign w:val="center"/>
          </w:tcPr>
          <w:p>
            <w:pPr>
              <w:widowControl/>
              <w:spacing w:line="57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广阳区群众艺术馆的</w:t>
      </w:r>
      <w:r>
        <w:rPr>
          <w:rFonts w:ascii="Times New Roman" w:hAnsi="Times New Roman" w:eastAsia="仿宋_GB2312" w:cs="Times New Roman"/>
          <w:sz w:val="32"/>
          <w:szCs w:val="32"/>
        </w:rPr>
        <w:t>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243.33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243.33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，上年结转0万元。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广阳区群众艺术馆</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243.33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220.93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217.96</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2.97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22.40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243.33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减少18.36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减少18.36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27" w:firstLineChars="196"/>
        <w:jc w:val="left"/>
        <w:rPr>
          <w:rFonts w:ascii="Times New Roman" w:hAnsi="Times New Roman" w:eastAsia="仿宋_GB2312" w:cs="Times New Roman"/>
          <w:bCs/>
          <w:sz w:val="32"/>
          <w:szCs w:val="32"/>
        </w:rPr>
      </w:pPr>
      <w:r>
        <w:rPr>
          <w:rFonts w:hint="eastAsia" w:ascii="仿宋_GB2312" w:hAnsi="仿宋_GB2312" w:eastAsia="仿宋_GB2312" w:cs="仿宋_GB2312"/>
          <w:bCs/>
          <w:sz w:val="32"/>
          <w:szCs w:val="32"/>
        </w:rPr>
        <w:t>2021年，我单位机关运行经费共计安排0万元。</w:t>
      </w:r>
    </w:p>
    <w:p>
      <w:pPr>
        <w:numPr>
          <w:ilvl w:val="0"/>
          <w:numId w:val="1"/>
        </w:numPr>
        <w:autoSpaceDE w:val="0"/>
        <w:autoSpaceDN w:val="0"/>
        <w:adjustRightInd w:val="0"/>
        <w:spacing w:line="584"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财政拨款“三公”经费预算情况及增减变化原因</w:t>
      </w:r>
    </w:p>
    <w:p>
      <w:pPr>
        <w:autoSpaceDE w:val="0"/>
        <w:autoSpaceDN w:val="0"/>
        <w:adjustRightInd w:val="0"/>
        <w:spacing w:line="584" w:lineRule="exact"/>
        <w:ind w:firstLine="640" w:firstLineChars="200"/>
        <w:jc w:val="left"/>
        <w:rPr>
          <w:rFonts w:ascii="黑体" w:hAnsi="黑体" w:eastAsia="黑体" w:cs="黑体"/>
          <w:bCs/>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因公出国（境）费0万元；公务用车购置及运维费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万元（其中：公务用车购置费为0万元，公务用车运维费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万元)；公务接待费0万元。与20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1、文化方面。</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完善公共文服务体系，做好示范区后续建设。持续推动国家公共文化服务体系示范区后续建设，推动地方政策落实主体责任。坚持问题导向，吃透标准，认真查找和梳理存在的差距、问题和不足。切实把短板补齐、补到位，确保验收工作顺利完成。为更好的提高和完善广阳区公共文化服务建设，广阳区采取典型示范作用，加强业务指导及督导，使用利用好公共文化专项资金，加强绩效管理，不断提升基层文化服务供给、服务质量、服务效能，逐步提高广阳基层公共文化服务建设水平。同时，加强区群艺馆总分馆之间联合互动，实现公共文化资源共享，2021年10月前完成总分馆建设。</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强化阅读载体，丰富图书馆阵地活动。在疫情防控暂未解除之前，继续采取线上与线下相结合的方式，大力举办丰富多彩的阅读推广活动，尤其在传统节日和纪念日推出各类主题活动，助力全民阅读的深入开展。春秋季节，广泛开展流动图书车下乡和进社区活动，将图书馆工作延伸到最基层，全年流动服务不少于30次。继续深入推进总分馆建设，在初步建立我区的公共图书馆服务体系的基础上，进一步完善各项总分馆制度建设，重新录入分馆图书资源，实现总分馆之间通借通还。</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推进“七进”惠民演出，丰富群众文化生活。继续按省、市民心工程工作安排，开展广阳区“进企业、进农村、进机关、进校园、进社区、进网站、进军营”文化惠民演出活动。文化惠民演出的形式根据群众的文化需求安排戏曲专场、综艺演出，专业演出团队和群众文化队伍相结合，从而调动群众文化队伍和基层文艺骨干的积极性，创作出更多更好的民间文艺作品，提高群众文化队伍的文化素质和艺术水平。2021年9月底前完成文化惠民演出60场，全年不少于84场。2021年6月前，完成基层文化人才队伍建设，6—12月，每月集中培训一次，并编辑电子刊物或纸质内刊。2021年6月前，建成广阳区文化阵地——广阳区曲艺社，为广大曲艺爱好提供活动平台。</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2、旅游方面。</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三区合作举办2021年文化旅游季系列活动。一是指导和推进新朝阳文旅综合体、伊尔假日汤泉创建A级旅游景区。二是充分发挥我区乡村旅游示范创建的带头作用，发动指导旅游基础条件好的工（农）业企业和村落积极参加申报创建市级工（农）业旅游示范点和市级乡村旅游示范村。三是按照《河北省旅游厕所建设管理新三年行动计划（2018-2020）》要求，根据全区旅游厕所建设管理三年行动计划，我局按照工作任务开展旅游厕所建设管理行动，2020年计划建设旅游厕所10座，争取省、市级旅游公共服务设施资金支持，着力解决“找厕难”问题，确保将“厕所革命”引向深入、落到实处。四是召开2020年广阳区文化旅游产业发展大会。在成功举办2019广阳区首届文旅产业发展大会的基础上，召开2020年广阳区文化旅游产业发展大会，以乡村振兴和产业结构调整为立足点，实现以会促建，以会促产，以会促品，推动文化和旅游产业深度融合，扩大广阳在京津冀的区域影响力，推动实现创新发展、绿色发展、高质发展，为建设经济强区做出新贡献。</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（2）依托重点文旅项目资源打造区域经济圈。</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随着机场临空区的全面启动和城市经济的提质提速，区委、区政府提出“一核两区五带”总体发展框架，文化产业的发展也进入了快车道。依托旧州组团，打造文化旅游高端产业聚集区，重点抓好三五中国梦之城、远景企鹅生态村等重大文旅产业项目建成落地，以大型文旅项目带动劳动就业、经济增长；依托九州南汉宫廷艺术小镇特色文旅项目，打造特色产业园区，进一步加强规划引领，加大文旅扶持力度，预留文旅特色产业园区，充分发挥南汉非遗小镇的辐射带动作用，把非遗文化和田园生态资源转变成发展硬核，通过高端规划、深度开发，形成特色鲜明、产业突出、辐射效应明显的特色文旅小镇。在城市的核心区，依托现有商务楼宇，紧扣“文旅+”发展模式，大力推动城市布局和功能融合发展，注重加快文化旅游与科技的深度整合，让大数据、人工智能等科技在文旅领域广泛应用，打造一批特色“文旅+”城市综合体，培育广阳经济新的增长点。为进一步助推我区旅游产业发展，计划开展乡村旅游购物系列季和文化旅游创意大赛两项活动。</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3、文化市场管理方面。</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文化市场加大日常监管力度，重点排查辖区网吧、歌舞、游艺娱乐等公众聚集文化经营场所，查找场所在经营管理、消防安全等方面的死角和漏洞。及时预防并排除苗头性、倾向性问题，并将有关信息上报市文化市场综合执法局，防止发生重大安全责任事故。每年至少召开一次文广旅系统的安全生产培训会，并传达相关部门的文件及工作要求，督导企业制定实施。深入推进本行业安全生产“双控”机制建设，在生产经营单位全面建立制度健全、职责明晰、运行规范、管控有效的“双控”机制，全面提升生产经营单位安全生产管理水平，确保全区安全生产形势稳定。</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廊坊市广阳区文化广电和旅游局职责分为：文化艺术管理、文化旅游宣传交流、文化保护、文化政务管理、广电管理和产业发展、旅游发展规划。</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文化艺术管理主要是管理和指导全区文化建设，推进文化发展环境能力建设，提供公共文化服务、文化艺术资源建设和文化艺术生产，使文化发展环境健康向上，文化发展能力不断增强，文化艺术资源丰富，公共文化服务和文化艺术生产水平不断提高，河北文化影响力日益扩大。主要通过送公益流动文化服务进基层完成率、公共文化场馆免费率、文化设施达标率、补助资金到位率和受益群众对免费开放场馆（站）服务的满意度五项绩效指标，使公共文化设施达标，机构和队伍健全，实现公共文化资源共享，形成城乡一体公共文化服务网络；公共文化产品生产和服务能力提高，基本公共文化服务标准化、均等化水平不断提高。全年送公益流动文化服务进基层完成率优秀达到100%；公共文化场馆免费率优秀达到100%；文化设施达标率优秀大于等于90%；补助资金到位率优秀优秀达到100%；受益群众对免费开放场馆（站）服务的满意度优秀大于等于90%。</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文化旅游宣传交流是指导、组织区优秀文化产品、服务和品牌活动宣传推介；组织全县对外文化交流活动。使对外文化交流档次和水平提升，对外文化贸易不断发展，我省文化国内国际影响力扩大。主要通过实际组织推介申报占应申报推介的比重、推介和获奖项目媒体宣传率和推介成功率和获奖率三项绩效指标，推动更多文化项目入选世界、国家名录和扶持项目；推动更多文化项目取得大赛名次和被认知；提高县文化的影响力。全年实际组织推介申报占应申报推介的比重、推介和获奖项目媒体宣传率和推介成功率和获奖率三项绩效指标优秀达到100%。</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文化保护和旅游发展规划是指导、组织开展文化保护工作；组织实施优秀民族文化的传承普及工作；维护国家文化安全。策划、推广全区旅游产品及旅游线路，开展国内外旅游市场促销工作，指导支持旅游市场开发工作。构建健全的文化保护体系，文化保护工作得到全面加强，优秀文化得到传承和发扬。通过旅游市场开发推广及交流合作，有效提高知名度、美誉度和影响力，吸引更多游客来旅游。主要通过项目完工率、展示和传承优秀项目占比率、濒危和重点项目有效保护覆盖率、工程完工率、工程验收合格率、综合利用率、新建和改建旅游厕所质量达标率、受益群体满意度等绩效指标，使得珍贵、濒危的非物质文化遗产得到有效抢救和保护，优秀特色文化得到传承和发扬。对全区旅游公共服务设施建设考察、验收，有效提高全区旅游规划目标，对省、市旅游专项资金进行合理分配、发放，完成其他旅游领域发展目标，提高游客满意度。全年项目完工率优秀大于等于85%；展示和传承优秀项目占比率优秀率大于等于60%；濒危和重点项目有效保护覆盖率优秀大于等于90%；工程完工率优秀达到100%；工程验收合格率优秀达到100%；综合利用率优秀大于等于90%；、新建和改建旅游厕所质量达标率优秀达到100%；、受益群体满意度大于等于90%。</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文化政务管理是负责系统综合业务管理和机关综合事务管理。确保各项业务工作谋划到位、顺利开展。保障机关工作正常高效运转。主要通过综合业务管理工作完成率、市场秩序状况达标率、违规违法查处案件完成率、行政管理工作目标达标率、综合事务管理工作完成率和专项业务工作组织管理目标达标率这几项绩效指标，拟定全区文化艺术方面有关发展规划、政策制度，开展调查研究，履行文化市场监管职责，开展文化宣传、保护等业务管理工作。改善文化管理和发展硬件、软件水平；加强文化队伍和艺术教育建设；加快文化科研和信息化建设，保障机关运转。确保各项业务工作谋划到位、顺利开展。保障机关工作正常高效运转。全年综合业务管理工作完成率、市场秩序状况达标率、违规违法查处案件完成率、行政管理工作目标达标率、综合事务管理工作完成率和专项业务工作组织管理目标达标率这几项绩效指标优秀达到100%。</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广电管理和产业发展拟订全区文化产业政策和发展规划并组织实施；指导、促进文化产业相关门类及新型业态发展；推动全区文化产业投融资体系建设；指导全区文化产业园区、基地建设。指导文化产业科研工作及成果推广；组织协调全区文化行业信息化、标准化工作；指导全区文化产业装备技术提升。负责全区“文化+”相关工作，促进文化与旅游等相关产业融合发展；承担全区文化产业调研与统计工作。拟订全区广播电视传输覆盖网和监测监管网的规划并推进建设；指导协调广播电视重大宣传活动及重大突发事件报道和应急播报；指导、监管全区广播电视安全播出工作和设施保护工作；指导推进全区应急广播体系建设；指导、监督电视动画片的制作与播出；指导、监督管理广播电视广告播放及影视文艺节目统一供片工作；对广播电视公益广告创作、制作、播出进行管理；协调推进三网融合，推进广播电视与新媒体技术新业态创新融合发展；协调推进广播电视公共服务均等化和城乡一体化发展，组织监督全区广播电视“户户通”工程；对信息网络和公共载体传播的视听节目进行监管，承担节目应急处置工作；负责全区广播电视统计工作。</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旅游管理拟订全区旅游公共服务政策及公共旅游事业发展规划并组织实施；拟订全区旅游公共服务标准并监督实施；拟订全区旅游产业政策和发展规划并组织实施。指导、促进旅游产业相关门类及新型业态发展；推动全区旅游产业投融资体系建设；促进旅游、文化与相关产业融合发展；指导全区旅游产业项目建设；组织协调全区旅游行业信息化、标准化工作；指导全区旅游装备技术提升；指导全区旅游行业职业教育工作。承担全区旅游资源普查、规划、开发和保护；负责全区乡村旅游发展工作；指导、推进全区全域旅游示范区、旅游度假区创建工作；指导全区重点旅游区域、目的地、线路的规划工作；指导全区旅游产品创新及开发体系建设。指导文化公园建设；承担红色旅游相关工作。指导、管理、协调、组织旅游对外宣传、交流、合作。负责全区性旅游统计工作。工程完工率优秀达到100%；工程验收合格率优秀达到100%；综合利用率优秀大于等于90%；新建和改建旅游厕所质量达标率优秀达到100%；受益群体满意度优秀大于等于90%。 </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加强组织领导。强化领导班子和文广旅局内部各部门之间的分工合作，加大对全区文化、广电、旅游工作的统筹和指导力度。建立健全局党组统一领导、部门单位分工负责的工作机制，从而形成合力，共同推动各项工作的实施。</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落实投入资金。充分发挥政府在公共文化建设中的主导作用，建立公共文化、广电、旅游设施建设的刚性投入机制，为文化设施建设和文化活动开展提供财力保障。将公共文化、广电、旅游基础设施的建设以及维护、管理资金，列入基本建设投资计划和财政预算，对各建设项目进行分解，明确责任主体、落实建设经费。</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3、建立反馈机制。建立以群众需求为导向的动态评价和反馈机制，使公共文化围绕群众需要提供服务、根据</w:t>
      </w:r>
      <w:bookmarkStart w:id="0" w:name="baidusnap4"/>
      <w:bookmarkEnd w:id="0"/>
      <w:r>
        <w:rPr>
          <w:rFonts w:hint="eastAsia" w:ascii="仿宋_GB2312" w:hAnsi="仿宋_GB2312" w:eastAsia="仿宋_GB2312" w:cs="仿宋_GB2312"/>
          <w:sz w:val="32"/>
          <w:szCs w:val="32"/>
        </w:rPr>
        <w:t>群众评价改进服务，从而不断提升公共文化服务的针对性、吸引力和满意度，最大限度地发挥其公共文化服务职能。</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强化目标考核。将文化、广电、旅游工作的总体任务进行分解并纳入年度目标考核，使各部门进一步落实工作责任，明确工作任务、进度时间，确保按计划、按目标完成各项工作。对于完成较好、提前完成并通过检查验收的给予奖励，对于工作推动落实不力的，予以通报。 </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5、支持产业发展。找准广阳文化、广电、旅游产业定位和发展方向，主动接受和吸收京津产业的辐射和转移，发挥自身优势，借力首都资源，形成既具有广阳特色又具有现代水准的产业发展格局。</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6、加强队伍建设。一是建立和完善奖励激励机制，调动文体旅游工作者的积极性，二是在各类工程建设中注重引进人才来广阳创业，三是加强文化辅导和培训，建设一支懂经营、会管理的复合型人才队伍。</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7、营造良好氛围。积极采取专项治理、行业自治、社会监督等有效措施，加大文化市场整顿规范工作的力度，促进其健康有序发展，营造良好的社会文化环境。</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1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048"/>
        <w:gridCol w:w="1338"/>
        <w:gridCol w:w="1466"/>
        <w:gridCol w:w="1696"/>
        <w:gridCol w:w="3334"/>
        <w:gridCol w:w="554"/>
        <w:gridCol w:w="554"/>
        <w:gridCol w:w="865"/>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048"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1338"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1466"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1696"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3334"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973"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10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048" w:type="dxa"/>
            <w:vMerge w:val="continue"/>
            <w:tcBorders>
              <w:tl2br w:val="nil"/>
              <w:tr2bl w:val="nil"/>
            </w:tcBorders>
            <w:vAlign w:val="center"/>
          </w:tcPr>
          <w:p/>
        </w:tc>
        <w:tc>
          <w:tcPr>
            <w:tcW w:w="1338" w:type="dxa"/>
            <w:vMerge w:val="continue"/>
            <w:tcBorders>
              <w:tl2br w:val="nil"/>
              <w:tr2bl w:val="nil"/>
            </w:tcBorders>
            <w:vAlign w:val="center"/>
          </w:tcPr>
          <w:p/>
        </w:tc>
        <w:tc>
          <w:tcPr>
            <w:tcW w:w="1466" w:type="dxa"/>
            <w:vMerge w:val="continue"/>
            <w:tcBorders>
              <w:tl2br w:val="nil"/>
              <w:tr2bl w:val="nil"/>
            </w:tcBorders>
            <w:vAlign w:val="center"/>
          </w:tcPr>
          <w:p/>
        </w:tc>
        <w:tc>
          <w:tcPr>
            <w:tcW w:w="1696" w:type="dxa"/>
            <w:vMerge w:val="continue"/>
            <w:tcBorders>
              <w:tl2br w:val="nil"/>
              <w:tr2bl w:val="nil"/>
            </w:tcBorders>
            <w:vAlign w:val="center"/>
          </w:tcPr>
          <w:p/>
        </w:tc>
        <w:tc>
          <w:tcPr>
            <w:tcW w:w="3334" w:type="dxa"/>
            <w:vMerge w:val="continue"/>
            <w:tcBorders>
              <w:tl2br w:val="nil"/>
              <w:tr2bl w:val="nil"/>
            </w:tcBorders>
            <w:vAlign w:val="center"/>
          </w:tcPr>
          <w:p/>
        </w:tc>
        <w:tc>
          <w:tcPr>
            <w:tcW w:w="554"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554"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865"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105"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048"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部门产出</w:t>
            </w:r>
          </w:p>
        </w:tc>
        <w:tc>
          <w:tcPr>
            <w:tcW w:w="133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数量</w:t>
            </w:r>
          </w:p>
        </w:tc>
        <w:tc>
          <w:tcPr>
            <w:tcW w:w="1466"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送公益流动文化服务进基层完成率</w:t>
            </w:r>
          </w:p>
        </w:tc>
        <w:tc>
          <w:tcPr>
            <w:tcW w:w="169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20</w:t>
            </w:r>
          </w:p>
        </w:tc>
        <w:tc>
          <w:tcPr>
            <w:tcW w:w="3334"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年度内送公益文艺展览、演出的实际场次数占计划场次数的比率</w:t>
            </w:r>
          </w:p>
        </w:tc>
        <w:tc>
          <w:tcPr>
            <w:tcW w:w="55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55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90</w:t>
            </w:r>
          </w:p>
        </w:tc>
        <w:tc>
          <w:tcPr>
            <w:tcW w:w="86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百分比</w:t>
            </w:r>
          </w:p>
        </w:tc>
        <w:tc>
          <w:tcPr>
            <w:tcW w:w="1105"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48" w:type="dxa"/>
            <w:vMerge w:val="continue"/>
            <w:tcBorders>
              <w:tl2br w:val="nil"/>
              <w:tr2bl w:val="nil"/>
            </w:tcBorders>
            <w:vAlign w:val="center"/>
          </w:tcPr>
          <w:p>
            <w:pPr>
              <w:rPr>
                <w:rFonts w:ascii="仿宋_GB2312" w:hAnsi="仿宋_GB2312" w:eastAsia="仿宋_GB2312" w:cs="仿宋_GB2312"/>
              </w:rPr>
            </w:pPr>
          </w:p>
        </w:tc>
        <w:tc>
          <w:tcPr>
            <w:tcW w:w="133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数量</w:t>
            </w:r>
          </w:p>
        </w:tc>
        <w:tc>
          <w:tcPr>
            <w:tcW w:w="1466"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公共文化场馆免费开放率</w:t>
            </w:r>
          </w:p>
        </w:tc>
        <w:tc>
          <w:tcPr>
            <w:tcW w:w="169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20</w:t>
            </w:r>
          </w:p>
        </w:tc>
        <w:tc>
          <w:tcPr>
            <w:tcW w:w="3334"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实施公共图书馆、美术馆、文化馆、综合文化站免费开放的数量占公共文化场馆总量的比例</w:t>
            </w:r>
          </w:p>
        </w:tc>
        <w:tc>
          <w:tcPr>
            <w:tcW w:w="55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55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90</w:t>
            </w:r>
          </w:p>
        </w:tc>
        <w:tc>
          <w:tcPr>
            <w:tcW w:w="86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百分比</w:t>
            </w:r>
          </w:p>
        </w:tc>
        <w:tc>
          <w:tcPr>
            <w:tcW w:w="1105"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048" w:type="dxa"/>
            <w:vMerge w:val="continue"/>
            <w:tcBorders>
              <w:tl2br w:val="nil"/>
              <w:tr2bl w:val="nil"/>
            </w:tcBorders>
            <w:vAlign w:val="center"/>
          </w:tcPr>
          <w:p>
            <w:pPr>
              <w:rPr>
                <w:rFonts w:ascii="仿宋_GB2312" w:hAnsi="仿宋_GB2312" w:eastAsia="仿宋_GB2312" w:cs="仿宋_GB2312"/>
              </w:rPr>
            </w:pPr>
          </w:p>
        </w:tc>
        <w:tc>
          <w:tcPr>
            <w:tcW w:w="133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质量</w:t>
            </w:r>
          </w:p>
        </w:tc>
        <w:tc>
          <w:tcPr>
            <w:tcW w:w="1466"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文化设施达标率</w:t>
            </w:r>
          </w:p>
        </w:tc>
        <w:tc>
          <w:tcPr>
            <w:tcW w:w="169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w:t>
            </w:r>
          </w:p>
        </w:tc>
        <w:tc>
          <w:tcPr>
            <w:tcW w:w="3334"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区内实际文化设施达标数量占文化设施总数的比率</w:t>
            </w:r>
          </w:p>
        </w:tc>
        <w:tc>
          <w:tcPr>
            <w:tcW w:w="55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55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90</w:t>
            </w:r>
          </w:p>
        </w:tc>
        <w:tc>
          <w:tcPr>
            <w:tcW w:w="86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百分比</w:t>
            </w:r>
          </w:p>
        </w:tc>
        <w:tc>
          <w:tcPr>
            <w:tcW w:w="1105"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48" w:type="dxa"/>
            <w:vMerge w:val="continue"/>
            <w:tcBorders>
              <w:tl2br w:val="nil"/>
              <w:tr2bl w:val="nil"/>
            </w:tcBorders>
            <w:vAlign w:val="center"/>
          </w:tcPr>
          <w:p>
            <w:pPr>
              <w:rPr>
                <w:rFonts w:ascii="仿宋_GB2312" w:hAnsi="仿宋_GB2312" w:eastAsia="仿宋_GB2312" w:cs="仿宋_GB2312"/>
              </w:rPr>
            </w:pPr>
          </w:p>
        </w:tc>
        <w:tc>
          <w:tcPr>
            <w:tcW w:w="133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时效</w:t>
            </w:r>
          </w:p>
        </w:tc>
        <w:tc>
          <w:tcPr>
            <w:tcW w:w="1466"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完成率</w:t>
            </w:r>
          </w:p>
        </w:tc>
        <w:tc>
          <w:tcPr>
            <w:tcW w:w="169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w:t>
            </w:r>
          </w:p>
        </w:tc>
        <w:tc>
          <w:tcPr>
            <w:tcW w:w="3334"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 xml:space="preserve">年度内实际开展的文化服务活动次数占计划总数的比率 </w:t>
            </w:r>
          </w:p>
        </w:tc>
        <w:tc>
          <w:tcPr>
            <w:tcW w:w="55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55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90</w:t>
            </w:r>
          </w:p>
        </w:tc>
        <w:tc>
          <w:tcPr>
            <w:tcW w:w="86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百分比</w:t>
            </w:r>
          </w:p>
        </w:tc>
        <w:tc>
          <w:tcPr>
            <w:tcW w:w="1105"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48" w:type="dxa"/>
            <w:vMerge w:val="restart"/>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部门效果</w:t>
            </w:r>
          </w:p>
        </w:tc>
        <w:tc>
          <w:tcPr>
            <w:tcW w:w="133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社会</w:t>
            </w:r>
          </w:p>
          <w:p>
            <w:pPr>
              <w:jc w:val="center"/>
              <w:rPr>
                <w:rFonts w:ascii="仿宋_GB2312" w:hAnsi="仿宋_GB2312" w:eastAsia="仿宋_GB2312" w:cs="仿宋_GB2312"/>
              </w:rPr>
            </w:pPr>
            <w:r>
              <w:rPr>
                <w:rFonts w:hint="eastAsia" w:ascii="仿宋_GB2312" w:hAnsi="仿宋_GB2312" w:eastAsia="仿宋_GB2312" w:cs="仿宋_GB2312"/>
              </w:rPr>
              <w:t>效益</w:t>
            </w:r>
          </w:p>
        </w:tc>
        <w:tc>
          <w:tcPr>
            <w:tcW w:w="1466"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免费开放服务水平稳步提升</w:t>
            </w:r>
          </w:p>
        </w:tc>
        <w:tc>
          <w:tcPr>
            <w:tcW w:w="1696"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20</w:t>
            </w:r>
          </w:p>
        </w:tc>
        <w:tc>
          <w:tcPr>
            <w:tcW w:w="3334"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当年较前一年的文化服务水平</w:t>
            </w:r>
          </w:p>
        </w:tc>
        <w:tc>
          <w:tcPr>
            <w:tcW w:w="554"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文字描述</w:t>
            </w:r>
          </w:p>
        </w:tc>
        <w:tc>
          <w:tcPr>
            <w:tcW w:w="554" w:type="dxa"/>
            <w:tcBorders>
              <w:tl2br w:val="nil"/>
              <w:tr2bl w:val="nil"/>
            </w:tcBorders>
            <w:vAlign w:val="center"/>
          </w:tcPr>
          <w:p>
            <w:pPr>
              <w:jc w:val="center"/>
              <w:rPr>
                <w:rFonts w:ascii="仿宋_GB2312" w:hAnsi="仿宋_GB2312" w:eastAsia="仿宋_GB2312" w:cs="仿宋_GB2312"/>
              </w:rPr>
            </w:pPr>
          </w:p>
        </w:tc>
        <w:tc>
          <w:tcPr>
            <w:tcW w:w="86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逐步增长</w:t>
            </w:r>
          </w:p>
        </w:tc>
        <w:tc>
          <w:tcPr>
            <w:tcW w:w="110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48" w:type="dxa"/>
            <w:vMerge w:val="continue"/>
            <w:tcBorders>
              <w:tl2br w:val="nil"/>
              <w:tr2bl w:val="nil"/>
            </w:tcBorders>
            <w:vAlign w:val="center"/>
          </w:tcPr>
          <w:p/>
        </w:tc>
        <w:tc>
          <w:tcPr>
            <w:tcW w:w="133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经济</w:t>
            </w:r>
          </w:p>
          <w:p>
            <w:pPr>
              <w:jc w:val="center"/>
              <w:rPr>
                <w:rFonts w:ascii="仿宋_GB2312" w:hAnsi="仿宋_GB2312" w:eastAsia="仿宋_GB2312" w:cs="仿宋_GB2312"/>
              </w:rPr>
            </w:pPr>
            <w:r>
              <w:rPr>
                <w:rFonts w:hint="eastAsia" w:ascii="仿宋_GB2312" w:hAnsi="仿宋_GB2312" w:eastAsia="仿宋_GB2312" w:cs="仿宋_GB2312"/>
              </w:rPr>
              <w:t>效益</w:t>
            </w:r>
          </w:p>
        </w:tc>
        <w:tc>
          <w:tcPr>
            <w:tcW w:w="1466" w:type="dxa"/>
            <w:tcBorders>
              <w:tl2br w:val="nil"/>
              <w:tr2bl w:val="nil"/>
            </w:tcBorders>
            <w:vAlign w:val="center"/>
          </w:tcPr>
          <w:p>
            <w:pPr>
              <w:jc w:val="center"/>
              <w:rPr>
                <w:rFonts w:ascii="仿宋_GB2312" w:hAnsi="仿宋_GB2312" w:eastAsia="仿宋_GB2312" w:cs="仿宋_GB2312"/>
              </w:rPr>
            </w:pPr>
          </w:p>
        </w:tc>
        <w:tc>
          <w:tcPr>
            <w:tcW w:w="1696" w:type="dxa"/>
            <w:tcBorders>
              <w:tl2br w:val="nil"/>
              <w:tr2bl w:val="nil"/>
            </w:tcBorders>
            <w:vAlign w:val="center"/>
          </w:tcPr>
          <w:p>
            <w:pPr>
              <w:jc w:val="center"/>
              <w:rPr>
                <w:rFonts w:ascii="仿宋_GB2312" w:hAnsi="仿宋_GB2312" w:eastAsia="仿宋_GB2312" w:cs="仿宋_GB2312"/>
              </w:rPr>
            </w:pPr>
          </w:p>
        </w:tc>
        <w:tc>
          <w:tcPr>
            <w:tcW w:w="3334" w:type="dxa"/>
            <w:tcBorders>
              <w:tl2br w:val="nil"/>
              <w:tr2bl w:val="nil"/>
            </w:tcBorders>
            <w:vAlign w:val="center"/>
          </w:tcPr>
          <w:p>
            <w:pPr>
              <w:jc w:val="center"/>
              <w:rPr>
                <w:rFonts w:ascii="仿宋_GB2312" w:hAnsi="仿宋_GB2312" w:eastAsia="仿宋_GB2312" w:cs="仿宋_GB2312"/>
              </w:rPr>
            </w:pPr>
          </w:p>
        </w:tc>
        <w:tc>
          <w:tcPr>
            <w:tcW w:w="554" w:type="dxa"/>
            <w:tcBorders>
              <w:tl2br w:val="nil"/>
              <w:tr2bl w:val="nil"/>
            </w:tcBorders>
            <w:vAlign w:val="center"/>
          </w:tcPr>
          <w:p>
            <w:pPr>
              <w:jc w:val="center"/>
              <w:rPr>
                <w:rFonts w:ascii="仿宋_GB2312" w:hAnsi="仿宋_GB2312" w:eastAsia="仿宋_GB2312" w:cs="仿宋_GB2312"/>
              </w:rPr>
            </w:pPr>
          </w:p>
        </w:tc>
        <w:tc>
          <w:tcPr>
            <w:tcW w:w="554" w:type="dxa"/>
            <w:tcBorders>
              <w:tl2br w:val="nil"/>
              <w:tr2bl w:val="nil"/>
            </w:tcBorders>
            <w:vAlign w:val="center"/>
          </w:tcPr>
          <w:p>
            <w:pPr>
              <w:jc w:val="center"/>
              <w:rPr>
                <w:rFonts w:ascii="仿宋_GB2312" w:hAnsi="仿宋_GB2312" w:eastAsia="仿宋_GB2312" w:cs="仿宋_GB2312"/>
              </w:rPr>
            </w:pPr>
          </w:p>
        </w:tc>
        <w:tc>
          <w:tcPr>
            <w:tcW w:w="865" w:type="dxa"/>
            <w:tcBorders>
              <w:tl2br w:val="nil"/>
              <w:tr2bl w:val="nil"/>
            </w:tcBorders>
            <w:vAlign w:val="center"/>
          </w:tcPr>
          <w:p>
            <w:pPr>
              <w:jc w:val="center"/>
              <w:rPr>
                <w:rFonts w:ascii="仿宋_GB2312" w:hAnsi="仿宋_GB2312" w:eastAsia="仿宋_GB2312" w:cs="仿宋_GB2312"/>
              </w:rPr>
            </w:pPr>
          </w:p>
        </w:tc>
        <w:tc>
          <w:tcPr>
            <w:tcW w:w="1105" w:type="dxa"/>
            <w:tcBorders>
              <w:tl2br w:val="nil"/>
              <w:tr2bl w:val="nil"/>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48" w:type="dxa"/>
            <w:vMerge w:val="continue"/>
            <w:tcBorders>
              <w:tl2br w:val="nil"/>
              <w:tr2bl w:val="nil"/>
            </w:tcBorders>
            <w:vAlign w:val="center"/>
          </w:tcPr>
          <w:p/>
        </w:tc>
        <w:tc>
          <w:tcPr>
            <w:tcW w:w="133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生态</w:t>
            </w:r>
          </w:p>
          <w:p>
            <w:pPr>
              <w:jc w:val="center"/>
              <w:rPr>
                <w:rFonts w:ascii="仿宋_GB2312" w:hAnsi="仿宋_GB2312" w:eastAsia="仿宋_GB2312" w:cs="仿宋_GB2312"/>
              </w:rPr>
            </w:pPr>
            <w:r>
              <w:rPr>
                <w:rFonts w:hint="eastAsia" w:ascii="仿宋_GB2312" w:hAnsi="仿宋_GB2312" w:eastAsia="仿宋_GB2312" w:cs="仿宋_GB2312"/>
              </w:rPr>
              <w:t>效益</w:t>
            </w:r>
          </w:p>
        </w:tc>
        <w:tc>
          <w:tcPr>
            <w:tcW w:w="1466" w:type="dxa"/>
            <w:tcBorders>
              <w:tl2br w:val="nil"/>
              <w:tr2bl w:val="nil"/>
            </w:tcBorders>
            <w:vAlign w:val="center"/>
          </w:tcPr>
          <w:p>
            <w:pPr>
              <w:jc w:val="center"/>
              <w:rPr>
                <w:rFonts w:ascii="仿宋_GB2312" w:hAnsi="仿宋_GB2312" w:eastAsia="仿宋_GB2312" w:cs="仿宋_GB2312"/>
              </w:rPr>
            </w:pPr>
          </w:p>
        </w:tc>
        <w:tc>
          <w:tcPr>
            <w:tcW w:w="1696" w:type="dxa"/>
            <w:tcBorders>
              <w:tl2br w:val="nil"/>
              <w:tr2bl w:val="nil"/>
            </w:tcBorders>
            <w:vAlign w:val="center"/>
          </w:tcPr>
          <w:p>
            <w:pPr>
              <w:jc w:val="center"/>
              <w:rPr>
                <w:rFonts w:ascii="仿宋_GB2312" w:hAnsi="仿宋_GB2312" w:eastAsia="仿宋_GB2312" w:cs="仿宋_GB2312"/>
              </w:rPr>
            </w:pPr>
          </w:p>
        </w:tc>
        <w:tc>
          <w:tcPr>
            <w:tcW w:w="3334" w:type="dxa"/>
            <w:tcBorders>
              <w:tl2br w:val="nil"/>
              <w:tr2bl w:val="nil"/>
            </w:tcBorders>
            <w:vAlign w:val="center"/>
          </w:tcPr>
          <w:p>
            <w:pPr>
              <w:jc w:val="center"/>
              <w:rPr>
                <w:rFonts w:ascii="仿宋_GB2312" w:hAnsi="仿宋_GB2312" w:eastAsia="仿宋_GB2312" w:cs="仿宋_GB2312"/>
              </w:rPr>
            </w:pPr>
          </w:p>
        </w:tc>
        <w:tc>
          <w:tcPr>
            <w:tcW w:w="554" w:type="dxa"/>
            <w:tcBorders>
              <w:tl2br w:val="nil"/>
              <w:tr2bl w:val="nil"/>
            </w:tcBorders>
            <w:vAlign w:val="center"/>
          </w:tcPr>
          <w:p>
            <w:pPr>
              <w:jc w:val="center"/>
              <w:rPr>
                <w:rFonts w:ascii="仿宋_GB2312" w:hAnsi="仿宋_GB2312" w:eastAsia="仿宋_GB2312" w:cs="仿宋_GB2312"/>
              </w:rPr>
            </w:pPr>
          </w:p>
        </w:tc>
        <w:tc>
          <w:tcPr>
            <w:tcW w:w="554" w:type="dxa"/>
            <w:tcBorders>
              <w:tl2br w:val="nil"/>
              <w:tr2bl w:val="nil"/>
            </w:tcBorders>
            <w:vAlign w:val="center"/>
          </w:tcPr>
          <w:p>
            <w:pPr>
              <w:jc w:val="center"/>
              <w:rPr>
                <w:rFonts w:ascii="仿宋_GB2312" w:hAnsi="仿宋_GB2312" w:eastAsia="仿宋_GB2312" w:cs="仿宋_GB2312"/>
              </w:rPr>
            </w:pPr>
          </w:p>
        </w:tc>
        <w:tc>
          <w:tcPr>
            <w:tcW w:w="865" w:type="dxa"/>
            <w:tcBorders>
              <w:tl2br w:val="nil"/>
              <w:tr2bl w:val="nil"/>
            </w:tcBorders>
            <w:vAlign w:val="center"/>
          </w:tcPr>
          <w:p>
            <w:pPr>
              <w:jc w:val="center"/>
              <w:rPr>
                <w:rFonts w:ascii="仿宋_GB2312" w:hAnsi="仿宋_GB2312" w:eastAsia="仿宋_GB2312" w:cs="仿宋_GB2312"/>
              </w:rPr>
            </w:pPr>
          </w:p>
        </w:tc>
        <w:tc>
          <w:tcPr>
            <w:tcW w:w="1105" w:type="dxa"/>
            <w:tcBorders>
              <w:tl2br w:val="nil"/>
              <w:tr2bl w:val="nil"/>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048" w:type="dxa"/>
            <w:vMerge w:val="continue"/>
            <w:tcBorders>
              <w:tl2br w:val="nil"/>
              <w:tr2bl w:val="nil"/>
            </w:tcBorders>
            <w:vAlign w:val="center"/>
          </w:tcPr>
          <w:p/>
        </w:tc>
        <w:tc>
          <w:tcPr>
            <w:tcW w:w="133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可持续影响</w:t>
            </w:r>
          </w:p>
        </w:tc>
        <w:tc>
          <w:tcPr>
            <w:tcW w:w="1466"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长期使用性</w:t>
            </w:r>
          </w:p>
        </w:tc>
        <w:tc>
          <w:tcPr>
            <w:tcW w:w="1696"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10</w:t>
            </w:r>
          </w:p>
        </w:tc>
        <w:tc>
          <w:tcPr>
            <w:tcW w:w="3334"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长期较好地开展展演、展映、展播、展示，长期满足人民群众对精神文化的要求</w:t>
            </w:r>
          </w:p>
        </w:tc>
        <w:tc>
          <w:tcPr>
            <w:tcW w:w="554"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文字描述</w:t>
            </w:r>
          </w:p>
        </w:tc>
        <w:tc>
          <w:tcPr>
            <w:tcW w:w="554" w:type="dxa"/>
            <w:tcBorders>
              <w:tl2br w:val="nil"/>
              <w:tr2bl w:val="nil"/>
            </w:tcBorders>
            <w:vAlign w:val="center"/>
          </w:tcPr>
          <w:p>
            <w:pPr>
              <w:jc w:val="center"/>
              <w:rPr>
                <w:rFonts w:ascii="仿宋_GB2312" w:hAnsi="仿宋_GB2312" w:eastAsia="仿宋_GB2312" w:cs="仿宋_GB2312"/>
              </w:rPr>
            </w:pPr>
          </w:p>
        </w:tc>
        <w:tc>
          <w:tcPr>
            <w:tcW w:w="86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长期</w:t>
            </w:r>
          </w:p>
        </w:tc>
        <w:tc>
          <w:tcPr>
            <w:tcW w:w="110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048" w:type="dxa"/>
            <w:vMerge w:val="continue"/>
            <w:tcBorders>
              <w:tl2br w:val="nil"/>
              <w:tr2bl w:val="nil"/>
            </w:tcBorders>
            <w:vAlign w:val="center"/>
          </w:tcPr>
          <w:p/>
        </w:tc>
        <w:tc>
          <w:tcPr>
            <w:tcW w:w="133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满意度</w:t>
            </w:r>
          </w:p>
        </w:tc>
        <w:tc>
          <w:tcPr>
            <w:tcW w:w="1466"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受益群众满意度</w:t>
            </w:r>
          </w:p>
        </w:tc>
        <w:tc>
          <w:tcPr>
            <w:tcW w:w="1696"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10</w:t>
            </w:r>
          </w:p>
        </w:tc>
        <w:tc>
          <w:tcPr>
            <w:tcW w:w="3334"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参加活动满意人数占所有参与活动总人数的比率</w:t>
            </w:r>
          </w:p>
        </w:tc>
        <w:tc>
          <w:tcPr>
            <w:tcW w:w="554" w:type="dxa"/>
            <w:tcBorders>
              <w:tl2br w:val="nil"/>
              <w:tr2bl w:val="nil"/>
            </w:tcBorders>
            <w:vAlign w:val="center"/>
          </w:tcPr>
          <w:p>
            <w:pPr>
              <w:jc w:val="center"/>
              <w:rPr>
                <w:rFonts w:ascii="仿宋_GB2312" w:hAnsi="仿宋_GB2312" w:eastAsia="仿宋_GB2312" w:cs="仿宋_GB2312"/>
              </w:rPr>
            </w:pPr>
            <w:r>
              <w:rPr>
                <w:rFonts w:ascii="仿宋_GB2312" w:hAnsi="仿宋_GB2312" w:eastAsia="仿宋_GB2312" w:cs="仿宋_GB2312"/>
              </w:rPr>
              <w:t>≥</w:t>
            </w:r>
          </w:p>
        </w:tc>
        <w:tc>
          <w:tcPr>
            <w:tcW w:w="554"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90</w:t>
            </w:r>
          </w:p>
        </w:tc>
        <w:tc>
          <w:tcPr>
            <w:tcW w:w="86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百分比</w:t>
            </w:r>
          </w:p>
        </w:tc>
        <w:tc>
          <w:tcPr>
            <w:tcW w:w="110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工作计划</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“三馆一站”免费开放区级资金</w:t>
      </w:r>
      <w:r>
        <w:rPr>
          <w:rFonts w:ascii="Times New Roman" w:hAnsi="Times New Roman" w:eastAsia="仿宋_GB2312" w:cs="Times New Roman"/>
          <w:sz w:val="28"/>
        </w:rPr>
        <w:t>绩效目标表</w:t>
      </w:r>
      <w:bookmarkStart w:id="1" w:name="_Toc29799657"/>
      <w:bookmarkEnd w:id="1"/>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黑体" w:hAnsi="黑体" w:eastAsia="黑体" w:cs="黑体"/>
                <w:bCs/>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1、群众对文化服务的满意度逐步提升，基本公共文化服务水平有效提升，群众对公共文化活动参与率稳步提升。</w:t>
            </w:r>
          </w:p>
          <w:p>
            <w:pPr>
              <w:spacing w:line="300" w:lineRule="exact"/>
              <w:rPr>
                <w:rFonts w:ascii="仿宋_GB2312" w:hAnsi="仿宋_GB2312" w:eastAsia="仿宋_GB2312" w:cs="仿宋_GB2312"/>
                <w:b/>
              </w:rPr>
            </w:pPr>
            <w:r>
              <w:rPr>
                <w:rFonts w:hint="eastAsia" w:ascii="仿宋_GB2312" w:hAnsi="仿宋_GB2312" w:eastAsia="仿宋_GB2312" w:cs="仿宋_GB2312"/>
              </w:rPr>
              <w:t>2、梳理各项管理制度，进一步强化项目管理制度的标准化和流程的规范性。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免费开放时间</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320天2400小时</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≥2400小时</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rPr>
                <w:rFonts w:ascii="仿宋_GB2312" w:hAnsi="仿宋_GB2312" w:eastAsia="仿宋_GB2312" w:cs="仿宋_GB2312"/>
              </w:rPr>
            </w:p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各项业务活动举办成功率</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各项业务活动举办成功完成占总活动数的比率</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rPr>
                <w:rFonts w:ascii="仿宋_GB2312" w:hAnsi="仿宋_GB2312" w:eastAsia="仿宋_GB2312" w:cs="仿宋_GB2312"/>
              </w:rPr>
            </w:p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讲座培训业务按年度计划完成及时率</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讲座培训业务按年度计划及时完成</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rPr>
                <w:rFonts w:ascii="仿宋_GB2312" w:hAnsi="仿宋_GB2312" w:eastAsia="仿宋_GB2312" w:cs="仿宋_GB2312"/>
              </w:rPr>
            </w:p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财政投入</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财政投入</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3万元</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群众对公共文化活动的参与率</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群众对公共文化活动完成情况</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rPr>
                <w:rFonts w:ascii="仿宋_GB2312" w:hAnsi="仿宋_GB2312" w:eastAsia="仿宋_GB2312" w:cs="仿宋_GB2312"/>
              </w:rPr>
            </w:p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基本公共文化服务水平稳步提升</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全面提升基本公共文化服务水平</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提升基本公共文化服务水平</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群众满意度</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群众满意度</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2021年“三馆一站”免费开放市级资金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黑体" w:hAnsi="黑体" w:eastAsia="黑体" w:cs="黑体"/>
                <w:bCs/>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1、群众对文化服务的满意度逐步提升，基本公共文化服务水平有效提升，群众对公共文化活动参与率稳步提升。</w:t>
            </w:r>
          </w:p>
          <w:p>
            <w:pPr>
              <w:spacing w:line="300" w:lineRule="exact"/>
              <w:rPr>
                <w:rFonts w:ascii="Times New Roman" w:hAnsi="Times New Roman" w:eastAsia="仿宋_GB2312" w:cs="Times New Roman"/>
                <w:b/>
              </w:rPr>
            </w:pPr>
            <w:r>
              <w:rPr>
                <w:rFonts w:hint="eastAsia" w:ascii="仿宋_GB2312" w:hAnsi="仿宋_GB2312" w:eastAsia="仿宋_GB2312" w:cs="仿宋_GB2312"/>
              </w:rPr>
              <w:t>2、梳理各项管理制度，进一步强化项目管理制度的标准化和流程的规范性。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免费开放时间</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320天2400小时</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≥2400小时</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rPr>
            </w:p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各项业务活动举办成功率</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各项业务活动举办成功完成占总活动数的比率</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rPr>
            </w:p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讲座培训业务按年度计划完成及时率</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讲座培训业务按年度计划及时完成</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rPr>
            </w:p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财政投入</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财政投入</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3万元</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群众对公共文化活动的参与率</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群众对公共文化活动完成情况</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rPr>
            </w:p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基本公共文化服务水平稳步提升</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全面提升基本公共文化服务水平</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提升基本公共文化服务水平</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群众满意度</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群众满意度</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ascii="Times New Roman" w:hAnsi="Times New Roman" w:eastAsia="仿宋_GB2312" w:cs="Times New Roman"/>
          <w:sz w:val="28"/>
        </w:rPr>
        <w:t>2021年“三馆一站”免费开放省级级资金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黑体" w:hAnsi="黑体" w:eastAsia="黑体" w:cs="黑体"/>
                <w:bCs/>
              </w:rPr>
            </w:pPr>
            <w:r>
              <w:rPr>
                <w:rFonts w:hint="eastAsia" w:ascii="仿宋_GB2312" w:hAnsi="仿宋_GB2312" w:eastAsia="仿宋_GB2312" w:cs="仿宋_GB2312"/>
                <w:b/>
              </w:rPr>
              <w:t>绩效目标</w:t>
            </w:r>
          </w:p>
        </w:tc>
        <w:tc>
          <w:tcPr>
            <w:tcW w:w="11653" w:type="dxa"/>
            <w:gridSpan w:val="5"/>
            <w:shd w:val="clear" w:color="auto" w:fill="auto"/>
            <w:vAlign w:val="center"/>
          </w:tcPr>
          <w:p>
            <w:pPr>
              <w:numPr>
                <w:ilvl w:val="0"/>
                <w:numId w:val="2"/>
              </w:numPr>
              <w:spacing w:line="300" w:lineRule="exact"/>
              <w:jc w:val="left"/>
              <w:rPr>
                <w:rFonts w:ascii="仿宋_GB2312" w:hAnsi="仿宋_GB2312" w:eastAsia="仿宋_GB2312" w:cs="仿宋_GB2312"/>
              </w:rPr>
            </w:pPr>
            <w:r>
              <w:rPr>
                <w:rFonts w:hint="eastAsia" w:ascii="仿宋_GB2312" w:hAnsi="仿宋_GB2312" w:eastAsia="仿宋_GB2312" w:cs="仿宋_GB2312"/>
              </w:rPr>
              <w:t>群众对文化服务的满意度逐步提升，基本公共文化服务水平有效提升，群众对公共文化活动参与率稳步提升。</w:t>
            </w:r>
          </w:p>
          <w:p>
            <w:pPr>
              <w:spacing w:line="300" w:lineRule="exact"/>
              <w:jc w:val="left"/>
              <w:rPr>
                <w:rFonts w:ascii="Times New Roman" w:hAnsi="Times New Roman" w:eastAsia="仿宋_GB2312" w:cs="Times New Roman"/>
                <w:b/>
              </w:rPr>
            </w:pPr>
            <w:r>
              <w:rPr>
                <w:rFonts w:hint="eastAsia" w:ascii="仿宋_GB2312" w:hAnsi="仿宋_GB2312" w:eastAsia="仿宋_GB2312" w:cs="仿宋_GB2312"/>
              </w:rPr>
              <w:t>2、梳理各项管理制度，进一步强化项目管理制度的标准化和流程的规范性。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免费开放时间</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320天2400小时</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≥2400小时</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rPr>
            </w:p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各项业务活动举办成功率</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各项业务活动举办成功完成占总活动数的比率</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rPr>
            </w:p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讲座培训业务按年度计划完成及时率</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讲座培训业务按年度计划及时完成</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rPr>
            </w:p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财政投入</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财政投入</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2万元</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群众对公共文化活动的参与率</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群众对公共文化活动完成情况</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rPr>
            </w:p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基本公共文化服务水平稳步提升</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全面提升基本公共文化服务水平</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提升基本公共文化服务水平</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群众满意度</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群众满意度</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4</w:t>
      </w:r>
      <w:r>
        <w:rPr>
          <w:rFonts w:ascii="Times New Roman" w:hAnsi="Times New Roman" w:eastAsia="仿宋_GB2312" w:cs="Times New Roman"/>
          <w:sz w:val="28"/>
        </w:rPr>
        <w:t>.</w:t>
      </w:r>
      <w:r>
        <w:rPr>
          <w:rFonts w:hint="eastAsia" w:ascii="Times New Roman" w:hAnsi="Times New Roman" w:eastAsia="仿宋_GB2312" w:cs="Times New Roman"/>
          <w:sz w:val="28"/>
        </w:rPr>
        <w:t>2021年“三馆一站”免费开放中央资金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黑体" w:hAnsi="黑体" w:eastAsia="黑体" w:cs="黑体"/>
                <w:bCs/>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1、群众对文化服务的满意度逐步提升，基本公共文化服务水平有效提升，群众对公共文化活动参与率稳步提升。</w:t>
            </w:r>
          </w:p>
          <w:p>
            <w:pPr>
              <w:spacing w:line="300" w:lineRule="exact"/>
              <w:rPr>
                <w:rFonts w:ascii="仿宋_GB2312" w:hAnsi="仿宋_GB2312" w:eastAsia="仿宋_GB2312" w:cs="仿宋_GB2312"/>
                <w:b/>
              </w:rPr>
            </w:pPr>
            <w:r>
              <w:rPr>
                <w:rFonts w:hint="eastAsia" w:ascii="仿宋_GB2312" w:hAnsi="仿宋_GB2312" w:eastAsia="仿宋_GB2312" w:cs="仿宋_GB2312"/>
              </w:rPr>
              <w:t>2、梳理各项管理制度，进一步强化项目管理制度的标准化和流程的规范性。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免费开放时间</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320天2400小时</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≥2400小时</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rPr>
            </w:p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各项业务活动举办成功率</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各项业务活动举办成功完成占总活动数的比率</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rPr>
            </w:p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讲座培训业务按年度计划完成及时率</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讲座培训业务按年度计划及时完成</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rPr>
            </w:p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财政投入</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财政投入</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12万元</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群众对公共文化活动的参与率</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群众对公共文化活动完成情况</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基本公共文化服务水平稳步提升</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全面提升基本公共文化服务水平</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提升基本公共文化服务水平</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群众满意度</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群众满意度</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5</w:t>
      </w:r>
      <w:r>
        <w:rPr>
          <w:rFonts w:ascii="Times New Roman" w:hAnsi="Times New Roman" w:eastAsia="仿宋_GB2312" w:cs="Times New Roman"/>
          <w:sz w:val="28"/>
        </w:rPr>
        <w:t>.</w:t>
      </w:r>
      <w:r>
        <w:rPr>
          <w:rFonts w:hint="eastAsia" w:ascii="Times New Roman" w:hAnsi="Times New Roman" w:eastAsia="仿宋_GB2312" w:cs="Times New Roman"/>
          <w:sz w:val="28"/>
        </w:rPr>
        <w:t>2021年省级非物质文化遗产保护专项资金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113"/>
        <w:gridCol w:w="2140"/>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1、科学预算、规范评定、合理安排、监督使用，保证各项工作开展并取得阶段性成效，使项目保护更加规范有效，优秀非物质文化遗产的社会认知度和保护工作的社会参与度持续提升。</w:t>
            </w:r>
          </w:p>
          <w:p>
            <w:pPr>
              <w:spacing w:line="300" w:lineRule="exact"/>
              <w:rPr>
                <w:rFonts w:ascii="Times New Roman" w:hAnsi="Times New Roman" w:eastAsia="仿宋_GB2312" w:cs="Times New Roman"/>
                <w:b/>
              </w:rPr>
            </w:pPr>
            <w:r>
              <w:rPr>
                <w:rFonts w:hint="eastAsia" w:ascii="仿宋_GB2312" w:hAnsi="仿宋_GB2312" w:eastAsia="仿宋_GB2312" w:cs="仿宋_GB2312"/>
              </w:rPr>
              <w:t>2、传承有利于保护当地的非物质文化遗产，保存文化的多样性，促进社会的和谐稳定可持续发展。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2113"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2140"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211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w:t>
            </w:r>
          </w:p>
        </w:tc>
        <w:tc>
          <w:tcPr>
            <w:tcW w:w="2140"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补助省级代表性传承人传习活动人数</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定期举行文化传承活动</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≥630人次</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rPr>
            </w:pPr>
          </w:p>
        </w:tc>
        <w:tc>
          <w:tcPr>
            <w:tcW w:w="211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w:t>
            </w:r>
          </w:p>
        </w:tc>
        <w:tc>
          <w:tcPr>
            <w:tcW w:w="2140"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省级代表性传承人传习活动补助发放到位率</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及时发放补助</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rPr>
            </w:pPr>
          </w:p>
        </w:tc>
        <w:tc>
          <w:tcPr>
            <w:tcW w:w="211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w:t>
            </w:r>
          </w:p>
        </w:tc>
        <w:tc>
          <w:tcPr>
            <w:tcW w:w="2140"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各项活动完成及时率</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各项活动完成及时率</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rPr>
            </w:pPr>
          </w:p>
        </w:tc>
        <w:tc>
          <w:tcPr>
            <w:tcW w:w="211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w:t>
            </w:r>
          </w:p>
        </w:tc>
        <w:tc>
          <w:tcPr>
            <w:tcW w:w="2140"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财政投入</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财政投入</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2.4万元</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廊广财行【2021】49号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211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w:t>
            </w:r>
          </w:p>
        </w:tc>
        <w:tc>
          <w:tcPr>
            <w:tcW w:w="2140"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非遗传承人群增长率</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长期稳定增长</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rPr>
            </w:pPr>
          </w:p>
        </w:tc>
        <w:tc>
          <w:tcPr>
            <w:tcW w:w="211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w:t>
            </w:r>
          </w:p>
        </w:tc>
        <w:tc>
          <w:tcPr>
            <w:tcW w:w="2140"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促进传承人群增长</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长期稳定增长</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稳定增长</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211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w:t>
            </w:r>
          </w:p>
        </w:tc>
        <w:tc>
          <w:tcPr>
            <w:tcW w:w="2140"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社会公众对非物质文化遗产保护满意度</w:t>
            </w:r>
          </w:p>
        </w:tc>
        <w:tc>
          <w:tcPr>
            <w:tcW w:w="3402"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提高群众满意度</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bl>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84" w:lineRule="exact"/>
        <w:jc w:val="left"/>
        <w:outlineLvl w:val="0"/>
        <w:rPr>
          <w:rFonts w:ascii="Times New Roman" w:hAnsi="Times New Roman" w:eastAsia="仿宋_GB2312" w:cs="Times New Roman"/>
        </w:rPr>
      </w:pPr>
    </w:p>
    <w:p>
      <w:pPr>
        <w:jc w:val="center"/>
        <w:outlineLvl w:val="1"/>
        <w:rPr>
          <w:rFonts w:ascii="方正小标宋简体" w:hAnsi="方正小标宋简体" w:eastAsia="方正小标宋简体" w:cs="方正小标宋简体"/>
          <w:sz w:val="32"/>
        </w:rPr>
      </w:pPr>
      <w:bookmarkStart w:id="3" w:name="_Toc64920910"/>
      <w:r>
        <w:rPr>
          <w:rFonts w:hint="eastAsia" w:ascii="方正小标宋简体" w:hAnsi="方正小标宋简体" w:eastAsia="方正小标宋简体" w:cs="方正小标宋简体"/>
          <w:sz w:val="32"/>
        </w:rPr>
        <w:t>部门政府采购预算</w:t>
      </w:r>
      <w:bookmarkEnd w:id="3"/>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[506003]廊坊市广阳区群众艺术馆</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政府采购项目来源</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采购物品名称</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政府采购目录序号</w:t>
            </w:r>
          </w:p>
        </w:tc>
        <w:tc>
          <w:tcPr>
            <w:tcW w:w="709"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计量  单位</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数量</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单价</w:t>
            </w:r>
          </w:p>
        </w:tc>
        <w:tc>
          <w:tcPr>
            <w:tcW w:w="6804" w:type="dxa"/>
            <w:gridSpan w:val="6"/>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项目名称</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预算资金</w:t>
            </w:r>
          </w:p>
        </w:tc>
        <w:tc>
          <w:tcPr>
            <w:tcW w:w="1531" w:type="dxa"/>
            <w:vMerge w:val="continue"/>
            <w:shd w:val="clear" w:color="auto" w:fill="auto"/>
            <w:vAlign w:val="center"/>
          </w:tcPr>
          <w:p>
            <w:pPr>
              <w:rPr>
                <w:rFonts w:ascii="黑体" w:hAnsi="黑体" w:eastAsia="黑体" w:cs="黑体"/>
                <w:bCs/>
              </w:rPr>
            </w:pPr>
          </w:p>
        </w:tc>
        <w:tc>
          <w:tcPr>
            <w:tcW w:w="1531" w:type="dxa"/>
            <w:vMerge w:val="continue"/>
            <w:shd w:val="clear" w:color="auto" w:fill="auto"/>
            <w:vAlign w:val="center"/>
          </w:tcPr>
          <w:p>
            <w:pPr>
              <w:rPr>
                <w:rFonts w:ascii="黑体" w:hAnsi="黑体" w:eastAsia="黑体" w:cs="黑体"/>
                <w:bCs/>
              </w:rPr>
            </w:pPr>
          </w:p>
        </w:tc>
        <w:tc>
          <w:tcPr>
            <w:tcW w:w="709"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合计</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一般公共预算拨款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基金预算拨款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国有资本经营预算拨款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财政专户核拨</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广阳区群众艺术馆</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261.50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（详见下表）,本年度我部门拟购置固定资产总额为0万元。</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广阳区群众艺术馆</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广阳区群众艺术馆</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261.50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3113.20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83.16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41.06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27847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137.28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19</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2F7F3"/>
    <w:multiLevelType w:val="singleLevel"/>
    <w:tmpl w:val="A532F7F3"/>
    <w:lvl w:ilvl="0" w:tentative="0">
      <w:start w:val="1"/>
      <w:numFmt w:val="decimal"/>
      <w:suff w:val="nothing"/>
      <w:lvlText w:val="%1、"/>
      <w:lvlJc w:val="left"/>
    </w:lvl>
  </w:abstractNum>
  <w:abstractNum w:abstractNumId="1">
    <w:nsid w:val="AF14823D"/>
    <w:multiLevelType w:val="singleLevel"/>
    <w:tmpl w:val="AF14823D"/>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552D7"/>
    <w:rsid w:val="00090F9E"/>
    <w:rsid w:val="000E5236"/>
    <w:rsid w:val="00291887"/>
    <w:rsid w:val="00301F9F"/>
    <w:rsid w:val="00356683"/>
    <w:rsid w:val="004A54AA"/>
    <w:rsid w:val="005D2B44"/>
    <w:rsid w:val="00807A76"/>
    <w:rsid w:val="008F0EB4"/>
    <w:rsid w:val="00A218C6"/>
    <w:rsid w:val="00B17B32"/>
    <w:rsid w:val="00B80935"/>
    <w:rsid w:val="00D347CC"/>
    <w:rsid w:val="00DC7C17"/>
    <w:rsid w:val="00E27CE3"/>
    <w:rsid w:val="07B54D24"/>
    <w:rsid w:val="088A3B00"/>
    <w:rsid w:val="095C0E28"/>
    <w:rsid w:val="0CA7103C"/>
    <w:rsid w:val="0CE3066C"/>
    <w:rsid w:val="0CF01B45"/>
    <w:rsid w:val="10991C77"/>
    <w:rsid w:val="11B55AFF"/>
    <w:rsid w:val="1ABB5FE0"/>
    <w:rsid w:val="232B390F"/>
    <w:rsid w:val="28B1702E"/>
    <w:rsid w:val="2DFC2A06"/>
    <w:rsid w:val="304B4C86"/>
    <w:rsid w:val="33F72FC4"/>
    <w:rsid w:val="34275CB5"/>
    <w:rsid w:val="38CE10EE"/>
    <w:rsid w:val="3D8C180F"/>
    <w:rsid w:val="45DC5D9B"/>
    <w:rsid w:val="489C14DA"/>
    <w:rsid w:val="4F7568F6"/>
    <w:rsid w:val="53FB330C"/>
    <w:rsid w:val="561521DD"/>
    <w:rsid w:val="5D2F3F49"/>
    <w:rsid w:val="5D6A3C8E"/>
    <w:rsid w:val="5E7E54A5"/>
    <w:rsid w:val="6007413C"/>
    <w:rsid w:val="63C35D8C"/>
    <w:rsid w:val="7B323D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1592</Words>
  <Characters>9081</Characters>
  <Lines>75</Lines>
  <Paragraphs>21</Paragraphs>
  <TotalTime>10</TotalTime>
  <ScaleCrop>false</ScaleCrop>
  <LinksUpToDate>false</LinksUpToDate>
  <CharactersWithSpaces>10652</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2021-03-24T03:09:00Z</cp:lastPrinted>
  <dcterms:modified xsi:type="dcterms:W3CDTF">2022-07-08T02:51:32Z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6C18D1E92196495DAB88389E1E41569D</vt:lpwstr>
  </property>
</Properties>
</file>