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第十一小学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十一小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廊坊市第十一小学</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hint="eastAsia" w:ascii="Times New Roman" w:hAnsi="Times New Roman" w:eastAsia="仿宋_GB2312" w:cs="Times New Roman"/>
                <w:bCs/>
              </w:rPr>
              <w:t>事业</w:t>
            </w:r>
          </w:p>
        </w:tc>
        <w:tc>
          <w:tcPr>
            <w:tcW w:w="973" w:type="dxa"/>
            <w:shd w:val="clear" w:color="auto" w:fill="auto"/>
            <w:vAlign w:val="center"/>
          </w:tcPr>
          <w:p>
            <w:pPr>
              <w:spacing w:line="584" w:lineRule="exact"/>
              <w:rPr>
                <w:rFonts w:ascii="Times New Roman" w:hAnsi="Times New Roman" w:eastAsia="仿宋_GB2312" w:cs="Times New Roman"/>
                <w:bCs/>
              </w:rPr>
            </w:pPr>
            <w:r>
              <w:rPr>
                <w:rFonts w:hint="eastAsia" w:ascii="Times New Roman" w:hAnsi="Times New Roman" w:eastAsia="仿宋_GB2312" w:cs="Times New Roman"/>
                <w:bCs/>
              </w:rPr>
              <w:t>股级</w:t>
            </w:r>
          </w:p>
        </w:tc>
        <w:tc>
          <w:tcPr>
            <w:tcW w:w="3205"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十一小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1002.46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1002.46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第十一小学2021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1002.46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896.46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882.62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13.84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1002.46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59.86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35.88</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95.74</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与2020年相比持平，无增减变化。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廊坊市第十一小学坚持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overflowPunct w:val="0"/>
        <w:adjustRightInd w:val="0"/>
        <w:snapToGrid w:val="0"/>
        <w:spacing w:line="580" w:lineRule="exact"/>
        <w:ind w:firstLine="643" w:firstLineChars="200"/>
        <w:jc w:val="left"/>
        <w:rPr>
          <w:rFonts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（三）工作保障措施</w:t>
      </w:r>
    </w:p>
    <w:p>
      <w:pPr>
        <w:spacing w:line="580" w:lineRule="exact"/>
        <w:ind w:firstLine="630"/>
        <w:rPr>
          <w:rFonts w:eastAsia="仿宋_GB2312"/>
          <w:sz w:val="32"/>
          <w:szCs w:val="32"/>
        </w:rPr>
      </w:pPr>
      <w:r>
        <w:rPr>
          <w:rFonts w:hint="eastAsia" w:eastAsia="仿宋_GB2312"/>
          <w:sz w:val="32"/>
          <w:szCs w:val="32"/>
        </w:rPr>
        <w:t>1、</w:t>
      </w:r>
      <w:r>
        <w:rPr>
          <w:rFonts w:eastAsia="仿宋_GB2312"/>
          <w:sz w:val="32"/>
          <w:szCs w:val="32"/>
        </w:rPr>
        <w:t>完善制度建设。制定完善预算绩效管理制度、资金管理办法、工作保障制度，为全年预算绩效目标的实现奠定制度基础。</w:t>
      </w:r>
    </w:p>
    <w:p>
      <w:pPr>
        <w:spacing w:line="580" w:lineRule="exact"/>
        <w:ind w:firstLine="630"/>
        <w:rPr>
          <w:rFonts w:eastAsia="仿宋_GB2312"/>
          <w:sz w:val="32"/>
          <w:szCs w:val="32"/>
        </w:rPr>
      </w:pPr>
      <w:r>
        <w:rPr>
          <w:rFonts w:hint="eastAsia" w:eastAsia="仿宋_GB2312"/>
          <w:sz w:val="32"/>
          <w:szCs w:val="32"/>
        </w:rPr>
        <w:t>2、</w:t>
      </w:r>
      <w:r>
        <w:rPr>
          <w:rFonts w:eastAsia="仿宋_GB2312"/>
          <w:sz w:val="32"/>
          <w:szCs w:val="32"/>
        </w:rPr>
        <w:t>加强支出管理。加</w:t>
      </w:r>
      <w:r>
        <w:rPr>
          <w:rFonts w:hint="eastAsia" w:eastAsia="仿宋_GB2312"/>
          <w:sz w:val="32"/>
          <w:szCs w:val="32"/>
        </w:rPr>
        <w:t>强支出管理。预算确定下达后，尽快启动预算项目，按月梳理工作进度，对支出进度慢的项目重点督进。需要政府采购的项目，尽快履行采购手续。已经完成的项目尽快整理报销手续，争取</w:t>
      </w:r>
      <w:r>
        <w:rPr>
          <w:rFonts w:eastAsia="仿宋_GB2312"/>
          <w:sz w:val="32"/>
          <w:szCs w:val="32"/>
        </w:rPr>
        <w:t>2021年6月底前完成支出</w:t>
      </w:r>
      <w:r>
        <w:rPr>
          <w:rFonts w:hint="eastAsia" w:eastAsia="仿宋_GB2312"/>
          <w:sz w:val="32"/>
          <w:szCs w:val="32"/>
        </w:rPr>
        <w:t>进度的</w:t>
      </w:r>
      <w:r>
        <w:rPr>
          <w:rFonts w:eastAsia="仿宋_GB2312"/>
          <w:sz w:val="32"/>
          <w:szCs w:val="32"/>
        </w:rPr>
        <w:t>60%,10月底前完成支出</w:t>
      </w:r>
      <w:r>
        <w:rPr>
          <w:rFonts w:hint="eastAsia" w:eastAsia="仿宋_GB2312"/>
          <w:sz w:val="32"/>
          <w:szCs w:val="32"/>
        </w:rPr>
        <w:t>进度的</w:t>
      </w:r>
      <w:r>
        <w:rPr>
          <w:rFonts w:eastAsia="仿宋_GB2312"/>
          <w:sz w:val="32"/>
          <w:szCs w:val="32"/>
        </w:rPr>
        <w:t>90%,年底前完成支出</w:t>
      </w:r>
      <w:r>
        <w:rPr>
          <w:rFonts w:hint="eastAsia" w:eastAsia="仿宋_GB2312"/>
          <w:sz w:val="32"/>
          <w:szCs w:val="32"/>
        </w:rPr>
        <w:t>进度的</w:t>
      </w:r>
      <w:r>
        <w:rPr>
          <w:rFonts w:eastAsia="仿宋_GB2312"/>
          <w:sz w:val="32"/>
          <w:szCs w:val="32"/>
        </w:rPr>
        <w:t>100%。确保支出进度达标。</w:t>
      </w:r>
    </w:p>
    <w:p>
      <w:pPr>
        <w:spacing w:line="580" w:lineRule="exact"/>
        <w:ind w:firstLine="630"/>
        <w:rPr>
          <w:rFonts w:eastAsia="仿宋_GB2312"/>
          <w:sz w:val="32"/>
          <w:szCs w:val="32"/>
        </w:rPr>
      </w:pPr>
      <w:r>
        <w:rPr>
          <w:rFonts w:hint="eastAsia" w:eastAsia="仿宋_GB2312"/>
          <w:sz w:val="32"/>
          <w:szCs w:val="32"/>
        </w:rPr>
        <w:t>3、</w:t>
      </w:r>
      <w:r>
        <w:rPr>
          <w:rFonts w:eastAsia="仿宋_GB2312"/>
          <w:sz w:val="32"/>
          <w:szCs w:val="32"/>
        </w:rPr>
        <w:t>加强绩效运行监控。按要求开展绩效运行监控，发现问题及时采取措施，确保绩效目标如期保质实现。</w:t>
      </w:r>
    </w:p>
    <w:p>
      <w:pPr>
        <w:spacing w:line="580" w:lineRule="exact"/>
        <w:ind w:firstLine="630"/>
        <w:rPr>
          <w:rFonts w:eastAsia="仿宋_GB2312"/>
          <w:sz w:val="32"/>
          <w:szCs w:val="32"/>
        </w:rPr>
      </w:pPr>
      <w:r>
        <w:rPr>
          <w:rFonts w:hint="eastAsia" w:eastAsia="仿宋_GB2312"/>
          <w:sz w:val="32"/>
          <w:szCs w:val="32"/>
        </w:rPr>
        <w:t>4、</w:t>
      </w:r>
      <w:r>
        <w:rPr>
          <w:rFonts w:eastAsia="仿宋_GB2312"/>
          <w:sz w:val="32"/>
          <w:szCs w:val="32"/>
        </w:rPr>
        <w:t>做好绩效自评。按要求开展上年度部门预算绩效自评和重点评价工作，</w:t>
      </w:r>
      <w:r>
        <w:rPr>
          <w:rFonts w:hint="eastAsia" w:eastAsia="仿宋_GB2312"/>
          <w:sz w:val="32"/>
          <w:szCs w:val="32"/>
        </w:rPr>
        <w:t>对2021年新增项目逐项进行了事前预算绩效自</w:t>
      </w:r>
      <w:r>
        <w:rPr>
          <w:rFonts w:eastAsia="仿宋_GB2312"/>
          <w:sz w:val="32"/>
          <w:szCs w:val="32"/>
        </w:rPr>
        <w:t>评</w:t>
      </w:r>
      <w:r>
        <w:rPr>
          <w:rFonts w:hint="eastAsia" w:eastAsia="仿宋_GB2312"/>
          <w:sz w:val="32"/>
          <w:szCs w:val="32"/>
        </w:rPr>
        <w:t>工作，对自评</w:t>
      </w:r>
      <w:r>
        <w:rPr>
          <w:rFonts w:eastAsia="仿宋_GB2312"/>
          <w:sz w:val="32"/>
          <w:szCs w:val="32"/>
        </w:rPr>
        <w:t>中发现的问题及时</w:t>
      </w:r>
      <w:r>
        <w:rPr>
          <w:rFonts w:hint="eastAsia" w:eastAsia="仿宋_GB2312"/>
          <w:sz w:val="32"/>
          <w:szCs w:val="32"/>
        </w:rPr>
        <w:t>进行了</w:t>
      </w:r>
      <w:r>
        <w:rPr>
          <w:rFonts w:eastAsia="仿宋_GB2312"/>
          <w:sz w:val="32"/>
          <w:szCs w:val="32"/>
        </w:rPr>
        <w:t>整改，调整优化支出结构，提高财政资金使用效益。</w:t>
      </w:r>
    </w:p>
    <w:p>
      <w:pPr>
        <w:spacing w:line="580" w:lineRule="exact"/>
        <w:ind w:firstLine="630"/>
        <w:rPr>
          <w:rFonts w:eastAsia="仿宋_GB2312"/>
          <w:sz w:val="32"/>
          <w:szCs w:val="32"/>
        </w:rPr>
      </w:pPr>
      <w:r>
        <w:rPr>
          <w:rFonts w:hint="eastAsia" w:eastAsia="仿宋_GB2312"/>
          <w:sz w:val="32"/>
          <w:szCs w:val="32"/>
        </w:rPr>
        <w:t>5、</w:t>
      </w:r>
      <w:r>
        <w:rPr>
          <w:rFonts w:eastAsia="仿宋_GB2312"/>
          <w:sz w:val="32"/>
          <w:szCs w:val="32"/>
        </w:rPr>
        <w:t>规范财务资产管理。完善财务管理制度，严格审批程序，加强固定资产登记、使用和报废处置管理，做到支出合理，物尽其用。</w:t>
      </w:r>
    </w:p>
    <w:p>
      <w:pPr>
        <w:spacing w:line="580" w:lineRule="exact"/>
        <w:ind w:firstLine="630"/>
        <w:rPr>
          <w:rFonts w:eastAsia="仿宋_GB2312"/>
          <w:b/>
          <w:bCs/>
          <w:sz w:val="32"/>
          <w:szCs w:val="32"/>
        </w:rPr>
      </w:pPr>
      <w:r>
        <w:rPr>
          <w:rFonts w:hint="eastAsia" w:eastAsia="仿宋_GB2312"/>
          <w:sz w:val="32"/>
          <w:szCs w:val="32"/>
        </w:rPr>
        <w:t>6、</w:t>
      </w:r>
      <w:r>
        <w:rPr>
          <w:rFonts w:eastAsia="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line="580" w:lineRule="exact"/>
        <w:ind w:firstLine="640" w:firstLineChars="200"/>
        <w:jc w:val="left"/>
        <w:rPr>
          <w:rFonts w:ascii="楷体_GB2312" w:eastAsia="仿宋_GB2312" w:cs="Times New Roman"/>
          <w:b/>
          <w:color w:val="FF0000"/>
          <w:sz w:val="32"/>
          <w:szCs w:val="32"/>
        </w:rPr>
      </w:pPr>
      <w:r>
        <w:rPr>
          <w:rFonts w:hint="eastAsia" w:eastAsia="仿宋_GB2312"/>
          <w:sz w:val="32"/>
          <w:szCs w:val="32"/>
        </w:rPr>
        <w:t>7、</w:t>
      </w:r>
      <w:r>
        <w:rPr>
          <w:rFonts w:eastAsia="仿宋_GB2312"/>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eastAsia="仿宋_GB2312"/>
          <w:sz w:val="32"/>
          <w:szCs w:val="32"/>
        </w:rPr>
        <w:t>。</w:t>
      </w:r>
    </w:p>
    <w:p>
      <w:pPr>
        <w:overflowPunct w:val="0"/>
        <w:adjustRightInd w:val="0"/>
        <w:snapToGrid w:val="0"/>
        <w:spacing w:line="580" w:lineRule="exact"/>
        <w:ind w:firstLine="630" w:firstLineChars="196"/>
        <w:jc w:val="left"/>
        <w:rPr>
          <w:rFonts w:eastAsia="仿宋_GB2312"/>
          <w:color w:val="000000" w:themeColor="text1"/>
          <w:kern w:val="0"/>
          <w:sz w:val="30"/>
          <w:szCs w:val="30"/>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（四）部门整体支出绩效指标</w:t>
      </w:r>
    </w:p>
    <w:tbl>
      <w:tblPr>
        <w:tblStyle w:val="8"/>
        <w:tblW w:w="13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3"/>
        <w:gridCol w:w="973"/>
        <w:gridCol w:w="2552"/>
        <w:gridCol w:w="2977"/>
        <w:gridCol w:w="2562"/>
        <w:gridCol w:w="992"/>
        <w:gridCol w:w="992"/>
        <w:gridCol w:w="57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9" w:hRule="atLeast"/>
          <w:jc w:val="center"/>
        </w:trPr>
        <w:tc>
          <w:tcPr>
            <w:tcW w:w="1123" w:type="dxa"/>
            <w:vMerge w:val="restart"/>
            <w:vAlign w:val="center"/>
          </w:tcPr>
          <w:p>
            <w:pPr>
              <w:jc w:val="center"/>
              <w:rPr>
                <w:rFonts w:ascii="黑体" w:hAnsi="黑体" w:eastAsia="黑体" w:cs="黑体"/>
                <w:bCs/>
                <w:szCs w:val="21"/>
              </w:rPr>
            </w:pPr>
            <w:r>
              <w:rPr>
                <w:rFonts w:hint="eastAsia" w:ascii="黑体" w:hAnsi="黑体" w:eastAsia="黑体" w:cs="黑体"/>
                <w:bCs/>
                <w:szCs w:val="21"/>
              </w:rPr>
              <w:t>一级</w:t>
            </w:r>
          </w:p>
          <w:p>
            <w:pPr>
              <w:jc w:val="center"/>
              <w:rPr>
                <w:rFonts w:ascii="黑体" w:hAnsi="黑体" w:eastAsia="黑体" w:cs="黑体"/>
                <w:bCs/>
                <w:szCs w:val="21"/>
              </w:rPr>
            </w:pPr>
            <w:r>
              <w:rPr>
                <w:rFonts w:hint="eastAsia" w:ascii="黑体" w:hAnsi="黑体" w:eastAsia="黑体" w:cs="黑体"/>
                <w:bCs/>
                <w:szCs w:val="21"/>
              </w:rPr>
              <w:t>指标</w:t>
            </w:r>
          </w:p>
        </w:tc>
        <w:tc>
          <w:tcPr>
            <w:tcW w:w="973" w:type="dxa"/>
            <w:vMerge w:val="restart"/>
            <w:vAlign w:val="center"/>
          </w:tcPr>
          <w:p>
            <w:pPr>
              <w:spacing w:line="300" w:lineRule="exact"/>
              <w:jc w:val="center"/>
              <w:textAlignment w:val="center"/>
              <w:rPr>
                <w:rFonts w:ascii="黑体" w:hAnsi="黑体" w:eastAsia="黑体" w:cs="黑体"/>
                <w:bCs/>
                <w:szCs w:val="21"/>
              </w:rPr>
            </w:pPr>
            <w:r>
              <w:rPr>
                <w:rFonts w:hint="eastAsia" w:ascii="黑体" w:hAnsi="黑体" w:eastAsia="黑体" w:cs="黑体"/>
                <w:bCs/>
                <w:szCs w:val="21"/>
              </w:rPr>
              <w:t>二级</w:t>
            </w:r>
          </w:p>
          <w:p>
            <w:pPr>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2552" w:type="dxa"/>
            <w:vMerge w:val="restart"/>
            <w:vAlign w:val="center"/>
          </w:tcPr>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三级指标</w:t>
            </w:r>
          </w:p>
        </w:tc>
        <w:tc>
          <w:tcPr>
            <w:tcW w:w="2977" w:type="dxa"/>
            <w:vMerge w:val="restart"/>
            <w:vAlign w:val="center"/>
          </w:tcPr>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评（扣）分标准</w:t>
            </w:r>
          </w:p>
        </w:tc>
        <w:tc>
          <w:tcPr>
            <w:tcW w:w="2562"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绩效指标</w:t>
            </w:r>
          </w:p>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描述</w:t>
            </w:r>
          </w:p>
        </w:tc>
        <w:tc>
          <w:tcPr>
            <w:tcW w:w="2562" w:type="dxa"/>
            <w:gridSpan w:val="3"/>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tc>
        <w:tc>
          <w:tcPr>
            <w:tcW w:w="1205"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p>
            <w:pPr>
              <w:widowControl/>
              <w:adjustRightInd w:val="0"/>
              <w:snapToGrid w:val="0"/>
              <w:jc w:val="center"/>
              <w:rPr>
                <w:rFonts w:ascii="黑体" w:hAnsi="黑体" w:eastAsia="黑体" w:cs="黑体"/>
                <w:bCs/>
                <w:szCs w:val="21"/>
              </w:rPr>
            </w:pPr>
            <w:r>
              <w:rPr>
                <w:rFonts w:hint="eastAsia" w:ascii="黑体" w:hAnsi="黑体" w:eastAsia="黑体" w:cs="黑体"/>
                <w:bCs/>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69"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spacing w:line="300" w:lineRule="exact"/>
              <w:jc w:val="center"/>
              <w:textAlignment w:val="center"/>
              <w:rPr>
                <w:rFonts w:ascii="宋体" w:hAnsi="宋体"/>
                <w:color w:val="000000"/>
                <w:kern w:val="0"/>
                <w:sz w:val="24"/>
                <w:szCs w:val="24"/>
              </w:rPr>
            </w:pPr>
          </w:p>
        </w:tc>
        <w:tc>
          <w:tcPr>
            <w:tcW w:w="2552"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977" w:type="dxa"/>
            <w:vMerge w:val="continue"/>
          </w:tcPr>
          <w:p>
            <w:pPr>
              <w:widowControl/>
              <w:spacing w:line="300" w:lineRule="exact"/>
              <w:jc w:val="center"/>
              <w:textAlignment w:val="center"/>
              <w:rPr>
                <w:rFonts w:ascii="宋体" w:hAnsi="宋体"/>
                <w:color w:val="000000"/>
                <w:kern w:val="0"/>
                <w:sz w:val="24"/>
                <w:szCs w:val="24"/>
              </w:rPr>
            </w:pPr>
          </w:p>
        </w:tc>
        <w:tc>
          <w:tcPr>
            <w:tcW w:w="2562" w:type="dxa"/>
            <w:vMerge w:val="continue"/>
            <w:vAlign w:val="center"/>
          </w:tcPr>
          <w:p>
            <w:pPr>
              <w:widowControl/>
              <w:spacing w:line="300" w:lineRule="exact"/>
              <w:jc w:val="center"/>
              <w:textAlignment w:val="center"/>
              <w:rPr>
                <w:rFonts w:ascii="宋体" w:hAnsi="宋体"/>
                <w:color w:val="000000"/>
                <w:kern w:val="0"/>
                <w:sz w:val="24"/>
                <w:szCs w:val="24"/>
              </w:rPr>
            </w:pPr>
          </w:p>
        </w:tc>
        <w:tc>
          <w:tcPr>
            <w:tcW w:w="992" w:type="dxa"/>
            <w:vAlign w:val="center"/>
          </w:tcPr>
          <w:p>
            <w:pPr>
              <w:jc w:val="center"/>
              <w:rPr>
                <w:rFonts w:ascii="黑体" w:hAnsi="黑体" w:eastAsia="黑体" w:cs="黑体"/>
                <w:bCs/>
                <w:szCs w:val="21"/>
              </w:rPr>
            </w:pPr>
            <w:r>
              <w:rPr>
                <w:rFonts w:hint="eastAsia" w:ascii="黑体" w:hAnsi="黑体" w:eastAsia="黑体" w:cs="黑体"/>
                <w:bCs/>
                <w:szCs w:val="21"/>
              </w:rPr>
              <w:t>符号</w:t>
            </w:r>
          </w:p>
        </w:tc>
        <w:tc>
          <w:tcPr>
            <w:tcW w:w="992" w:type="dxa"/>
            <w:vAlign w:val="center"/>
          </w:tcPr>
          <w:p>
            <w:pPr>
              <w:jc w:val="center"/>
              <w:rPr>
                <w:rFonts w:ascii="黑体" w:hAnsi="黑体" w:eastAsia="黑体" w:cs="黑体"/>
                <w:bCs/>
                <w:szCs w:val="21"/>
              </w:rPr>
            </w:pPr>
            <w:r>
              <w:rPr>
                <w:rFonts w:hint="eastAsia" w:ascii="黑体" w:hAnsi="黑体" w:eastAsia="黑体" w:cs="黑体"/>
                <w:bCs/>
                <w:szCs w:val="21"/>
              </w:rPr>
              <w:t>值</w:t>
            </w:r>
          </w:p>
        </w:tc>
        <w:tc>
          <w:tcPr>
            <w:tcW w:w="578" w:type="dxa"/>
            <w:vAlign w:val="center"/>
          </w:tcPr>
          <w:p>
            <w:pPr>
              <w:jc w:val="center"/>
              <w:rPr>
                <w:rFonts w:ascii="黑体" w:hAnsi="黑体" w:eastAsia="黑体" w:cs="黑体"/>
                <w:bCs/>
                <w:szCs w:val="21"/>
              </w:rPr>
            </w:pPr>
            <w:r>
              <w:rPr>
                <w:rFonts w:hint="eastAsia" w:ascii="黑体" w:hAnsi="黑体" w:eastAsia="黑体" w:cs="黑体"/>
                <w:bCs/>
                <w:szCs w:val="21"/>
              </w:rPr>
              <w:t>单位</w:t>
            </w:r>
          </w:p>
        </w:tc>
        <w:tc>
          <w:tcPr>
            <w:tcW w:w="1205"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112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部门产出</w:t>
            </w: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  量</w:t>
            </w:r>
          </w:p>
        </w:tc>
        <w:tc>
          <w:tcPr>
            <w:tcW w:w="255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参加培训教师人数</w:t>
            </w:r>
          </w:p>
        </w:tc>
        <w:tc>
          <w:tcPr>
            <w:tcW w:w="297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每少5人，扣权重分值5%，扣完为止</w:t>
            </w:r>
          </w:p>
        </w:tc>
        <w:tc>
          <w:tcPr>
            <w:tcW w:w="256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考察参加培训教师数量</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43</w:t>
            </w:r>
          </w:p>
        </w:tc>
        <w:tc>
          <w:tcPr>
            <w:tcW w:w="578"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05" w:type="dxa"/>
            <w:vAlign w:val="center"/>
          </w:tcPr>
          <w:p>
            <w:pPr>
              <w:widowControl/>
              <w:adjustRightInd w:val="0"/>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5"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jc w:val="center"/>
              <w:rPr>
                <w:rFonts w:ascii="仿宋_GB2312" w:hAnsi="仿宋_GB2312" w:eastAsia="仿宋_GB2312" w:cs="仿宋_GB2312"/>
                <w:szCs w:val="21"/>
              </w:rPr>
            </w:pPr>
          </w:p>
        </w:tc>
        <w:tc>
          <w:tcPr>
            <w:tcW w:w="2552"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购置图书数量</w:t>
            </w:r>
          </w:p>
        </w:tc>
        <w:tc>
          <w:tcPr>
            <w:tcW w:w="2977"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每少100册，扣权重分值5%，扣完为止</w:t>
            </w:r>
          </w:p>
        </w:tc>
        <w:tc>
          <w:tcPr>
            <w:tcW w:w="256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考察购置图书数量情况</w:t>
            </w:r>
          </w:p>
        </w:tc>
        <w:tc>
          <w:tcPr>
            <w:tcW w:w="992"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10000</w:t>
            </w:r>
          </w:p>
        </w:tc>
        <w:tc>
          <w:tcPr>
            <w:tcW w:w="578"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册</w:t>
            </w:r>
          </w:p>
        </w:tc>
        <w:tc>
          <w:tcPr>
            <w:tcW w:w="1205"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  量</w:t>
            </w:r>
          </w:p>
        </w:tc>
        <w:tc>
          <w:tcPr>
            <w:tcW w:w="255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教师培训合格率</w:t>
            </w:r>
          </w:p>
        </w:tc>
        <w:tc>
          <w:tcPr>
            <w:tcW w:w="297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56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反映培训合格教师与参加培训教师数量比</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95</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05"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采购合同、验收报告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spacing w:line="300" w:lineRule="exact"/>
              <w:jc w:val="center"/>
              <w:textAlignment w:val="center"/>
              <w:rPr>
                <w:rFonts w:ascii="仿宋_GB2312" w:hAnsi="仿宋_GB2312" w:eastAsia="仿宋_GB2312" w:cs="仿宋_GB2312"/>
                <w:color w:val="000000"/>
                <w:kern w:val="0"/>
                <w:szCs w:val="21"/>
              </w:rPr>
            </w:pPr>
          </w:p>
        </w:tc>
        <w:tc>
          <w:tcPr>
            <w:tcW w:w="2552"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图书正版率</w:t>
            </w:r>
          </w:p>
        </w:tc>
        <w:tc>
          <w:tcPr>
            <w:tcW w:w="2977" w:type="dxa"/>
            <w:vAlign w:val="center"/>
          </w:tcPr>
          <w:p>
            <w:pPr>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562" w:type="dxa"/>
            <w:vAlign w:val="center"/>
          </w:tcPr>
          <w:p>
            <w:pPr>
              <w:widowControl/>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考察购置图书正版率情况</w:t>
            </w:r>
          </w:p>
        </w:tc>
        <w:tc>
          <w:tcPr>
            <w:tcW w:w="992" w:type="dxa"/>
            <w:vAlign w:val="center"/>
          </w:tcPr>
          <w:p>
            <w:pPr>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w:t>
            </w:r>
          </w:p>
        </w:tc>
        <w:tc>
          <w:tcPr>
            <w:tcW w:w="992" w:type="dxa"/>
            <w:vAlign w:val="center"/>
          </w:tcPr>
          <w:p>
            <w:pPr>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100</w:t>
            </w:r>
          </w:p>
        </w:tc>
        <w:tc>
          <w:tcPr>
            <w:tcW w:w="578" w:type="dxa"/>
            <w:vAlign w:val="center"/>
          </w:tcPr>
          <w:p>
            <w:pPr>
              <w:adjustRightInd w:val="0"/>
              <w:snapToGrid w:val="0"/>
              <w:spacing w:line="3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w:t>
            </w:r>
          </w:p>
        </w:tc>
        <w:tc>
          <w:tcPr>
            <w:tcW w:w="1205"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时　效</w:t>
            </w:r>
          </w:p>
        </w:tc>
        <w:tc>
          <w:tcPr>
            <w:tcW w:w="2552"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按计划完成学校义务教学工作</w:t>
            </w:r>
          </w:p>
        </w:tc>
        <w:tc>
          <w:tcPr>
            <w:tcW w:w="2977" w:type="dxa"/>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未按时完成一件任务，</w:t>
            </w:r>
            <w:r>
              <w:rPr>
                <w:rFonts w:hint="eastAsia" w:ascii="仿宋_GB2312" w:hAnsi="仿宋_GB2312" w:eastAsia="仿宋_GB2312" w:cs="仿宋_GB2312"/>
                <w:szCs w:val="21"/>
              </w:rPr>
              <w:t>扣权重分值5%，扣完为止</w:t>
            </w:r>
          </w:p>
        </w:tc>
        <w:tc>
          <w:tcPr>
            <w:tcW w:w="2562"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992"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992"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578"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20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55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图书购置的及时性</w:t>
            </w:r>
          </w:p>
        </w:tc>
        <w:tc>
          <w:tcPr>
            <w:tcW w:w="2977"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按计划完成得满分，否则不得分</w:t>
            </w:r>
          </w:p>
        </w:tc>
        <w:tc>
          <w:tcPr>
            <w:tcW w:w="256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考察图书及设备购置的完成时间情况，是否按计划完成</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p>
        </w:tc>
        <w:tc>
          <w:tcPr>
            <w:tcW w:w="1205"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项目整体计划、合同约定、验收单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0"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成本</w:t>
            </w:r>
          </w:p>
        </w:tc>
        <w:tc>
          <w:tcPr>
            <w:tcW w:w="255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977" w:type="dxa"/>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超出指标预算5%，扣权重分值5%，扣完为止</w:t>
            </w:r>
          </w:p>
        </w:tc>
        <w:tc>
          <w:tcPr>
            <w:tcW w:w="256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义务教育阶段小学生均公用经费735元/生/年，含85取暖费。</w:t>
            </w:r>
          </w:p>
        </w:tc>
        <w:tc>
          <w:tcPr>
            <w:tcW w:w="99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735</w:t>
            </w:r>
          </w:p>
        </w:tc>
        <w:tc>
          <w:tcPr>
            <w:tcW w:w="57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元</w:t>
            </w:r>
          </w:p>
        </w:tc>
        <w:tc>
          <w:tcPr>
            <w:tcW w:w="1205" w:type="dxa"/>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8"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成本</w:t>
            </w:r>
          </w:p>
        </w:tc>
        <w:tc>
          <w:tcPr>
            <w:tcW w:w="255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图书采购成本控制</w:t>
            </w:r>
          </w:p>
        </w:tc>
        <w:tc>
          <w:tcPr>
            <w:tcW w:w="2977"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每超出5%，扣权重分值5%，扣完为止</w:t>
            </w:r>
          </w:p>
        </w:tc>
        <w:tc>
          <w:tcPr>
            <w:tcW w:w="256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考察平均每册图书购置成本</w:t>
            </w:r>
          </w:p>
        </w:tc>
        <w:tc>
          <w:tcPr>
            <w:tcW w:w="99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元</w:t>
            </w:r>
          </w:p>
        </w:tc>
        <w:tc>
          <w:tcPr>
            <w:tcW w:w="120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7" w:hRule="atLeast"/>
          <w:jc w:val="center"/>
        </w:trPr>
        <w:tc>
          <w:tcPr>
            <w:tcW w:w="1123"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973"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社会</w:t>
            </w:r>
          </w:p>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效益</w:t>
            </w:r>
          </w:p>
        </w:tc>
        <w:tc>
          <w:tcPr>
            <w:tcW w:w="2552"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受益师生数</w:t>
            </w:r>
          </w:p>
        </w:tc>
        <w:tc>
          <w:tcPr>
            <w:tcW w:w="2977" w:type="dxa"/>
            <w:vAlign w:val="center"/>
          </w:tcPr>
          <w:p>
            <w:pPr>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每少10人，扣权重分值5%，扣完为止</w:t>
            </w:r>
          </w:p>
        </w:tc>
        <w:tc>
          <w:tcPr>
            <w:tcW w:w="256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考察受益师生数</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1400</w:t>
            </w:r>
          </w:p>
        </w:tc>
        <w:tc>
          <w:tcPr>
            <w:tcW w:w="578"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05" w:type="dxa"/>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1123" w:type="dxa"/>
            <w:vMerge w:val="continue"/>
            <w:vAlign w:val="center"/>
          </w:tcPr>
          <w:p>
            <w:pPr>
              <w:jc w:val="center"/>
              <w:rPr>
                <w:rFonts w:ascii="仿宋_GB2312" w:hAnsi="仿宋_GB2312" w:eastAsia="仿宋_GB2312" w:cs="仿宋_GB2312"/>
                <w:szCs w:val="21"/>
              </w:rPr>
            </w:pPr>
          </w:p>
        </w:tc>
        <w:tc>
          <w:tcPr>
            <w:tcW w:w="973" w:type="dxa"/>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满意度</w:t>
            </w:r>
          </w:p>
        </w:tc>
        <w:tc>
          <w:tcPr>
            <w:tcW w:w="255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师生满意度</w:t>
            </w:r>
          </w:p>
        </w:tc>
        <w:tc>
          <w:tcPr>
            <w:tcW w:w="2977"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56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考察师生对学校的满意度</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92"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95</w:t>
            </w:r>
          </w:p>
        </w:tc>
        <w:tc>
          <w:tcPr>
            <w:tcW w:w="578"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05"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问卷调查</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仿宋_GB2312" w:hAnsi="Times New Roman" w:eastAsia="仿宋_GB2312" w:cs="Times New Roman"/>
          <w:sz w:val="24"/>
          <w:szCs w:val="24"/>
        </w:rPr>
      </w:pPr>
      <w:r>
        <w:rPr>
          <w:rFonts w:hint="eastAsia" w:ascii="仿宋_GB2312" w:hAnsi="Times New Roman" w:eastAsia="仿宋_GB2312" w:cs="Times New Roman"/>
          <w:sz w:val="28"/>
          <w:szCs w:val="28"/>
        </w:rPr>
        <w:t>1.</w:t>
      </w:r>
      <w:bookmarkStart w:id="0" w:name="_Toc29799657"/>
      <w:bookmarkEnd w:id="0"/>
      <w:r>
        <w:rPr>
          <w:rFonts w:hint="eastAsia" w:ascii="仿宋_GB2312" w:eastAsia="仿宋_GB2312"/>
          <w:sz w:val="28"/>
          <w:szCs w:val="28"/>
        </w:rPr>
        <w:t xml:space="preserve"> 城市区小学生均公用经费区级配套资金绩效目标表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58、城市区初中生均公用经费区级配套资金绩效目标表 \f C \l 1 </w:instrText>
      </w:r>
      <w:r>
        <w:rPr>
          <w:rFonts w:hint="eastAsia" w:ascii="仿宋_GB2312" w:eastAsia="仿宋_GB2312"/>
          <w:b/>
          <w:sz w:val="24"/>
          <w:szCs w:val="24"/>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b/>
                <w:sz w:val="24"/>
                <w:szCs w:val="24"/>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b/>
                <w:sz w:val="24"/>
                <w:szCs w:val="24"/>
              </w:rPr>
            </w:pPr>
            <w:r>
              <w:rPr>
                <w:rFonts w:hint="eastAsia" w:ascii="仿宋_GB2312" w:hAnsi="仿宋_GB2312" w:eastAsia="仿宋_GB2312" w:cs="仿宋_GB2312"/>
                <w:b/>
                <w:szCs w:val="21"/>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1.保障义务教育教学正常的进行。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2.改善办公条件，提升教育环境。</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3.开展教师培训，提高教师队伍水平。</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4.开展文体活动，提高学生综合素质。</w:t>
            </w:r>
          </w:p>
        </w:tc>
      </w:tr>
    </w:tbl>
    <w:p>
      <w:pPr>
        <w:spacing w:line="14" w:lineRule="exact"/>
        <w:jc w:val="center"/>
        <w:rPr>
          <w:rFonts w:ascii="仿宋_GB2312" w:hAnsi="宋体" w:eastAsia="仿宋_GB2312"/>
          <w:sz w:val="24"/>
          <w:szCs w:val="24"/>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289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170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保安全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保正常运转</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正常运转</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735元</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Theme="minorEastAsia" w:hAnsiTheme="minorEastAsia" w:eastAsiaTheme="minorEastAsia"/>
                <w:sz w:val="24"/>
                <w:szCs w:val="24"/>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Theme="minorEastAsia" w:hAnsiTheme="minorEastAsia" w:eastAsiaTheme="minorEastAsia"/>
                <w:sz w:val="24"/>
                <w:szCs w:val="24"/>
              </w:rPr>
            </w:pPr>
            <w:r>
              <w:rPr>
                <w:rFonts w:hint="eastAsia" w:ascii="仿宋_GB2312" w:hAnsi="仿宋_GB2312" w:eastAsia="仿宋_GB2312" w:cs="仿宋_GB2312"/>
                <w:szCs w:val="21"/>
              </w:rPr>
              <w:t>满意度指标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仿宋_GB2312" w:hAnsi="Times New Roman" w:eastAsia="仿宋_GB2312" w:cs="Times New Roman"/>
          <w:sz w:val="24"/>
          <w:szCs w:val="24"/>
        </w:rPr>
      </w:pPr>
      <w:r>
        <w:rPr>
          <w:rFonts w:hint="eastAsia" w:ascii="仿宋_GB2312" w:hAnsi="仿宋_GB2312" w:eastAsia="仿宋_GB2312" w:cs="仿宋_GB2312"/>
          <w:sz w:val="28"/>
          <w:szCs w:val="28"/>
        </w:rPr>
        <w:t>2. 城市区初中生均公用经费中央（直达）配套资金绩效目标表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59、城市区初中生均公用经费中央（直达）配套资金绩效目标表 \f C \l 1 </w:instrText>
      </w:r>
      <w:r>
        <w:rPr>
          <w:rFonts w:hint="eastAsia" w:ascii="仿宋_GB2312" w:eastAsia="仿宋_GB2312"/>
          <w:b/>
          <w:sz w:val="24"/>
          <w:szCs w:val="24"/>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b/>
                <w:sz w:val="24"/>
                <w:szCs w:val="24"/>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b/>
                <w:sz w:val="24"/>
                <w:szCs w:val="24"/>
              </w:rPr>
            </w:pPr>
            <w:r>
              <w:rPr>
                <w:rFonts w:hint="eastAsia" w:ascii="仿宋_GB2312" w:hAnsi="仿宋_GB2312" w:eastAsia="仿宋_GB2312" w:cs="仿宋_GB2312"/>
                <w:b/>
                <w:szCs w:val="21"/>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1.保障义务教育教学正常的进行。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2.改善办公条件，提升教育环境。</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3.开展教师培训，提高教师队伍水平。</w:t>
            </w:r>
          </w:p>
          <w:p>
            <w:pPr>
              <w:spacing w:line="300" w:lineRule="exact"/>
              <w:jc w:val="left"/>
              <w:rPr>
                <w:rFonts w:ascii="宋体" w:hAnsi="宋体"/>
                <w:sz w:val="24"/>
                <w:szCs w:val="24"/>
              </w:rPr>
            </w:pPr>
            <w:r>
              <w:rPr>
                <w:rFonts w:hint="eastAsia" w:ascii="仿宋_GB2312" w:hAnsi="仿宋_GB2312" w:eastAsia="仿宋_GB2312" w:cs="仿宋_GB2312"/>
                <w:szCs w:val="21"/>
              </w:rPr>
              <w:t>4.开展文体活动，提高学生综合素质。</w:t>
            </w:r>
          </w:p>
        </w:tc>
      </w:tr>
    </w:tbl>
    <w:p>
      <w:pPr>
        <w:spacing w:line="14" w:lineRule="exact"/>
        <w:jc w:val="center"/>
        <w:rPr>
          <w:rFonts w:ascii="仿宋_GB2312" w:hAnsi="宋体" w:eastAsia="仿宋_GB2312"/>
          <w:sz w:val="24"/>
          <w:szCs w:val="24"/>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289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170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保安全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保正常运转</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正常运转</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735元</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sz w:val="24"/>
                <w:szCs w:val="24"/>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宋体" w:hAnsi="宋体"/>
                <w:sz w:val="24"/>
                <w:szCs w:val="24"/>
              </w:rPr>
            </w:pPr>
            <w:r>
              <w:rPr>
                <w:rFonts w:hint="eastAsia" w:ascii="仿宋_GB2312" w:hAnsi="仿宋_GB2312" w:eastAsia="仿宋_GB2312" w:cs="仿宋_GB2312"/>
                <w:szCs w:val="21"/>
              </w:rPr>
              <w:t>满意度指标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[430012]廊坊市第十一小学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十一小学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303.45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十一小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十一小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303.45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微软雅黑" w:hAnsi="微软雅黑" w:eastAsia="微软雅黑"/>
                <w:color w:val="333333"/>
                <w:sz w:val="22"/>
              </w:rPr>
              <w:t>173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36905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301F9F"/>
    <w:rsid w:val="00356683"/>
    <w:rsid w:val="00382E71"/>
    <w:rsid w:val="004A0660"/>
    <w:rsid w:val="004A54AA"/>
    <w:rsid w:val="0051539C"/>
    <w:rsid w:val="00561250"/>
    <w:rsid w:val="005D56CA"/>
    <w:rsid w:val="005E2CBA"/>
    <w:rsid w:val="006477C2"/>
    <w:rsid w:val="00691641"/>
    <w:rsid w:val="006C033A"/>
    <w:rsid w:val="007129AF"/>
    <w:rsid w:val="007257DA"/>
    <w:rsid w:val="00796DDB"/>
    <w:rsid w:val="00807A76"/>
    <w:rsid w:val="008759F9"/>
    <w:rsid w:val="0089152A"/>
    <w:rsid w:val="008F0EB4"/>
    <w:rsid w:val="00A218C6"/>
    <w:rsid w:val="00A829D5"/>
    <w:rsid w:val="00B17B32"/>
    <w:rsid w:val="00B80935"/>
    <w:rsid w:val="00BA3CDD"/>
    <w:rsid w:val="00C032F4"/>
    <w:rsid w:val="00C16497"/>
    <w:rsid w:val="00CA27A5"/>
    <w:rsid w:val="00D347CC"/>
    <w:rsid w:val="00E27CE3"/>
    <w:rsid w:val="00F37F3A"/>
    <w:rsid w:val="00F70818"/>
    <w:rsid w:val="00FA4801"/>
    <w:rsid w:val="00FA558D"/>
    <w:rsid w:val="017303B9"/>
    <w:rsid w:val="02B50C03"/>
    <w:rsid w:val="08647189"/>
    <w:rsid w:val="0BC96108"/>
    <w:rsid w:val="10792363"/>
    <w:rsid w:val="15880A7F"/>
    <w:rsid w:val="22D8168F"/>
    <w:rsid w:val="2407223B"/>
    <w:rsid w:val="268F33E9"/>
    <w:rsid w:val="2A1D0445"/>
    <w:rsid w:val="2B17194E"/>
    <w:rsid w:val="2BC23916"/>
    <w:rsid w:val="2BEB5866"/>
    <w:rsid w:val="2CEC6778"/>
    <w:rsid w:val="2EDA7E49"/>
    <w:rsid w:val="2EE13AD0"/>
    <w:rsid w:val="30D0428A"/>
    <w:rsid w:val="3528050D"/>
    <w:rsid w:val="3553137B"/>
    <w:rsid w:val="39C47AAC"/>
    <w:rsid w:val="3BC84B02"/>
    <w:rsid w:val="3CA11338"/>
    <w:rsid w:val="3DA10056"/>
    <w:rsid w:val="41D55D64"/>
    <w:rsid w:val="44945E16"/>
    <w:rsid w:val="4B650B2E"/>
    <w:rsid w:val="4CB455F4"/>
    <w:rsid w:val="4E427077"/>
    <w:rsid w:val="53D97524"/>
    <w:rsid w:val="540D3BCC"/>
    <w:rsid w:val="58FC7D8F"/>
    <w:rsid w:val="60311C9A"/>
    <w:rsid w:val="631615BD"/>
    <w:rsid w:val="67FA69AA"/>
    <w:rsid w:val="6A591481"/>
    <w:rsid w:val="6B6E71F6"/>
    <w:rsid w:val="6CEC46B3"/>
    <w:rsid w:val="6DA127DC"/>
    <w:rsid w:val="7DBD3705"/>
    <w:rsid w:val="7ECE3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830</Words>
  <Characters>4736</Characters>
  <Lines>39</Lines>
  <Paragraphs>11</Paragraphs>
  <TotalTime>3</TotalTime>
  <ScaleCrop>false</ScaleCrop>
  <LinksUpToDate>false</LinksUpToDate>
  <CharactersWithSpaces>5555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2024-05-15T08:09:28Z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0C11740CB7B14EEA98BAC55C866891BC</vt:lpwstr>
  </property>
</Properties>
</file>