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4" w:name="_GoBack"/>
      <w:r>
        <w:rPr>
          <w:rFonts w:hint="eastAsia" w:ascii="Times New Roman" w:hAnsi="Times New Roman" w:eastAsia="方正小标宋简体" w:cs="Times New Roman"/>
          <w:sz w:val="44"/>
          <w:szCs w:val="44"/>
        </w:rPr>
        <w:t>逸夫小学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逸夫小学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widowControl/>
        <w:adjustRightInd w:val="0"/>
        <w:spacing w:line="36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（一）正确贯彻执行党的教育方针、政策、法规。</w:t>
      </w:r>
    </w:p>
    <w:p>
      <w:pPr>
        <w:pStyle w:val="12"/>
        <w:widowControl/>
        <w:adjustRightIn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（二）维护学校的教学秩序，为学生创造良好的学习环境。</w:t>
      </w:r>
    </w:p>
    <w:p>
      <w:pPr>
        <w:pStyle w:val="12"/>
        <w:widowControl/>
        <w:adjustRightIn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（三）积极稳妥地推进教育改革，按教育规律办事，不断提高教育质量。</w:t>
      </w:r>
    </w:p>
    <w:p>
      <w:pPr>
        <w:pStyle w:val="12"/>
        <w:widowControl/>
        <w:adjustRightIn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（四）根据学校规模，设置学校管理机构，建立健全各项规章制度和岗位责任制。</w:t>
      </w:r>
    </w:p>
    <w:p>
      <w:pPr>
        <w:pStyle w:val="12"/>
        <w:widowControl/>
        <w:adjustRightInd w:val="0"/>
        <w:snapToGrid w:val="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（五）坚持教书育人，服务育人，环境育人方针，加强对学生的思想品德教育，使学生的德智体美劳全面发展。</w:t>
      </w:r>
    </w:p>
    <w:p>
      <w:pPr>
        <w:pStyle w:val="12"/>
        <w:widowControl/>
        <w:adjustRightIn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（六）抓好教师队伍建设，使每个教师都热心于教育事业。</w:t>
      </w:r>
    </w:p>
    <w:p>
      <w:pPr>
        <w:pStyle w:val="12"/>
        <w:adjustRightIn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24"/>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0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18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180"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廊坊市逸夫小学</w:t>
            </w:r>
          </w:p>
        </w:tc>
        <w:tc>
          <w:tcPr>
            <w:tcW w:w="1134"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szCs w:val="21"/>
              </w:rPr>
              <w:t>全额事业</w:t>
            </w:r>
          </w:p>
        </w:tc>
        <w:tc>
          <w:tcPr>
            <w:tcW w:w="1276"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股级</w:t>
            </w:r>
          </w:p>
        </w:tc>
        <w:tc>
          <w:tcPr>
            <w:tcW w:w="3180"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逸夫小学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951.81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951.81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逸夫小学2021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951.81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892.69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881.45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11.24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59.12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951.81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3.92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49.94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53.86</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3" w:firstLineChars="200"/>
        <w:jc w:val="left"/>
        <w:rPr>
          <w:rFonts w:ascii="Times New Roman" w:hAnsi="Times New Roman" w:eastAsia="仿宋_GB2312" w:cs="Times New Roman"/>
          <w:b/>
          <w:sz w:val="32"/>
          <w:szCs w:val="32"/>
        </w:rPr>
      </w:pPr>
      <w:r>
        <w:rPr>
          <w:rFonts w:hint="eastAsia" w:ascii="黑体" w:hAnsi="黑体" w:eastAsia="黑体" w:cs="黑体"/>
          <w:b/>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spacing w:line="579"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廊坊市逸夫小学坚持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目标1:教育教学绩效</w:t>
      </w:r>
    </w:p>
    <w:p>
      <w:pPr>
        <w:spacing w:line="579" w:lineRule="exact"/>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spacing w:line="579" w:lineRule="exact"/>
        <w:ind w:firstLine="640" w:firstLineChars="200"/>
        <w:rPr>
          <w:rFonts w:ascii="仿宋_GB2312" w:hAnsi="仿宋" w:eastAsia="仿宋_GB2312"/>
          <w:b/>
          <w:sz w:val="30"/>
          <w:szCs w:val="30"/>
        </w:rPr>
      </w:pPr>
      <w:r>
        <w:rPr>
          <w:rFonts w:hint="eastAsia" w:ascii="仿宋_GB2312" w:hAnsi="仿宋" w:eastAsia="仿宋_GB2312" w:cs="宋体"/>
          <w:sz w:val="32"/>
          <w:szCs w:val="32"/>
        </w:rPr>
        <w:t>目标2:培养高素质的教师队伍</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spacing w:line="579" w:lineRule="exact"/>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目标3:学校办学条件的发展建设</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spacing w:line="579" w:lineRule="exact"/>
        <w:ind w:firstLine="640" w:firstLineChars="200"/>
        <w:rPr>
          <w:rFonts w:ascii="仿宋_GB2312" w:hAnsi="仿宋" w:eastAsia="仿宋_GB2312"/>
          <w:b/>
          <w:sz w:val="30"/>
          <w:szCs w:val="30"/>
        </w:rPr>
      </w:pPr>
      <w:r>
        <w:rPr>
          <w:rFonts w:hint="eastAsia" w:ascii="仿宋_GB2312" w:hAnsi="仿宋" w:eastAsia="仿宋_GB2312" w:cs="宋体"/>
          <w:sz w:val="32"/>
          <w:szCs w:val="32"/>
        </w:rPr>
        <w:t>目标4:推动学校文化建设工作</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79" w:lineRule="exact"/>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目标5:办满意的学校</w:t>
      </w:r>
    </w:p>
    <w:p>
      <w:pPr>
        <w:overflowPunct w:val="0"/>
        <w:adjustRightInd w:val="0"/>
        <w:snapToGrid w:val="0"/>
        <w:spacing w:line="579"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overflowPunct w:val="0"/>
        <w:adjustRightInd w:val="0"/>
        <w:snapToGrid w:val="0"/>
        <w:spacing w:line="579"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（三）工作保障措施</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1、全面提升教师专业能力、道德素养</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加强师德师风建设，提高教师业务水平，创建校本课程，为学生成长提供良好教育环境。</w:t>
      </w:r>
    </w:p>
    <w:p>
      <w:pPr>
        <w:spacing w:line="579" w:lineRule="exact"/>
        <w:ind w:firstLine="640" w:firstLineChars="200"/>
        <w:rPr>
          <w:rFonts w:ascii="仿宋_GB2312" w:hAnsi="黑体" w:eastAsia="仿宋_GB2312" w:cs="Times New Roman"/>
          <w:b/>
          <w:sz w:val="32"/>
          <w:szCs w:val="32"/>
        </w:rPr>
      </w:pPr>
      <w:r>
        <w:rPr>
          <w:rFonts w:hint="eastAsia" w:ascii="仿宋_GB2312" w:hAnsi="黑体" w:eastAsia="仿宋_GB2312" w:cs="Times New Roman"/>
          <w:sz w:val="32"/>
          <w:szCs w:val="32"/>
        </w:rPr>
        <w:t>2、打造平安校园</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通过安全网格化管理实施，加强学校信息化水平，提升校园安全系数，增强与家长联系，从而为学生提供一个安全放心的校园环境。</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3、完善财务制度建设</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结合2020年工作开展情况，进一步查漏补缺，完善工作制度，制定完善的预算绩效管理制度、资金管理办法等，为全年预算绩效目标的实现奠定坚实的基础。</w:t>
      </w:r>
    </w:p>
    <w:p>
      <w:pPr>
        <w:spacing w:line="579"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4、加强支出管理</w:t>
      </w:r>
    </w:p>
    <w:p>
      <w:pPr>
        <w:spacing w:line="579" w:lineRule="exact"/>
        <w:ind w:firstLine="640" w:firstLineChars="200"/>
        <w:rPr>
          <w:rFonts w:ascii="楷体_GB2312" w:eastAsia="楷体_GB2312" w:cs="Times New Roman"/>
          <w:b/>
          <w:sz w:val="32"/>
          <w:szCs w:val="32"/>
        </w:rPr>
      </w:pPr>
      <w:r>
        <w:rPr>
          <w:rFonts w:hint="eastAsia" w:ascii="仿宋_GB2312" w:hAnsi="黑体" w:eastAsia="仿宋_GB2312" w:cs="Times New Roman"/>
          <w:sz w:val="32"/>
          <w:szCs w:val="32"/>
        </w:rPr>
        <w:t>预算确定下达后，按计划将预算项目按月梳理，实时关注工作进度。对支出进度慢的项目重点督进。争取</w:t>
      </w:r>
      <w:r>
        <w:rPr>
          <w:rFonts w:ascii="仿宋_GB2312" w:hAnsi="黑体" w:eastAsia="仿宋_GB2312" w:cs="Times New Roman"/>
          <w:sz w:val="32"/>
          <w:szCs w:val="32"/>
        </w:rPr>
        <w:t>202</w:t>
      </w:r>
      <w:r>
        <w:rPr>
          <w:rFonts w:hint="eastAsia" w:ascii="仿宋_GB2312" w:hAnsi="黑体" w:eastAsia="仿宋_GB2312" w:cs="Times New Roman"/>
          <w:sz w:val="32"/>
          <w:szCs w:val="32"/>
        </w:rPr>
        <w:t>1年</w:t>
      </w:r>
      <w:r>
        <w:rPr>
          <w:rFonts w:ascii="仿宋_GB2312" w:hAnsi="黑体" w:eastAsia="仿宋_GB2312" w:cs="Times New Roman"/>
          <w:sz w:val="32"/>
          <w:szCs w:val="32"/>
        </w:rPr>
        <w:t>6</w:t>
      </w:r>
      <w:r>
        <w:rPr>
          <w:rFonts w:hint="eastAsia" w:ascii="仿宋_GB2312" w:hAnsi="黑体" w:eastAsia="仿宋_GB2312" w:cs="Times New Roman"/>
          <w:sz w:val="32"/>
          <w:szCs w:val="32"/>
        </w:rPr>
        <w:t>月底前完成支出进度的</w:t>
      </w:r>
      <w:r>
        <w:rPr>
          <w:rFonts w:ascii="仿宋_GB2312" w:hAnsi="黑体" w:eastAsia="仿宋_GB2312" w:cs="Times New Roman"/>
          <w:sz w:val="32"/>
          <w:szCs w:val="32"/>
        </w:rPr>
        <w:t>60%,10</w:t>
      </w:r>
      <w:r>
        <w:rPr>
          <w:rFonts w:hint="eastAsia" w:ascii="仿宋_GB2312" w:hAnsi="黑体" w:eastAsia="仿宋_GB2312" w:cs="Times New Roman"/>
          <w:sz w:val="32"/>
          <w:szCs w:val="32"/>
        </w:rPr>
        <w:t>月底前完成支出进度的</w:t>
      </w:r>
      <w:r>
        <w:rPr>
          <w:rFonts w:ascii="仿宋_GB2312" w:hAnsi="黑体" w:eastAsia="仿宋_GB2312" w:cs="Times New Roman"/>
          <w:sz w:val="32"/>
          <w:szCs w:val="32"/>
        </w:rPr>
        <w:t>90%,</w:t>
      </w:r>
      <w:r>
        <w:rPr>
          <w:rFonts w:hint="eastAsia" w:ascii="仿宋_GB2312" w:hAnsi="黑体" w:eastAsia="仿宋_GB2312" w:cs="Times New Roman"/>
          <w:sz w:val="32"/>
          <w:szCs w:val="32"/>
        </w:rPr>
        <w:t>年底前完成支出进度的</w:t>
      </w:r>
      <w:r>
        <w:rPr>
          <w:rFonts w:ascii="仿宋_GB2312" w:hAnsi="黑体" w:eastAsia="仿宋_GB2312" w:cs="Times New Roman"/>
          <w:sz w:val="32"/>
          <w:szCs w:val="32"/>
        </w:rPr>
        <w:t>100%</w:t>
      </w:r>
      <w:r>
        <w:rPr>
          <w:rFonts w:hint="eastAsia" w:ascii="仿宋_GB2312" w:hAnsi="黑体" w:eastAsia="仿宋_GB2312" w:cs="Times New Roman"/>
          <w:sz w:val="32"/>
          <w:szCs w:val="32"/>
        </w:rPr>
        <w:t>。</w:t>
      </w: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8"/>
        <w:gridCol w:w="973"/>
        <w:gridCol w:w="2127"/>
        <w:gridCol w:w="2001"/>
        <w:gridCol w:w="2835"/>
        <w:gridCol w:w="629"/>
        <w:gridCol w:w="708"/>
        <w:gridCol w:w="85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一级指标</w:t>
            </w:r>
          </w:p>
        </w:tc>
        <w:tc>
          <w:tcPr>
            <w:tcW w:w="973"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127"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三级</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001"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评（扣）分标准</w:t>
            </w:r>
          </w:p>
        </w:tc>
        <w:tc>
          <w:tcPr>
            <w:tcW w:w="2835" w:type="dxa"/>
            <w:vMerge w:val="restart"/>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描述</w:t>
            </w:r>
          </w:p>
        </w:tc>
        <w:tc>
          <w:tcPr>
            <w:tcW w:w="2188"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879"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continue"/>
            <w:vAlign w:val="center"/>
          </w:tcPr>
          <w:p>
            <w:pPr>
              <w:rPr>
                <w:rFonts w:ascii="宋体" w:hAnsi="宋体"/>
                <w:b/>
                <w:sz w:val="24"/>
                <w:szCs w:val="24"/>
              </w:rPr>
            </w:pPr>
          </w:p>
        </w:tc>
        <w:tc>
          <w:tcPr>
            <w:tcW w:w="973" w:type="dxa"/>
            <w:vMerge w:val="continue"/>
            <w:vAlign w:val="center"/>
          </w:tcPr>
          <w:p>
            <w:pPr>
              <w:spacing w:line="300" w:lineRule="exact"/>
              <w:jc w:val="center"/>
              <w:textAlignment w:val="center"/>
              <w:rPr>
                <w:rFonts w:ascii="宋体" w:hAnsi="宋体"/>
                <w:b/>
                <w:sz w:val="24"/>
                <w:szCs w:val="24"/>
              </w:rPr>
            </w:pPr>
          </w:p>
        </w:tc>
        <w:tc>
          <w:tcPr>
            <w:tcW w:w="2127" w:type="dxa"/>
            <w:vMerge w:val="continue"/>
            <w:vAlign w:val="center"/>
          </w:tcPr>
          <w:p>
            <w:pPr>
              <w:widowControl/>
              <w:spacing w:line="300" w:lineRule="exact"/>
              <w:jc w:val="center"/>
              <w:textAlignment w:val="center"/>
              <w:rPr>
                <w:rFonts w:ascii="宋体" w:hAnsi="宋体"/>
                <w:b/>
                <w:sz w:val="24"/>
                <w:szCs w:val="24"/>
              </w:rPr>
            </w:pPr>
          </w:p>
        </w:tc>
        <w:tc>
          <w:tcPr>
            <w:tcW w:w="2001" w:type="dxa"/>
            <w:vMerge w:val="continue"/>
            <w:vAlign w:val="center"/>
          </w:tcPr>
          <w:p>
            <w:pPr>
              <w:widowControl/>
              <w:adjustRightInd w:val="0"/>
              <w:snapToGrid w:val="0"/>
              <w:jc w:val="center"/>
              <w:rPr>
                <w:rFonts w:ascii="方正书宋_GBK" w:eastAsia="方正书宋_GBK"/>
                <w:b/>
              </w:rPr>
            </w:pPr>
          </w:p>
        </w:tc>
        <w:tc>
          <w:tcPr>
            <w:tcW w:w="2835" w:type="dxa"/>
            <w:vMerge w:val="continue"/>
          </w:tcPr>
          <w:p>
            <w:pPr>
              <w:widowControl/>
              <w:adjustRightInd w:val="0"/>
              <w:snapToGrid w:val="0"/>
              <w:jc w:val="center"/>
              <w:rPr>
                <w:rFonts w:ascii="宋体" w:hAnsi="宋体"/>
                <w:b/>
                <w:sz w:val="24"/>
                <w:szCs w:val="24"/>
              </w:rPr>
            </w:pPr>
          </w:p>
        </w:tc>
        <w:tc>
          <w:tcPr>
            <w:tcW w:w="629"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708"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851"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879"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618"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数量</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义务教育教师培训人次</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每少5人，扣权重分值5%，扣完为止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考察参加培训教师数量</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26</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上级下达学校的各项工作任务完成率</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每少完成5项，扣权重分值5%，扣完为止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保证完成上级下达学校的各项工作任务</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购置图书数量</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每少100册，扣权重分值5%，扣完为止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考察购置图书数量情况</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册</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rPr>
                <w:rFonts w:ascii="仿宋_GB2312" w:hAnsi="仿宋_GB2312" w:eastAsia="仿宋_GB2312" w:cs="仿宋_GB2312"/>
                <w:szCs w:val="21"/>
              </w:rPr>
            </w:pP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质量</w:t>
            </w:r>
          </w:p>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教师培训合格率</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反映培训合格教师与参加培训教师数量比</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95</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rPr>
                <w:rFonts w:ascii="仿宋_GB2312" w:hAnsi="仿宋_GB2312" w:eastAsia="仿宋_GB2312" w:cs="仿宋_GB2312"/>
                <w:szCs w:val="21"/>
              </w:rPr>
            </w:pP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时效</w:t>
            </w:r>
          </w:p>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按计划完成学校义务教学工作</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按计划完成得满分，否则不得分</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是否按计划完成</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及时</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rPr>
                <w:rFonts w:ascii="宋体" w:hAnsi="宋体"/>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重点工作完成及时率</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每少完成1%，扣权重分值5%，扣完为止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重点工作是否按计划完成</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618" w:type="dxa"/>
            <w:vMerge w:val="continue"/>
            <w:vAlign w:val="center"/>
          </w:tcPr>
          <w:p>
            <w:pPr>
              <w:rPr>
                <w:rFonts w:ascii="宋体" w:hAnsi="宋体"/>
                <w:szCs w:val="21"/>
              </w:rPr>
            </w:pP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成本</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小学生均公用经费含85取暖费</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每少5%，扣权重分值5%，扣完为止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义务教育阶段小学生均公用经费标准含85取暖费</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735</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廊财教【2020】19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61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部门效果</w:t>
            </w: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w:t>
            </w:r>
          </w:p>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效益</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提高人口素质</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每次考核下降，扣权重分值5%，扣完为止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考察受益师生数促进在校生德智体美劳全面发展、促进全民素质的提高。</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提高</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618" w:type="dxa"/>
            <w:vMerge w:val="continue"/>
            <w:vAlign w:val="center"/>
          </w:tcPr>
          <w:p>
            <w:pPr>
              <w:rPr>
                <w:rFonts w:ascii="仿宋_GB2312" w:hAnsi="仿宋_GB2312" w:eastAsia="仿宋_GB2312" w:cs="仿宋_GB2312"/>
                <w:szCs w:val="21"/>
              </w:rPr>
            </w:pP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可持续影响指标</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推动义务教育从数量向质量转变</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每次考核下降，扣权重分值5%，扣完为止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推动义务教育从数量向质量转变</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提升</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618" w:type="dxa"/>
            <w:vMerge w:val="continue"/>
            <w:vAlign w:val="center"/>
          </w:tcPr>
          <w:p>
            <w:pPr>
              <w:rPr>
                <w:rFonts w:ascii="仿宋_GB2312" w:hAnsi="仿宋_GB2312" w:eastAsia="仿宋_GB2312" w:cs="仿宋_GB2312"/>
                <w:szCs w:val="21"/>
              </w:rPr>
            </w:pP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满意度</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师生满意度</w:t>
            </w:r>
          </w:p>
        </w:tc>
        <w:tc>
          <w:tcPr>
            <w:tcW w:w="200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考察师生对学校的满意度</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noWrap/>
            <w:vAlign w:val="center"/>
          </w:tcPr>
          <w:p>
            <w:pPr>
              <w:ind w:firstLine="560" w:firstLineChars="200"/>
              <w:outlineLvl w:val="3"/>
              <w:rPr>
                <w:rFonts w:ascii="方正书宋_GBK" w:eastAsia="方正书宋_GBK"/>
                <w:b/>
              </w:rPr>
            </w:pPr>
            <w:r>
              <w:rPr>
                <w:rFonts w:hint="eastAsia" w:ascii="仿宋_GB2312" w:hAnsi="仿宋_GB2312" w:eastAsia="仿宋_GB2312" w:cs="仿宋_GB2312"/>
                <w:sz w:val="28"/>
                <w:szCs w:val="28"/>
              </w:rPr>
              <w:t>1.</w:t>
            </w:r>
            <w:bookmarkStart w:id="0" w:name="_Toc29799657"/>
            <w:bookmarkEnd w:id="0"/>
            <w:bookmarkStart w:id="1" w:name="_Toc67152570"/>
            <w:r>
              <w:rPr>
                <w:rFonts w:hint="eastAsia" w:ascii="仿宋_GB2312" w:hAnsi="仿宋_GB2312" w:eastAsia="仿宋_GB2312" w:cs="仿宋_GB2312"/>
                <w:sz w:val="28"/>
                <w:szCs w:val="28"/>
              </w:rPr>
              <w:t>城市区小学生均公用经费区级配套资金绩效目标表</w:t>
            </w:r>
            <w:bookmarkEnd w:id="1"/>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接受义务教育学生满意度</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满意学生数量/总数</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ind w:firstLine="420" w:firstLineChars="200"/>
        <w:jc w:val="left"/>
        <w:outlineLvl w:val="1"/>
        <w:rPr>
          <w:rFonts w:ascii="Times New Roman" w:hAnsi="Times New Roman" w:eastAsia="仿宋_GB2312"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noWrap/>
            <w:vAlign w:val="center"/>
          </w:tcPr>
          <w:p>
            <w:pPr>
              <w:jc w:val="left"/>
              <w:outlineLvl w:val="3"/>
              <w:rPr>
                <w:rFonts w:ascii="方正书宋_GBK" w:eastAsia="方正书宋_GBK"/>
                <w:b/>
              </w:rPr>
            </w:pPr>
            <w:r>
              <w:rPr>
                <w:rFonts w:hint="eastAsia" w:ascii="仿宋_GB2312" w:hAnsi="仿宋_GB2312" w:eastAsia="仿宋_GB2312" w:cs="仿宋_GB2312"/>
                <w:sz w:val="28"/>
                <w:szCs w:val="28"/>
              </w:rPr>
              <w:t>2.城市区小学生均公用经费中央（直达）配套资金绩效目标表</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黑体" w:hAnsi="黑体" w:eastAsia="黑体" w:cs="黑体"/>
                <w:bCs/>
              </w:rPr>
            </w:pPr>
            <w:r>
              <w:rPr>
                <w:rFonts w:hint="eastAsia" w:ascii="仿宋_GB2312" w:hAnsi="仿宋_GB2312" w:eastAsia="仿宋_GB2312" w:cs="仿宋_GB2312"/>
                <w:b/>
              </w:rPr>
              <w:t>绩效目标</w:t>
            </w:r>
          </w:p>
        </w:tc>
        <w:tc>
          <w:tcPr>
            <w:tcW w:w="8278" w:type="dxa"/>
            <w:gridSpan w:val="2"/>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3" w:name="_Toc64920910"/>
      <w:r>
        <w:rPr>
          <w:rFonts w:hint="eastAsia" w:ascii="方正小标宋简体" w:hAnsi="方正小标宋简体" w:eastAsia="方正小标宋简体" w:cs="方正小标宋简体"/>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Cs w:val="21"/>
              </w:rPr>
            </w:pPr>
            <w:r>
              <w:rPr>
                <w:rFonts w:hint="eastAsia" w:ascii="黑体" w:hAnsi="黑体" w:eastAsia="黑体" w:cs="黑体"/>
                <w:sz w:val="24"/>
              </w:rPr>
              <w:t>[430006]廊坊市逸夫小学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  计</w:t>
            </w:r>
          </w:p>
        </w:tc>
        <w:tc>
          <w:tcPr>
            <w:tcW w:w="1134" w:type="dxa"/>
            <w:shd w:val="clear" w:color="auto" w:fill="auto"/>
            <w:vAlign w:val="center"/>
          </w:tcPr>
          <w:p>
            <w:pPr>
              <w:spacing w:line="300" w:lineRule="exact"/>
              <w:jc w:val="righ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709" w:type="dxa"/>
            <w:shd w:val="clear" w:color="auto" w:fill="auto"/>
            <w:vAlign w:val="center"/>
          </w:tcPr>
          <w:p>
            <w:pPr>
              <w:spacing w:line="300" w:lineRule="exact"/>
              <w:jc w:val="center"/>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逸夫小学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355.1953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逸夫小学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逸夫小学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355.1953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90.1953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33113"/>
    <w:rsid w:val="00301F9F"/>
    <w:rsid w:val="00356683"/>
    <w:rsid w:val="004A54AA"/>
    <w:rsid w:val="00807A76"/>
    <w:rsid w:val="00824F47"/>
    <w:rsid w:val="008F0EB4"/>
    <w:rsid w:val="00994F80"/>
    <w:rsid w:val="00A218C6"/>
    <w:rsid w:val="00B17B32"/>
    <w:rsid w:val="00B80935"/>
    <w:rsid w:val="00D347CC"/>
    <w:rsid w:val="00E27CE3"/>
    <w:rsid w:val="01F22001"/>
    <w:rsid w:val="04A7247A"/>
    <w:rsid w:val="05981374"/>
    <w:rsid w:val="0E8376D3"/>
    <w:rsid w:val="11F62582"/>
    <w:rsid w:val="157218F2"/>
    <w:rsid w:val="15B51F6A"/>
    <w:rsid w:val="1A8E5A8E"/>
    <w:rsid w:val="1BDB1453"/>
    <w:rsid w:val="1DCD477F"/>
    <w:rsid w:val="2BDA3A4D"/>
    <w:rsid w:val="30010ACB"/>
    <w:rsid w:val="40112CC5"/>
    <w:rsid w:val="40376EC9"/>
    <w:rsid w:val="4B522954"/>
    <w:rsid w:val="4DF254EE"/>
    <w:rsid w:val="5DFB4E64"/>
    <w:rsid w:val="631C7E62"/>
    <w:rsid w:val="6E73713C"/>
    <w:rsid w:val="79A02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776</Words>
  <Characters>4428</Characters>
  <Lines>36</Lines>
  <Paragraphs>10</Paragraphs>
  <TotalTime>4</TotalTime>
  <ScaleCrop>false</ScaleCrop>
  <LinksUpToDate>false</LinksUpToDate>
  <CharactersWithSpaces>5194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2022-07-08T03:10:03Z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5FCA8FEC6C3A499A8B5BF33905DE39C5</vt:lpwstr>
  </property>
</Properties>
</file>