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第二幼儿园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sz w:val="32"/>
          <w:szCs w:val="32"/>
        </w:rPr>
        <w:t>廊坊市广阳区第二幼儿园始建于1983年，是廊坊市最早的幼儿园，是河北省示范幼儿园、河北省卫生保健示范幼儿园。现有幼儿406人，教职人员52人，10个教学班。主要职责是对3周岁以上幼儿进行保育和教育。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5"/>
        <w:gridCol w:w="1290"/>
        <w:gridCol w:w="1695"/>
        <w:gridCol w:w="3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9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9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3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3535" w:type="dxa"/>
            <w:vMerge w:val="continue"/>
            <w:shd w:val="clear" w:color="auto" w:fill="auto"/>
            <w:vAlign w:val="center"/>
          </w:tcPr>
          <w:p/>
        </w:tc>
        <w:tc>
          <w:tcPr>
            <w:tcW w:w="1290" w:type="dxa"/>
            <w:vMerge w:val="continue"/>
            <w:shd w:val="clear" w:color="auto" w:fill="auto"/>
            <w:vAlign w:val="center"/>
          </w:tcPr>
          <w:p/>
        </w:tc>
        <w:tc>
          <w:tcPr>
            <w:tcW w:w="1695" w:type="dxa"/>
            <w:vMerge w:val="continue"/>
            <w:shd w:val="clear" w:color="auto" w:fill="auto"/>
            <w:vAlign w:val="center"/>
          </w:tcPr>
          <w:p/>
        </w:tc>
        <w:tc>
          <w:tcPr>
            <w:tcW w:w="323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3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廊坊市广阳区第二幼儿园</w:t>
            </w:r>
          </w:p>
        </w:tc>
        <w:tc>
          <w:tcPr>
            <w:tcW w:w="1290"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全额事业</w:t>
            </w:r>
          </w:p>
        </w:tc>
        <w:tc>
          <w:tcPr>
            <w:tcW w:w="169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股级</w:t>
            </w:r>
          </w:p>
        </w:tc>
        <w:tc>
          <w:tcPr>
            <w:tcW w:w="3235" w:type="dxa"/>
            <w:shd w:val="clear" w:color="auto" w:fill="auto"/>
            <w:vAlign w:val="center"/>
          </w:tcPr>
          <w:p>
            <w:pPr>
              <w:spacing w:line="584" w:lineRule="exact"/>
              <w:jc w:val="center"/>
              <w:rPr>
                <w:rFonts w:ascii="Times New Roman" w:hAnsi="Times New Roman" w:eastAsia="仿宋_GB2312" w:cs="Times New Roman"/>
                <w:bCs/>
                <w:szCs w:val="24"/>
              </w:rPr>
            </w:pPr>
            <w:r>
              <w:rPr>
                <w:rFonts w:hint="eastAsia" w:ascii="Times New Roman" w:hAnsi="Times New Roman" w:eastAsia="仿宋_GB2312" w:cs="Times New Roman"/>
                <w:bCs/>
                <w:szCs w:val="24"/>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913.57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913.57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2、支出说明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913.57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897.33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753.99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143.34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16.24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。主要为城市幼儿园生均经费区级资金等其他支出。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3、比上年增减情况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913.57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228.21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225.17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增加了3.04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城区幼儿园生均公用经费</w:t>
      </w:r>
      <w:r>
        <w:rPr>
          <w:rFonts w:ascii="Times New Roman" w:hAnsi="Times New Roman" w:eastAsia="仿宋_GB2312" w:cs="Times New Roman"/>
          <w:sz w:val="32"/>
          <w:szCs w:val="32"/>
        </w:rPr>
        <w:t>项目支出。</w:t>
      </w:r>
    </w:p>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黑体" w:hAnsi="黑体" w:eastAsia="黑体" w:cs="黑体"/>
          <w:sz w:val="32"/>
          <w:szCs w:val="32"/>
        </w:rPr>
      </w:pPr>
      <w:r>
        <w:rPr>
          <w:rFonts w:hint="eastAsia" w:ascii="黑体" w:hAnsi="黑体" w:eastAsia="黑体" w:cs="黑体"/>
          <w:sz w:val="32"/>
          <w:szCs w:val="32"/>
        </w:rPr>
        <w:t>五、绩效预算信息</w:t>
      </w:r>
    </w:p>
    <w:p>
      <w:pPr>
        <w:spacing w:line="584"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我园坚持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按质按量完成教育教学方面的各项任务，稳步提升学校的教育教学质量，促进幼儿体智德美全面发展。</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不断改善办学条件。提升学校基础设施设备的整体水平。加强园内基础设施设备的维护,确保校园安全,落实校园防火及其他安全隐患的预防工作。确保校园各设施设备的正常运行。</w:t>
      </w:r>
    </w:p>
    <w:p>
      <w:pPr>
        <w:ind w:firstLine="640" w:firstLineChars="200"/>
        <w:rPr>
          <w:rFonts w:ascii="仿宋_GB2312" w:hAnsi="仿宋" w:eastAsia="仿宋_GB2312"/>
          <w:b/>
          <w:sz w:val="30"/>
          <w:szCs w:val="30"/>
        </w:rPr>
      </w:pPr>
      <w:r>
        <w:rPr>
          <w:rFonts w:hint="eastAsia" w:ascii="仿宋_GB2312" w:hAnsi="仿宋" w:eastAsia="仿宋_GB2312" w:cs="宋体"/>
          <w:sz w:val="32"/>
          <w:szCs w:val="32"/>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继续学校的文化宣传整体布局,完成各班级、各科室及教师办公室的文化宣传布置。加大学校办学理念、目标的宣传,形成具有特色的校园文化氛围。</w:t>
      </w:r>
    </w:p>
    <w:p>
      <w:pPr>
        <w:spacing w:line="584" w:lineRule="exact"/>
        <w:ind w:firstLine="640" w:firstLineChars="200"/>
        <w:rPr>
          <w:rFonts w:ascii="仿宋_GB2312" w:hAnsi="仿宋" w:eastAsia="仿宋_GB2312" w:cs="宋体"/>
          <w:sz w:val="30"/>
          <w:szCs w:val="30"/>
        </w:rPr>
      </w:pPr>
      <w:r>
        <w:rPr>
          <w:rFonts w:hint="eastAsia" w:ascii="仿宋_GB2312" w:hAnsi="仿宋" w:eastAsia="仿宋_GB2312" w:cs="宋体"/>
          <w:sz w:val="32"/>
          <w:szCs w:val="32"/>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教师、学生、家长整体满意度达到80%以上。</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84" w:lineRule="exact"/>
        <w:rPr>
          <w:rFonts w:ascii="仿宋_GB2312" w:hAnsi="仿宋" w:eastAsia="仿宋_GB2312" w:cs="宋体"/>
          <w:sz w:val="32"/>
          <w:szCs w:val="32"/>
        </w:rPr>
      </w:pPr>
      <w:r>
        <w:rPr>
          <w:rFonts w:hint="eastAsia" w:ascii="仿宋_GB2312" w:hAnsi="仿宋" w:eastAsia="仿宋_GB2312" w:cs="宋体"/>
          <w:sz w:val="32"/>
          <w:szCs w:val="32"/>
        </w:rPr>
        <w:t>严格执行冀财教【2018】99号文</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天</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604" w:type="dxa"/>
            <w:gridSpan w:val="3"/>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100%</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及时提供教学用品，保障教学设施正常运转</w:t>
            </w:r>
          </w:p>
        </w:tc>
        <w:tc>
          <w:tcPr>
            <w:tcW w:w="1604" w:type="dxa"/>
            <w:gridSpan w:val="3"/>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及时</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543" w:type="dxa"/>
            <w:tcBorders>
              <w:tl2br w:val="nil"/>
              <w:tr2bl w:val="nil"/>
            </w:tcBorders>
            <w:vAlign w:val="center"/>
          </w:tcPr>
          <w:p>
            <w:pPr>
              <w:widowControl/>
              <w:tabs>
                <w:tab w:val="left" w:pos="255"/>
              </w:tabs>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400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604" w:type="dxa"/>
            <w:gridSpan w:val="3"/>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jc w:val="center"/>
              <w:rPr>
                <w:rFonts w:ascii="仿宋_GB2312" w:hAnsi="仿宋_GB2312" w:eastAsia="仿宋_GB2312" w:cs="仿宋_GB2312"/>
              </w:rPr>
            </w:pPr>
          </w:p>
        </w:tc>
        <w:tc>
          <w:tcPr>
            <w:tcW w:w="2172" w:type="dxa"/>
            <w:tcBorders>
              <w:tl2br w:val="nil"/>
              <w:tr2bl w:val="nil"/>
            </w:tcBorders>
            <w:noWrap/>
            <w:vAlign w:val="center"/>
          </w:tcPr>
          <w:p>
            <w:pPr>
              <w:jc w:val="center"/>
              <w:rPr>
                <w:rFonts w:ascii="仿宋_GB2312" w:hAnsi="仿宋_GB2312" w:eastAsia="仿宋_GB2312" w:cs="仿宋_GB2312"/>
              </w:rPr>
            </w:pPr>
          </w:p>
        </w:tc>
        <w:tc>
          <w:tcPr>
            <w:tcW w:w="1483" w:type="dxa"/>
            <w:tcBorders>
              <w:tl2br w:val="nil"/>
              <w:tr2bl w:val="nil"/>
            </w:tcBorders>
            <w:noWrap/>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573" w:type="dxa"/>
            <w:tcBorders>
              <w:tl2br w:val="nil"/>
              <w:tr2bl w:val="nil"/>
            </w:tcBorders>
            <w:vAlign w:val="center"/>
          </w:tcPr>
          <w:p>
            <w:pPr>
              <w:jc w:val="center"/>
              <w:rPr>
                <w:rFonts w:ascii="仿宋_GB2312" w:hAnsi="仿宋_GB2312" w:eastAsia="仿宋_GB2312" w:cs="仿宋_GB2312"/>
              </w:rPr>
            </w:pPr>
          </w:p>
        </w:tc>
        <w:tc>
          <w:tcPr>
            <w:tcW w:w="1277"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17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483" w:type="dxa"/>
            <w:tcBorders>
              <w:tl2br w:val="nil"/>
              <w:tr2bl w:val="nil"/>
            </w:tcBorders>
            <w:noWrap/>
            <w:vAlign w:val="center"/>
          </w:tcPr>
          <w:p>
            <w:pPr>
              <w:jc w:val="center"/>
              <w:rPr>
                <w:rFonts w:ascii="仿宋_GB2312" w:hAnsi="仿宋_GB2312" w:eastAsia="仿宋_GB2312" w:cs="仿宋_GB2312"/>
              </w:rPr>
            </w:pPr>
          </w:p>
        </w:tc>
        <w:tc>
          <w:tcPr>
            <w:tcW w:w="1604" w:type="dxa"/>
            <w:gridSpan w:val="3"/>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≥80%</w:t>
            </w:r>
          </w:p>
        </w:tc>
        <w:tc>
          <w:tcPr>
            <w:tcW w:w="127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8"/>
        <w:tblW w:w="12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0"/>
        <w:gridCol w:w="858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37" w:type="dxa"/>
            <w:gridSpan w:val="2"/>
            <w:tcBorders>
              <w:top w:val="single" w:color="FFFFFF" w:sz="6" w:space="0"/>
              <w:left w:val="single" w:color="FFFFFF" w:sz="6" w:space="0"/>
              <w:right w:val="single" w:color="FFFFFF" w:sz="6" w:space="0"/>
            </w:tcBorders>
            <w:noWrap/>
            <w:vAlign w:val="center"/>
          </w:tcPr>
          <w:p>
            <w:pPr>
              <w:autoSpaceDE w:val="0"/>
              <w:autoSpaceDN w:val="0"/>
              <w:adjustRightInd w:val="0"/>
              <w:spacing w:line="584" w:lineRule="exact"/>
              <w:jc w:val="left"/>
              <w:rPr>
                <w:rFonts w:ascii="方正书宋_GBK" w:eastAsia="仿宋_GB2312"/>
                <w:b/>
              </w:rPr>
            </w:pPr>
            <w:r>
              <w:rPr>
                <w:rFonts w:ascii="Times New Roman" w:hAnsi="Times New Roman" w:eastAsia="仿宋_GB2312" w:cs="Times New Roman"/>
                <w:sz w:val="28"/>
              </w:rPr>
              <w:t>1</w:t>
            </w:r>
            <w:r>
              <w:rPr>
                <w:rFonts w:hint="eastAsia" w:ascii="Times New Roman" w:hAnsi="Times New Roman" w:eastAsia="仿宋_GB2312" w:cs="Times New Roman"/>
                <w:sz w:val="28"/>
              </w:rPr>
              <w:t>.城市幼儿园生均经费区级资金绩效目标表</w:t>
            </w:r>
          </w:p>
        </w:tc>
        <w:tc>
          <w:tcPr>
            <w:tcW w:w="1701" w:type="dxa"/>
            <w:tcBorders>
              <w:top w:val="single" w:color="FFFFFF" w:sz="6" w:space="0"/>
              <w:left w:val="single" w:color="FFFFFF" w:sz="6" w:space="0"/>
              <w:right w:val="single" w:color="FFFFFF" w:sz="6" w:space="0"/>
            </w:tcBorders>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0" w:type="dxa"/>
            <w:tcBorders>
              <w:bottom w:val="nil"/>
            </w:tcBorders>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0288" w:type="dxa"/>
            <w:gridSpan w:val="2"/>
            <w:tcBorders>
              <w:bottom w:val="nil"/>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1.我园将按照资金使用要求，根据日常需要安排日常办公、维修维护、购买专用材料和玩教具等。</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2.开展教师培训，提高教师队伍水平。</w:t>
            </w:r>
          </w:p>
          <w:p>
            <w:pPr>
              <w:spacing w:line="300" w:lineRule="exact"/>
              <w:jc w:val="left"/>
              <w:rPr>
                <w:rFonts w:ascii="方正书宋_GBK" w:eastAsia="仿宋_GB2312"/>
              </w:rPr>
            </w:pPr>
            <w:r>
              <w:rPr>
                <w:rFonts w:hint="eastAsia" w:ascii="仿宋_GB2312" w:hAnsi="仿宋_GB2312" w:eastAsia="仿宋_GB2312" w:cs="仿宋_GB2312"/>
              </w:rPr>
              <w:t>3.开展文体活动，提高幼儿综合素质。</w:t>
            </w:r>
          </w:p>
        </w:tc>
      </w:tr>
    </w:tbl>
    <w:p>
      <w:pPr>
        <w:spacing w:line="14" w:lineRule="exact"/>
        <w:jc w:val="center"/>
        <w:rPr>
          <w:rFonts w:ascii="Times New Roman" w:hAnsi="宋体"/>
        </w:rPr>
      </w:pPr>
    </w:p>
    <w:tbl>
      <w:tblPr>
        <w:tblStyle w:val="8"/>
        <w:tblW w:w="12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2025"/>
        <w:gridCol w:w="2393"/>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26"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025"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393"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vMerge w:val="restart"/>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保教活动天数</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正常开展教育教学活动</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≥200天</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vMerge w:val="continue"/>
            <w:noWrap/>
            <w:vAlign w:val="center"/>
          </w:tcPr>
          <w:p>
            <w:pPr>
              <w:spacing w:line="300" w:lineRule="exact"/>
              <w:jc w:val="center"/>
              <w:rPr>
                <w:rFonts w:ascii="仿宋_GB2312" w:hAnsi="仿宋_GB2312" w:eastAsia="仿宋_GB2312" w:cs="仿宋_GB2312"/>
              </w:rPr>
            </w:pP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购买的物资、玩教具符合国家质检标准</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vMerge w:val="continue"/>
            <w:noWrap/>
            <w:vAlign w:val="center"/>
          </w:tcPr>
          <w:p>
            <w:pPr>
              <w:spacing w:line="300" w:lineRule="exact"/>
              <w:jc w:val="center"/>
              <w:rPr>
                <w:rFonts w:ascii="仿宋_GB2312" w:hAnsi="仿宋_GB2312" w:eastAsia="仿宋_GB2312" w:cs="仿宋_GB2312"/>
              </w:rPr>
            </w:pP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及时提供教学用品，保障教学设施正常运转</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vMerge w:val="continue"/>
            <w:noWrap/>
            <w:vAlign w:val="center"/>
          </w:tcPr>
          <w:p>
            <w:pPr>
              <w:spacing w:line="300" w:lineRule="exact"/>
              <w:jc w:val="center"/>
              <w:rPr>
                <w:rFonts w:ascii="仿宋_GB2312" w:hAnsi="仿宋_GB2312" w:eastAsia="仿宋_GB2312" w:cs="仿宋_GB2312"/>
              </w:rPr>
            </w:pP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幼儿生均经费标准</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幼儿辍学率</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辍学幼儿占幼儿总数的比例</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025"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393"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幼儿和家长对学校教育保育活动的满意度</w:t>
            </w:r>
          </w:p>
        </w:tc>
        <w:tc>
          <w:tcPr>
            <w:tcW w:w="1276"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[430004]廊坊市广阳区第二幼儿园</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r>
              <w:rPr>
                <w:rFonts w:hint="eastAsia" w:ascii="黑体" w:hAnsi="黑体" w:eastAsia="黑体" w:cs="黑体"/>
                <w:bCs/>
              </w:rPr>
              <w:t>0</w:t>
            </w: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636.87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广阳区第二幼儿园部门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广阳区第二幼儿园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636.87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385.94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250.93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3E9F8"/>
    <w:multiLevelType w:val="singleLevel"/>
    <w:tmpl w:val="FA43E9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5528C7"/>
    <w:rsid w:val="00777AF2"/>
    <w:rsid w:val="007D48EA"/>
    <w:rsid w:val="00807A76"/>
    <w:rsid w:val="008F0EB4"/>
    <w:rsid w:val="00A218C6"/>
    <w:rsid w:val="00B17B32"/>
    <w:rsid w:val="00B80935"/>
    <w:rsid w:val="00D347CC"/>
    <w:rsid w:val="00E27CE3"/>
    <w:rsid w:val="029E4561"/>
    <w:rsid w:val="04FD45C1"/>
    <w:rsid w:val="060063BB"/>
    <w:rsid w:val="067A3FD3"/>
    <w:rsid w:val="08A26234"/>
    <w:rsid w:val="09E84951"/>
    <w:rsid w:val="0B5458D3"/>
    <w:rsid w:val="0C2905EE"/>
    <w:rsid w:val="0D8E5618"/>
    <w:rsid w:val="0DDC62A6"/>
    <w:rsid w:val="0FCF31BA"/>
    <w:rsid w:val="12214893"/>
    <w:rsid w:val="1BC510E3"/>
    <w:rsid w:val="1C0775AB"/>
    <w:rsid w:val="1DE349B1"/>
    <w:rsid w:val="294B5098"/>
    <w:rsid w:val="2FD3515F"/>
    <w:rsid w:val="32F858FD"/>
    <w:rsid w:val="36157A23"/>
    <w:rsid w:val="377A64E3"/>
    <w:rsid w:val="395676EF"/>
    <w:rsid w:val="3B7A7A1A"/>
    <w:rsid w:val="3E7D7ED3"/>
    <w:rsid w:val="40526A1D"/>
    <w:rsid w:val="40E43FCA"/>
    <w:rsid w:val="413B7F61"/>
    <w:rsid w:val="44A4759C"/>
    <w:rsid w:val="4C27638B"/>
    <w:rsid w:val="4CAC23EF"/>
    <w:rsid w:val="4D78243F"/>
    <w:rsid w:val="542E1D40"/>
    <w:rsid w:val="55A4563A"/>
    <w:rsid w:val="59CD264D"/>
    <w:rsid w:val="5C8A7493"/>
    <w:rsid w:val="64330C23"/>
    <w:rsid w:val="6583377B"/>
    <w:rsid w:val="676E0AF7"/>
    <w:rsid w:val="6785119E"/>
    <w:rsid w:val="6B172779"/>
    <w:rsid w:val="6BBF74FA"/>
    <w:rsid w:val="6C39529B"/>
    <w:rsid w:val="71440C22"/>
    <w:rsid w:val="73126B3D"/>
    <w:rsid w:val="73D84789"/>
    <w:rsid w:val="79762B74"/>
    <w:rsid w:val="7A8D1443"/>
    <w:rsid w:val="7FBE3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542</Words>
  <Characters>3093</Characters>
  <Lines>25</Lines>
  <Paragraphs>7</Paragraphs>
  <TotalTime>5</TotalTime>
  <ScaleCrop>false</ScaleCrop>
  <LinksUpToDate>false</LinksUpToDate>
  <CharactersWithSpaces>3628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2022-07-08T03:12:38Z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668D2C4CC2C14ABABE13EEAF122B987C</vt:lpwstr>
  </property>
</Properties>
</file>