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档案馆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广阳区档案馆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根据《廊坊市广阳区档案馆职能配置、内设机构和人员编制规定》， 廊坊市广阳区档案馆的主要职责是：</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广阳区档案馆的主要职责</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（一）贯彻执行国家和本区有关档案管理的法律、法规、规章。</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（二）集中统一管理区直机关各历史时期的档案资料，保守党和国家机密，维护档案完整，确保档案资料安全。</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（三）接收区委、区人大、区政府、区政协、区纪委监委、区直各机关单位及乡镇街道办事处应进馆的档案资料。</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（四）征集散存在社会上对国家和社会有保存价值的珍贵档案资料。</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（五）负责馆藏档案资料的整理、编目、鉴定、统计和技术保护工作。    </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（六）依法开放档案，为党和政府及社会各方面提供利用服务。</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（七）承担政府公开信息的收集、管理和集中查阅工作。</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（八）开发档案信息资源，开展档案史料编研出版、展览陈列和社会教育活动。</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（九）运用现代化技术手段，开展馆藏档案信息化建设。</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（十）完成区委交办的其他任务。</w:t>
      </w:r>
    </w:p>
    <w:p>
      <w:pPr>
        <w:autoSpaceDE w:val="0"/>
        <w:autoSpaceDN w:val="0"/>
        <w:adjustRightInd w:val="0"/>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廊坊市广阳区档案馆</w:t>
            </w:r>
          </w:p>
        </w:tc>
        <w:tc>
          <w:tcPr>
            <w:tcW w:w="1134"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事业</w:t>
            </w:r>
          </w:p>
        </w:tc>
        <w:tc>
          <w:tcPr>
            <w:tcW w:w="1276"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正科级</w:t>
            </w:r>
          </w:p>
        </w:tc>
        <w:tc>
          <w:tcPr>
            <w:tcW w:w="2902" w:type="dxa"/>
            <w:shd w:val="clear" w:color="auto" w:fill="auto"/>
            <w:vAlign w:val="center"/>
          </w:tcPr>
          <w:p>
            <w:pPr>
              <w:spacing w:line="584" w:lineRule="exact"/>
              <w:jc w:val="center"/>
              <w:rPr>
                <w:rFonts w:ascii="Times New Roman" w:hAnsi="Times New Roman" w:eastAsia="仿宋_GB2312" w:cs="Times New Roman"/>
                <w:bCs/>
              </w:rPr>
            </w:pPr>
            <w:r>
              <w:rPr>
                <w:rFonts w:ascii="Times New Roman" w:hAnsi="Times New Roman" w:eastAsia="仿宋_GB2312" w:cs="Times New Roman"/>
                <w:bCs/>
              </w:rPr>
              <w:t>财政</w:t>
            </w:r>
            <w:r>
              <w:rPr>
                <w:rFonts w:hint="eastAsia" w:ascii="Times New Roman" w:hAnsi="Times New Roman" w:eastAsia="仿宋_GB2312" w:cs="Times New Roman"/>
                <w:bCs/>
              </w:rPr>
              <w:t>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广阳区档案馆机关及所属事业单位的收支包含在部门预算中</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188.63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188.63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广阳区档案馆</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188.63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188.63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168.8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9.83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，主要为纸质档案数字化工作经费等其他支出。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188.63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减少24.6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减少34.6</w:t>
      </w:r>
      <w:r>
        <w:rPr>
          <w:rFonts w:ascii="Times New Roman" w:hAnsi="Times New Roman" w:eastAsia="仿宋_GB2312" w:cs="Times New Roman"/>
          <w:sz w:val="32"/>
          <w:szCs w:val="32"/>
        </w:rPr>
        <w:t>万元万元，主要为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纸质档案数字化工作经费</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馆</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9.83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廊坊市广阳区档案馆</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馆</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1、围绕区委、区政府中心工作推进工作开展。</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按照区委、区政府的统一部署，在完成全区重点中心工作的同时，充分发挥档案部门的职能作用，为全区各项工作提供第一手的档案资料。</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2、做好各级档案员的业务培训工作。</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针对我区目前各立档单位档案员变换频繁，档案员业务不熟练的实际情况，定期举办档案员培训班，提高各单位尤其是乡镇、街办处对档案工作的重视，提升档案员的工作水平。</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3、继续做好档案接收工作。</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我们将对今年未按时移交的立档单位进行执法检查，查看归档范围、保管年限是否准确等。以确保将来接收进馆档案的质量，更好的为各立档单位以后查阅档案提供更好的服务。</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4、继续做好档案数字化扫描整理工作。</w:t>
      </w:r>
    </w:p>
    <w:p>
      <w:pPr>
        <w:spacing w:line="584" w:lineRule="exact"/>
        <w:ind w:firstLine="640" w:firstLineChars="200"/>
        <w:jc w:val="left"/>
        <w:rPr>
          <w:rFonts w:ascii="Times New Roman" w:eastAsia="方正仿宋_GBK"/>
          <w:sz w:val="28"/>
        </w:rPr>
      </w:pPr>
      <w:r>
        <w:rPr>
          <w:rFonts w:hint="eastAsia" w:ascii="仿宋_GB2312" w:hAnsi="仿宋_GB2312" w:eastAsia="仿宋_GB2312" w:cs="仿宋_GB2312"/>
          <w:sz w:val="32"/>
          <w:szCs w:val="32"/>
        </w:rPr>
        <w:t>我们继续将全部馆藏档案进行电子化扫描整理工作，全面实现档案数字化管理。</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1、档案收集与整理</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绩效目标：将全年应接收进馆档案进行接收工作，丰富馆藏内容，满足工作考察、历史研究、编史修志等方面的需求，提高档案利用价值。</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绩效指标：档案收集整理完成率100%。</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2、档案保管</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绩效目标：定期调控和记录库房温室度，库房建设符合国家标准，分区合理，设备不出现故障，档案保管环境和保障条件进一步优化，维护档案状况，确保机关和档案绝对安全。</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绩效指标：档案资料完好率100%，档案设施、设备完好率100%，库房环境达标率100%</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3.档案电子化扫描</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绩效目标：完成我馆现存档案的扫描工作，实现档案数字化管理。</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绩效指标：文件及目录数据完成量12万件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是强化政治和制度保障。切实提高政治站位，始终牢记“档案工作姓党”。要旗帜鲜明讲政治，不断增强档案工作的政治敏锐性和政治鉴别力，以高度的政治自觉和强烈的政治担当做好档案工作。完善财务管理规定，专门制定了预算管理制度、货币资金管理办法、资产及物品采购管理办法和项目资金管理办法。保证预算编制合理细致；资产及物品采购程序合理合法，资产管理到位，支出合理，物尽其用。</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2、是做好绩效自评。按要求开展上年度部门预算绩效自评和重点评价工作，对评价中发现的问题及时整改，调整优化支出结构，提高财政资金使用效益。</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是强化内部监督。机关制定了一系列内控制度，严格按照内控制度进行运转，对绩效运行情况、重大支出决策、对外投资、资产处置及其他重要经济业务事项的决策和执行进行督导。成立馆内审工作领导小组及其办公室，加强内审工作。严格审核、监督重大支出决策程序，审核固定资产投资、资产处置及其他重要经济业务事项的决策和执行是否符合馆有关规定，对会计资料进行内部审计，并配合做好审计、财政监督等外部监督工作，确保财政资金安全有效。</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是强化宣传培训调研等。认真贯彻落实全省组织工作会议精神，着力抓好干部教育和培训，扎实做好人才培养工作；加强调研，提出科学的项目实施方案、提高资金使用效益；加大宣传力度，强化预算绩效管理意识，促进预算绩效管理水平进一步提升。</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是强化安全保障。深入贯彻落实国家档案局《关于进一步加强档案安全工作的意见》，建立健全人防、物防、技防三位一体的档案安全保障体系，强化隐患排查治理，防范安全风险挑战，始终把档案安全作为头等大事来抓。</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一级指标</w:t>
            </w:r>
          </w:p>
        </w:tc>
        <w:tc>
          <w:tcPr>
            <w:tcW w:w="825"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二级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897"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三级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2172"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评（扣）分标准</w:t>
            </w:r>
          </w:p>
        </w:tc>
        <w:tc>
          <w:tcPr>
            <w:tcW w:w="1483"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绩效指标</w:t>
            </w:r>
          </w:p>
          <w:p>
            <w:pPr>
              <w:widowControl/>
              <w:adjustRightInd w:val="0"/>
              <w:snapToGrid w:val="0"/>
              <w:jc w:val="center"/>
              <w:rPr>
                <w:rFonts w:ascii="黑体" w:hAnsi="黑体" w:eastAsia="黑体" w:cs="黑体"/>
                <w:bCs/>
              </w:rPr>
            </w:pPr>
            <w:r>
              <w:rPr>
                <w:rFonts w:hint="eastAsia" w:ascii="黑体" w:hAnsi="黑体" w:eastAsia="黑体" w:cs="黑体"/>
                <w:bCs/>
              </w:rPr>
              <w:t>描述</w:t>
            </w:r>
          </w:p>
        </w:tc>
        <w:tc>
          <w:tcPr>
            <w:tcW w:w="1604" w:type="dxa"/>
            <w:gridSpan w:val="3"/>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tc>
        <w:tc>
          <w:tcPr>
            <w:tcW w:w="1277"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p>
            <w:pPr>
              <w:widowControl/>
              <w:adjustRightInd w:val="0"/>
              <w:snapToGrid w:val="0"/>
              <w:jc w:val="center"/>
              <w:rPr>
                <w:rFonts w:ascii="黑体" w:hAnsi="黑体" w:eastAsia="黑体" w:cs="黑体"/>
                <w:bCs/>
              </w:rPr>
            </w:pPr>
            <w:r>
              <w:rPr>
                <w:rFonts w:hint="eastAsia" w:ascii="黑体" w:hAnsi="黑体" w:eastAsia="黑体" w:cs="黑体"/>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符号</w:t>
            </w:r>
          </w:p>
        </w:tc>
        <w:tc>
          <w:tcPr>
            <w:tcW w:w="488"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值</w:t>
            </w:r>
          </w:p>
        </w:tc>
        <w:tc>
          <w:tcPr>
            <w:tcW w:w="57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部门产出</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质量</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档案数字化完成率</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20</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完成扫描、整理档案数量占馆藏档案数量的比例</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质量</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档案接收率</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20</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全年接收进馆档案数量与应接收进馆档案数量比例</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时效</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Times New Roman" w:hAnsi="Times New Roman" w:eastAsia="仿宋_GB2312" w:cs="Times New Roman"/>
              </w:rPr>
              <w:t>工作完成时效</w:t>
            </w:r>
          </w:p>
        </w:tc>
        <w:tc>
          <w:tcPr>
            <w:tcW w:w="217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20</w:t>
            </w:r>
          </w:p>
          <w:p>
            <w:pPr>
              <w:widowControl/>
              <w:adjustRightInd w:val="0"/>
              <w:snapToGrid w:val="0"/>
              <w:rPr>
                <w:rFonts w:ascii="仿宋_GB2312" w:hAnsi="仿宋_GB2312" w:eastAsia="仿宋_GB2312" w:cs="仿宋_GB2312"/>
              </w:rPr>
            </w:pP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Times New Roman" w:hAnsi="Times New Roman" w:eastAsia="仿宋_GB2312" w:cs="Times New Roman"/>
              </w:rPr>
              <w:t>工作完成时效</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按时完成</w:t>
            </w:r>
          </w:p>
        </w:tc>
        <w:tc>
          <w:tcPr>
            <w:tcW w:w="1277" w:type="dxa"/>
            <w:tcBorders>
              <w:tl2br w:val="nil"/>
              <w:tr2bl w:val="nil"/>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成本</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Times New Roman" w:hAnsi="Times New Roman" w:eastAsia="仿宋_GB2312" w:cs="Times New Roman"/>
              </w:rPr>
              <w:t>按总成本控制</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20</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Times New Roman" w:hAnsi="Times New Roman" w:eastAsia="仿宋_GB2312" w:cs="Times New Roman"/>
              </w:rPr>
              <w:t>按总成本控制</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不超预算安排</w:t>
            </w: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Times New Roman" w:hAnsi="Times New Roman" w:eastAsia="仿宋_GB2312" w:cs="Times New Roma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部门效果</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档案查阅、利用情况</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档案查阅、利用情况</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长期服务</w:t>
            </w: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调查指标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经济</w:t>
            </w:r>
          </w:p>
          <w:p>
            <w:pPr>
              <w:adjustRightInd w:val="0"/>
              <w:snapToGrid w:val="0"/>
              <w:jc w:val="center"/>
              <w:rPr>
                <w:rFonts w:ascii="方正书宋_GBK" w:eastAsia="方正书宋_GBK"/>
              </w:rPr>
            </w:pPr>
            <w:r>
              <w:rPr>
                <w:rFonts w:hint="eastAsia" w:ascii="仿宋_GB2312" w:hAnsi="仿宋_GB2312" w:eastAsia="仿宋_GB2312" w:cs="仿宋_GB2312"/>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生态</w:t>
            </w:r>
          </w:p>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adjustRightInd w:val="0"/>
              <w:snapToGrid w:val="0"/>
              <w:jc w:val="center"/>
              <w:rPr>
                <w:rFonts w:ascii="仿宋_GB2312" w:hAnsi="仿宋_GB2312" w:eastAsia="仿宋_GB2312" w:cs="仿宋_GB2312"/>
              </w:rPr>
            </w:pPr>
          </w:p>
        </w:tc>
        <w:tc>
          <w:tcPr>
            <w:tcW w:w="2172" w:type="dxa"/>
            <w:tcBorders>
              <w:tl2br w:val="nil"/>
              <w:tr2bl w:val="nil"/>
            </w:tcBorders>
            <w:vAlign w:val="center"/>
          </w:tcPr>
          <w:p>
            <w:pPr>
              <w:adjustRightInd w:val="0"/>
              <w:snapToGrid w:val="0"/>
              <w:jc w:val="center"/>
              <w:rPr>
                <w:rFonts w:ascii="仿宋_GB2312" w:hAnsi="仿宋_GB2312" w:eastAsia="仿宋_GB2312" w:cs="仿宋_GB2312"/>
              </w:rPr>
            </w:pPr>
          </w:p>
        </w:tc>
        <w:tc>
          <w:tcPr>
            <w:tcW w:w="1483" w:type="dxa"/>
            <w:tcBorders>
              <w:tl2br w:val="nil"/>
              <w:tr2bl w:val="nil"/>
            </w:tcBorders>
            <w:vAlign w:val="center"/>
          </w:tcPr>
          <w:p>
            <w:pPr>
              <w:adjustRightInd w:val="0"/>
              <w:snapToGrid w:val="0"/>
              <w:jc w:val="center"/>
              <w:rPr>
                <w:rFonts w:ascii="仿宋_GB2312" w:hAnsi="仿宋_GB2312" w:eastAsia="仿宋_GB2312" w:cs="仿宋_GB2312"/>
              </w:rPr>
            </w:pPr>
          </w:p>
        </w:tc>
        <w:tc>
          <w:tcPr>
            <w:tcW w:w="543" w:type="dxa"/>
            <w:tcBorders>
              <w:tl2br w:val="nil"/>
              <w:tr2bl w:val="nil"/>
            </w:tcBorders>
            <w:vAlign w:val="center"/>
          </w:tcPr>
          <w:p>
            <w:pPr>
              <w:adjustRightInd w:val="0"/>
              <w:snapToGrid w:val="0"/>
              <w:jc w:val="center"/>
              <w:rPr>
                <w:rFonts w:ascii="仿宋_GB2312" w:hAnsi="仿宋_GB2312" w:eastAsia="仿宋_GB2312" w:cs="仿宋_GB2312"/>
              </w:rPr>
            </w:pPr>
          </w:p>
        </w:tc>
        <w:tc>
          <w:tcPr>
            <w:tcW w:w="488" w:type="dxa"/>
            <w:tcBorders>
              <w:tl2br w:val="nil"/>
              <w:tr2bl w:val="nil"/>
            </w:tcBorders>
            <w:vAlign w:val="center"/>
          </w:tcPr>
          <w:p>
            <w:pPr>
              <w:adjustRightInd w:val="0"/>
              <w:snapToGrid w:val="0"/>
              <w:jc w:val="center"/>
              <w:rPr>
                <w:rFonts w:ascii="仿宋_GB2312" w:hAnsi="仿宋_GB2312" w:eastAsia="仿宋_GB2312" w:cs="仿宋_GB2312"/>
              </w:rPr>
            </w:pPr>
          </w:p>
        </w:tc>
        <w:tc>
          <w:tcPr>
            <w:tcW w:w="573" w:type="dxa"/>
            <w:tcBorders>
              <w:tl2br w:val="nil"/>
              <w:tr2bl w:val="nil"/>
            </w:tcBorders>
            <w:vAlign w:val="center"/>
          </w:tcPr>
          <w:p>
            <w:pPr>
              <w:adjustRightInd w:val="0"/>
              <w:snapToGrid w:val="0"/>
              <w:jc w:val="center"/>
              <w:rPr>
                <w:rFonts w:ascii="仿宋_GB2312" w:hAnsi="仿宋_GB2312" w:eastAsia="仿宋_GB2312" w:cs="仿宋_GB2312"/>
              </w:rPr>
            </w:pPr>
          </w:p>
        </w:tc>
        <w:tc>
          <w:tcPr>
            <w:tcW w:w="1277" w:type="dxa"/>
            <w:tcBorders>
              <w:tl2br w:val="nil"/>
              <w:tr2bl w:val="nil"/>
            </w:tcBorders>
            <w:vAlign w:val="center"/>
          </w:tcPr>
          <w:p>
            <w:pPr>
              <w:adjustRightInd w:val="0"/>
              <w:snapToGrid w:val="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可持续影响</w:t>
            </w:r>
          </w:p>
        </w:tc>
        <w:tc>
          <w:tcPr>
            <w:tcW w:w="897" w:type="dxa"/>
            <w:tcBorders>
              <w:tl2br w:val="nil"/>
              <w:tr2bl w:val="nil"/>
            </w:tcBorders>
            <w:noWrap/>
            <w:vAlign w:val="center"/>
          </w:tcPr>
          <w:p>
            <w:pPr>
              <w:adjustRightInd w:val="0"/>
              <w:snapToGrid w:val="0"/>
              <w:jc w:val="center"/>
              <w:rPr>
                <w:rFonts w:ascii="仿宋_GB2312" w:hAnsi="仿宋_GB2312" w:eastAsia="仿宋_GB2312" w:cs="仿宋_GB2312"/>
              </w:rPr>
            </w:pPr>
          </w:p>
        </w:tc>
        <w:tc>
          <w:tcPr>
            <w:tcW w:w="2172" w:type="dxa"/>
            <w:tcBorders>
              <w:tl2br w:val="nil"/>
              <w:tr2bl w:val="nil"/>
            </w:tcBorders>
            <w:noWrap/>
            <w:vAlign w:val="center"/>
          </w:tcPr>
          <w:p>
            <w:pPr>
              <w:adjustRightInd w:val="0"/>
              <w:snapToGrid w:val="0"/>
              <w:jc w:val="center"/>
              <w:rPr>
                <w:rFonts w:ascii="仿宋_GB2312" w:hAnsi="仿宋_GB2312" w:eastAsia="仿宋_GB2312" w:cs="仿宋_GB2312"/>
              </w:rPr>
            </w:pPr>
          </w:p>
        </w:tc>
        <w:tc>
          <w:tcPr>
            <w:tcW w:w="1483" w:type="dxa"/>
            <w:tcBorders>
              <w:tl2br w:val="nil"/>
              <w:tr2bl w:val="nil"/>
            </w:tcBorders>
            <w:noWrap/>
            <w:vAlign w:val="center"/>
          </w:tcPr>
          <w:p>
            <w:pPr>
              <w:adjustRightInd w:val="0"/>
              <w:snapToGrid w:val="0"/>
              <w:jc w:val="center"/>
              <w:rPr>
                <w:rFonts w:ascii="仿宋_GB2312" w:hAnsi="仿宋_GB2312" w:eastAsia="仿宋_GB2312" w:cs="仿宋_GB2312"/>
              </w:rPr>
            </w:pPr>
          </w:p>
        </w:tc>
        <w:tc>
          <w:tcPr>
            <w:tcW w:w="543" w:type="dxa"/>
            <w:tcBorders>
              <w:tl2br w:val="nil"/>
              <w:tr2bl w:val="nil"/>
            </w:tcBorders>
            <w:vAlign w:val="center"/>
          </w:tcPr>
          <w:p>
            <w:pPr>
              <w:adjustRightInd w:val="0"/>
              <w:snapToGrid w:val="0"/>
              <w:jc w:val="center"/>
              <w:rPr>
                <w:rFonts w:ascii="仿宋_GB2312" w:hAnsi="仿宋_GB2312" w:eastAsia="仿宋_GB2312" w:cs="仿宋_GB2312"/>
              </w:rPr>
            </w:pPr>
          </w:p>
        </w:tc>
        <w:tc>
          <w:tcPr>
            <w:tcW w:w="488" w:type="dxa"/>
            <w:tcBorders>
              <w:tl2br w:val="nil"/>
              <w:tr2bl w:val="nil"/>
            </w:tcBorders>
            <w:vAlign w:val="center"/>
          </w:tcPr>
          <w:p>
            <w:pPr>
              <w:adjustRightInd w:val="0"/>
              <w:snapToGrid w:val="0"/>
              <w:jc w:val="center"/>
              <w:rPr>
                <w:rFonts w:ascii="仿宋_GB2312" w:hAnsi="仿宋_GB2312" w:eastAsia="仿宋_GB2312" w:cs="仿宋_GB2312"/>
              </w:rPr>
            </w:pPr>
          </w:p>
        </w:tc>
        <w:tc>
          <w:tcPr>
            <w:tcW w:w="573" w:type="dxa"/>
            <w:tcBorders>
              <w:tl2br w:val="nil"/>
              <w:tr2bl w:val="nil"/>
            </w:tcBorders>
            <w:vAlign w:val="center"/>
          </w:tcPr>
          <w:p>
            <w:pPr>
              <w:adjustRightInd w:val="0"/>
              <w:snapToGrid w:val="0"/>
              <w:jc w:val="center"/>
              <w:rPr>
                <w:rFonts w:ascii="仿宋_GB2312" w:hAnsi="仿宋_GB2312" w:eastAsia="仿宋_GB2312" w:cs="仿宋_GB2312"/>
              </w:rPr>
            </w:pPr>
          </w:p>
        </w:tc>
        <w:tc>
          <w:tcPr>
            <w:tcW w:w="1277" w:type="dxa"/>
            <w:tcBorders>
              <w:tl2br w:val="nil"/>
              <w:tr2bl w:val="nil"/>
            </w:tcBorders>
            <w:vAlign w:val="center"/>
          </w:tcPr>
          <w:p>
            <w:pPr>
              <w:adjustRightInd w:val="0"/>
              <w:snapToGrid w:val="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满意度</w:t>
            </w:r>
          </w:p>
        </w:tc>
        <w:tc>
          <w:tcPr>
            <w:tcW w:w="897" w:type="dxa"/>
            <w:tcBorders>
              <w:tl2br w:val="nil"/>
              <w:tr2bl w:val="nil"/>
            </w:tcBorders>
            <w:noWrap/>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群众满意度</w:t>
            </w:r>
          </w:p>
        </w:tc>
        <w:tc>
          <w:tcPr>
            <w:tcW w:w="2172" w:type="dxa"/>
            <w:tcBorders>
              <w:tl2br w:val="nil"/>
              <w:tr2bl w:val="nil"/>
            </w:tcBorders>
            <w:noWrap/>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noWrap/>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全区接受档案服务人员满意度调查达到完全满意或满意的全部调查对象的比例</w:t>
            </w:r>
          </w:p>
        </w:tc>
        <w:tc>
          <w:tcPr>
            <w:tcW w:w="543"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调查指标</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纸质档案数字化工作经费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仿宋_GB2312" w:eastAsia="仿宋_GB2312"/>
              </w:rPr>
            </w:pPr>
            <w:r>
              <w:rPr>
                <w:rFonts w:hint="eastAsia" w:ascii="仿宋_GB2312" w:eastAsia="仿宋_GB2312"/>
              </w:rPr>
              <w:t>1.将接收纸质档案扫描整理</w:t>
            </w:r>
          </w:p>
          <w:p>
            <w:pPr>
              <w:spacing w:line="300" w:lineRule="exact"/>
              <w:rPr>
                <w:rFonts w:ascii="Times New Roman" w:hAnsi="Times New Roman" w:eastAsia="仿宋_GB2312" w:cs="Times New Roman"/>
                <w:b/>
              </w:rPr>
            </w:pPr>
            <w:r>
              <w:rPr>
                <w:rFonts w:hint="eastAsia" w:ascii="仿宋_GB2312" w:eastAsia="仿宋_GB2312"/>
              </w:rPr>
              <w:t>2.提高档案利用服务质量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档案扫描整理数量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档案扫描整理数量</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≥1700册</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档案扫描整理验收合格率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档案扫描验收合格率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河北省档案局关于印发《河北省传统载体档案数字化工程实施意见》的通知（冀档【2006】4号）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工作完成时效</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工作完成时效</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按总成本控制</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按总成本控制</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≤10万元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提高档案查阅率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提高档案查阅率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提高查阅率</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河北省档案局关于印发《河北省传统载体档案数字化工程实施意见》的通知（冀档【2006】4号）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档案查阅人员满意度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档案查阅人员满意度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autoSpaceDE w:val="0"/>
        <w:autoSpaceDN w:val="0"/>
        <w:adjustRightInd w:val="0"/>
        <w:spacing w:line="584" w:lineRule="exact"/>
        <w:ind w:firstLine="160" w:firstLineChars="5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ind w:firstLine="6400" w:firstLineChars="2000"/>
        <w:outlineLvl w:val="1"/>
        <w:rPr>
          <w:rFonts w:ascii="Times New Roman" w:hAnsi="Times New Roman" w:cs="Times New Roman"/>
          <w:sz w:val="32"/>
        </w:rPr>
      </w:pPr>
      <w:bookmarkStart w:id="2" w:name="_Toc64920910"/>
      <w:r>
        <w:rPr>
          <w:rFonts w:hint="eastAsia" w:ascii="方正小标宋简体" w:hAnsi="方正小标宋简体" w:eastAsia="方正小标宋简体" w:cs="方正小标宋简体"/>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黑体" w:hAnsi="黑体" w:eastAsia="黑体" w:cs="黑体"/>
                <w:sz w:val="24"/>
              </w:rPr>
            </w:pPr>
            <w:r>
              <w:rPr>
                <w:rFonts w:hint="eastAsia" w:ascii="黑体" w:hAnsi="黑体" w:eastAsia="黑体" w:cs="黑体"/>
                <w:sz w:val="24"/>
              </w:rPr>
              <w:t>[421001]廊坊市广阳区档案馆</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黑体" w:hAnsi="黑体" w:eastAsia="黑体" w:cs="黑体"/>
                <w:sz w:val="24"/>
              </w:rPr>
            </w:pPr>
            <w:r>
              <w:rPr>
                <w:rFonts w:hint="eastAsia" w:ascii="黑体" w:hAnsi="黑体" w:eastAsia="黑体" w:cs="黑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政府采购项目来源</w:t>
            </w:r>
          </w:p>
        </w:tc>
        <w:tc>
          <w:tcPr>
            <w:tcW w:w="1531"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采购物品名称</w:t>
            </w:r>
          </w:p>
        </w:tc>
        <w:tc>
          <w:tcPr>
            <w:tcW w:w="1531"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政府采购目录序号</w:t>
            </w:r>
          </w:p>
        </w:tc>
        <w:tc>
          <w:tcPr>
            <w:tcW w:w="709"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计量  单位</w:t>
            </w:r>
          </w:p>
        </w:tc>
        <w:tc>
          <w:tcPr>
            <w:tcW w:w="907"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数量</w:t>
            </w:r>
          </w:p>
        </w:tc>
        <w:tc>
          <w:tcPr>
            <w:tcW w:w="907"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单价</w:t>
            </w:r>
          </w:p>
        </w:tc>
        <w:tc>
          <w:tcPr>
            <w:tcW w:w="6804" w:type="dxa"/>
            <w:gridSpan w:val="6"/>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项目名称</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预算资金</w:t>
            </w:r>
          </w:p>
        </w:tc>
        <w:tc>
          <w:tcPr>
            <w:tcW w:w="1531" w:type="dxa"/>
            <w:vMerge w:val="continue"/>
            <w:shd w:val="clear" w:color="auto" w:fill="auto"/>
            <w:vAlign w:val="center"/>
          </w:tcPr>
          <w:p>
            <w:pPr>
              <w:rPr>
                <w:rFonts w:ascii="黑体" w:hAnsi="黑体" w:eastAsia="黑体" w:cs="黑体"/>
              </w:rPr>
            </w:pPr>
          </w:p>
        </w:tc>
        <w:tc>
          <w:tcPr>
            <w:tcW w:w="1531" w:type="dxa"/>
            <w:vMerge w:val="continue"/>
            <w:shd w:val="clear" w:color="auto" w:fill="auto"/>
            <w:vAlign w:val="center"/>
          </w:tcPr>
          <w:p>
            <w:pPr>
              <w:rPr>
                <w:rFonts w:ascii="黑体" w:hAnsi="黑体" w:eastAsia="黑体" w:cs="黑体"/>
              </w:rPr>
            </w:pPr>
          </w:p>
        </w:tc>
        <w:tc>
          <w:tcPr>
            <w:tcW w:w="709" w:type="dxa"/>
            <w:vMerge w:val="continue"/>
            <w:shd w:val="clear" w:color="auto" w:fill="auto"/>
            <w:vAlign w:val="center"/>
          </w:tcPr>
          <w:p>
            <w:pPr>
              <w:rPr>
                <w:rFonts w:ascii="黑体" w:hAnsi="黑体" w:eastAsia="黑体" w:cs="黑体"/>
              </w:rPr>
            </w:pPr>
          </w:p>
        </w:tc>
        <w:tc>
          <w:tcPr>
            <w:tcW w:w="907" w:type="dxa"/>
            <w:vMerge w:val="continue"/>
            <w:shd w:val="clear" w:color="auto" w:fill="auto"/>
            <w:vAlign w:val="center"/>
          </w:tcPr>
          <w:p>
            <w:pPr>
              <w:rPr>
                <w:rFonts w:ascii="黑体" w:hAnsi="黑体" w:eastAsia="黑体" w:cs="黑体"/>
              </w:rPr>
            </w:pPr>
          </w:p>
        </w:tc>
        <w:tc>
          <w:tcPr>
            <w:tcW w:w="907" w:type="dxa"/>
            <w:vMerge w:val="continue"/>
            <w:shd w:val="clear" w:color="auto" w:fill="auto"/>
            <w:vAlign w:val="center"/>
          </w:tcPr>
          <w:p>
            <w:pPr>
              <w:rPr>
                <w:rFonts w:ascii="黑体" w:hAnsi="黑体" w:eastAsia="黑体" w:cs="黑体"/>
              </w:rPr>
            </w:pP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合计</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一般公共预算拨款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基金预算拨款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国有资本经营预算拨款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财政专户核拨</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合  计</w:t>
            </w:r>
          </w:p>
        </w:tc>
        <w:tc>
          <w:tcPr>
            <w:tcW w:w="1134" w:type="dxa"/>
            <w:shd w:val="clear" w:color="auto" w:fill="auto"/>
            <w:vAlign w:val="center"/>
          </w:tcPr>
          <w:p>
            <w:pPr>
              <w:spacing w:line="300" w:lineRule="exact"/>
              <w:jc w:val="right"/>
              <w:rPr>
                <w:rFonts w:ascii="黑体" w:hAnsi="黑体" w:eastAsia="黑体" w:cs="黑体"/>
              </w:rPr>
            </w:pPr>
          </w:p>
        </w:tc>
        <w:tc>
          <w:tcPr>
            <w:tcW w:w="1531" w:type="dxa"/>
            <w:shd w:val="clear" w:color="auto" w:fill="auto"/>
            <w:vAlign w:val="center"/>
          </w:tcPr>
          <w:p>
            <w:pPr>
              <w:spacing w:line="300" w:lineRule="exact"/>
              <w:jc w:val="left"/>
              <w:rPr>
                <w:rFonts w:ascii="黑体" w:hAnsi="黑体" w:eastAsia="黑体" w:cs="黑体"/>
              </w:rPr>
            </w:pPr>
          </w:p>
        </w:tc>
        <w:tc>
          <w:tcPr>
            <w:tcW w:w="1531" w:type="dxa"/>
            <w:shd w:val="clear" w:color="auto" w:fill="auto"/>
            <w:vAlign w:val="center"/>
          </w:tcPr>
          <w:p>
            <w:pPr>
              <w:spacing w:line="300" w:lineRule="exact"/>
              <w:jc w:val="left"/>
              <w:rPr>
                <w:rFonts w:ascii="黑体" w:hAnsi="黑体" w:eastAsia="黑体" w:cs="黑体"/>
              </w:rPr>
            </w:pPr>
          </w:p>
        </w:tc>
        <w:tc>
          <w:tcPr>
            <w:tcW w:w="709" w:type="dxa"/>
            <w:shd w:val="clear" w:color="auto" w:fill="auto"/>
            <w:vAlign w:val="center"/>
          </w:tcPr>
          <w:p>
            <w:pPr>
              <w:spacing w:line="300" w:lineRule="exact"/>
              <w:jc w:val="center"/>
              <w:rPr>
                <w:rFonts w:ascii="黑体" w:hAnsi="黑体" w:eastAsia="黑体" w:cs="黑体"/>
              </w:rPr>
            </w:pPr>
          </w:p>
        </w:tc>
        <w:tc>
          <w:tcPr>
            <w:tcW w:w="907" w:type="dxa"/>
            <w:shd w:val="clear" w:color="auto" w:fill="auto"/>
            <w:vAlign w:val="center"/>
          </w:tcPr>
          <w:p>
            <w:pPr>
              <w:spacing w:line="300" w:lineRule="exact"/>
              <w:jc w:val="right"/>
              <w:rPr>
                <w:rFonts w:ascii="黑体" w:hAnsi="黑体" w:eastAsia="黑体" w:cs="黑体"/>
              </w:rPr>
            </w:pPr>
          </w:p>
        </w:tc>
        <w:tc>
          <w:tcPr>
            <w:tcW w:w="907"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531" w:type="dxa"/>
            <w:shd w:val="clear" w:color="auto" w:fill="auto"/>
            <w:vAlign w:val="center"/>
          </w:tcPr>
          <w:p>
            <w:pPr>
              <w:spacing w:line="300" w:lineRule="exact"/>
              <w:jc w:val="left"/>
              <w:rPr>
                <w:rFonts w:ascii="黑体" w:hAnsi="黑体" w:eastAsia="黑体" w:cs="黑体"/>
              </w:rPr>
            </w:pPr>
          </w:p>
        </w:tc>
        <w:tc>
          <w:tcPr>
            <w:tcW w:w="1531" w:type="dxa"/>
            <w:shd w:val="clear" w:color="auto" w:fill="auto"/>
            <w:vAlign w:val="center"/>
          </w:tcPr>
          <w:p>
            <w:pPr>
              <w:spacing w:line="300" w:lineRule="exact"/>
              <w:jc w:val="left"/>
              <w:rPr>
                <w:rFonts w:ascii="黑体" w:hAnsi="黑体" w:eastAsia="黑体" w:cs="黑体"/>
              </w:rPr>
            </w:pPr>
          </w:p>
        </w:tc>
        <w:tc>
          <w:tcPr>
            <w:tcW w:w="709" w:type="dxa"/>
            <w:shd w:val="clear" w:color="auto" w:fill="auto"/>
            <w:vAlign w:val="center"/>
          </w:tcPr>
          <w:p>
            <w:pPr>
              <w:spacing w:line="300" w:lineRule="exact"/>
              <w:jc w:val="center"/>
              <w:rPr>
                <w:rFonts w:ascii="黑体" w:hAnsi="黑体" w:eastAsia="黑体" w:cs="黑体"/>
              </w:rPr>
            </w:pPr>
          </w:p>
        </w:tc>
        <w:tc>
          <w:tcPr>
            <w:tcW w:w="907" w:type="dxa"/>
            <w:shd w:val="clear" w:color="auto" w:fill="auto"/>
            <w:vAlign w:val="center"/>
          </w:tcPr>
          <w:p>
            <w:pPr>
              <w:spacing w:line="300" w:lineRule="exact"/>
              <w:jc w:val="right"/>
              <w:rPr>
                <w:rFonts w:ascii="黑体" w:hAnsi="黑体" w:eastAsia="黑体" w:cs="黑体"/>
              </w:rPr>
            </w:pPr>
          </w:p>
        </w:tc>
        <w:tc>
          <w:tcPr>
            <w:tcW w:w="907"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c>
          <w:tcPr>
            <w:tcW w:w="1134" w:type="dxa"/>
            <w:shd w:val="clear" w:color="auto" w:fill="auto"/>
            <w:vAlign w:val="center"/>
          </w:tcPr>
          <w:p>
            <w:pPr>
              <w:spacing w:line="300" w:lineRule="exact"/>
              <w:jc w:val="right"/>
              <w:rPr>
                <w:rFonts w:ascii="黑体" w:hAnsi="黑体" w:eastAsia="黑体" w:cs="黑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广阳区档案馆</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36.85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广阳区档案馆部门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广阳区档案馆</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27.41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A5ED8"/>
    <w:rsid w:val="000A62AE"/>
    <w:rsid w:val="000C4B39"/>
    <w:rsid w:val="00126E84"/>
    <w:rsid w:val="001C6C98"/>
    <w:rsid w:val="00207309"/>
    <w:rsid w:val="002705AB"/>
    <w:rsid w:val="00301F9F"/>
    <w:rsid w:val="00342FDF"/>
    <w:rsid w:val="003430FF"/>
    <w:rsid w:val="00356683"/>
    <w:rsid w:val="004A54AA"/>
    <w:rsid w:val="004A573B"/>
    <w:rsid w:val="005B18F7"/>
    <w:rsid w:val="005C0399"/>
    <w:rsid w:val="006B6416"/>
    <w:rsid w:val="007B78AC"/>
    <w:rsid w:val="007D043E"/>
    <w:rsid w:val="00806BFC"/>
    <w:rsid w:val="00807A76"/>
    <w:rsid w:val="008634AB"/>
    <w:rsid w:val="008C6F6F"/>
    <w:rsid w:val="008F0EB4"/>
    <w:rsid w:val="008F65D6"/>
    <w:rsid w:val="00937585"/>
    <w:rsid w:val="00A218C6"/>
    <w:rsid w:val="00A32C47"/>
    <w:rsid w:val="00A40552"/>
    <w:rsid w:val="00A52B9E"/>
    <w:rsid w:val="00AA5AA5"/>
    <w:rsid w:val="00AC3C38"/>
    <w:rsid w:val="00B17B32"/>
    <w:rsid w:val="00B80935"/>
    <w:rsid w:val="00C45B6F"/>
    <w:rsid w:val="00CE5812"/>
    <w:rsid w:val="00CF700A"/>
    <w:rsid w:val="00D13CC5"/>
    <w:rsid w:val="00D347CC"/>
    <w:rsid w:val="00E06F6F"/>
    <w:rsid w:val="00E27CE3"/>
    <w:rsid w:val="00EF789C"/>
    <w:rsid w:val="00F965DF"/>
    <w:rsid w:val="00FA0260"/>
    <w:rsid w:val="00FA6B51"/>
    <w:rsid w:val="00FB08D1"/>
    <w:rsid w:val="00FC0A0D"/>
    <w:rsid w:val="060D012F"/>
    <w:rsid w:val="0839021E"/>
    <w:rsid w:val="10A466DF"/>
    <w:rsid w:val="5EF62523"/>
    <w:rsid w:val="63A65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707</Words>
  <Characters>4035</Characters>
  <Lines>33</Lines>
  <Paragraphs>9</Paragraphs>
  <TotalTime>10472</TotalTime>
  <ScaleCrop>false</ScaleCrop>
  <LinksUpToDate>false</LinksUpToDate>
  <CharactersWithSpaces>4733</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2022-07-08T03:16:18Z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BC79679B190A41A38D655F4FA80A44EF</vt:lpwstr>
  </property>
</Properties>
</file>