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廊坊市</w:t>
      </w:r>
      <w:r>
        <w:rPr>
          <w:rFonts w:hint="eastAsia" w:ascii="Times New Roman" w:hAnsi="Times New Roman" w:eastAsia="方正小标宋简体" w:cs="Times New Roman"/>
          <w:sz w:val="44"/>
          <w:szCs w:val="44"/>
        </w:rPr>
        <w:t>广阳区</w:t>
      </w:r>
      <w:bookmarkStart w:id="2" w:name="_GoBack"/>
      <w:r>
        <w:rPr>
          <w:rFonts w:hint="eastAsia" w:ascii="Times New Roman" w:hAnsi="Times New Roman" w:eastAsia="方正小标宋简体" w:cs="Times New Roman"/>
          <w:sz w:val="44"/>
          <w:szCs w:val="44"/>
        </w:rPr>
        <w:t>信访局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21</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bookmarkEnd w:id="2"/>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按照《中华人民共和国预算法》、《中华人民共和国预算法实施条例》、《地方预决算公开操作规程》和《河北省省级预算公开办法》规定，现将廊坊市</w:t>
      </w:r>
      <w:r>
        <w:rPr>
          <w:rFonts w:hint="eastAsia" w:ascii="Times New Roman" w:hAnsi="Times New Roman" w:eastAsia="仿宋_GB2312" w:cs="Times New Roman"/>
          <w:sz w:val="32"/>
          <w:szCs w:val="32"/>
        </w:rPr>
        <w:t>广阳区信访局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年部门预算公开如下：</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snapToGrid w:val="0"/>
        <w:spacing w:line="560"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snapToGrid w:val="0"/>
        <w:spacing w:line="560" w:lineRule="exact"/>
        <w:ind w:firstLine="640" w:firstLineChars="200"/>
        <w:rPr>
          <w:rFonts w:ascii="仿宋_GB2312" w:eastAsia="仿宋_GB2312"/>
          <w:sz w:val="32"/>
          <w:szCs w:val="32"/>
        </w:rPr>
      </w:pPr>
      <w:r>
        <w:rPr>
          <w:rFonts w:hint="eastAsia" w:ascii="华文仿宋" w:hAnsi="华文仿宋" w:eastAsia="华文仿宋" w:cs="华文仿宋"/>
          <w:sz w:val="32"/>
          <w:szCs w:val="32"/>
        </w:rPr>
        <w:t>研究提出全区信访工作思路，拟定全区信访工作有关政策、规定。二、办理人民群众来信，接待群众来访，受理群众网上诉求，查办信访案件；负责人民群众建议征集工作。三、调查研究和综合分析全区信访形势及信访工作状况，总结推广各地各部门信访工作经验，提出改进和加强信访工作的意见和建议。四、参与组织、协调、指导全区社会治安综合治理和维护社会政治稳定工作，协助保障国家、省、市、区重大政治活动顺利进行，参与处理影响社会政治稳定的突发性、群体性事件。五、督促检查和指导各乡镇、街道办事处和区直部门的信访工作，对各乡镇、街道办事处和区直部门信访工作年度责任目标进行考核，对全区社会治安综合治理和维护社会政治稳定年度责任目标中有关信访工作进行考核。六、协助国家信访局、省信访局、市信访局处理群众进京、赴省、到市上访工作，综合协调处理跨地区、跨部门、跨行业的重要信访问题，协助公安机关维护区委、区政府机关正常工作秩序。七、负责区级领导和区直部门领导公开接访和包联案件的组织协调工作。八、承担区信访工作联席会议的日常工作，督促落实联席会议决定的事项。九、完成区委、区政府和国家信访局、省信访局、市信访局交办的其他任务。</w:t>
      </w: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tc>
        <w:tc>
          <w:tcPr>
            <w:tcW w:w="1134" w:type="dxa"/>
            <w:vMerge w:val="continue"/>
            <w:shd w:val="clear" w:color="auto" w:fill="auto"/>
            <w:vAlign w:val="center"/>
          </w:tcPr>
          <w:p/>
        </w:tc>
        <w:tc>
          <w:tcPr>
            <w:tcW w:w="1276" w:type="dxa"/>
            <w:vMerge w:val="continue"/>
            <w:shd w:val="clear" w:color="auto" w:fill="auto"/>
            <w:vAlign w:val="center"/>
          </w:tcPr>
          <w:p/>
        </w:tc>
        <w:tc>
          <w:tcPr>
            <w:tcW w:w="2902" w:type="dxa"/>
            <w:vMerge w:val="continue"/>
            <w:shd w:val="clear" w:color="auto" w:fill="auto"/>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仿宋_GB2312" w:hAnsi="仿宋_GB2312" w:eastAsia="仿宋_GB2312" w:cs="仿宋_GB2312"/>
                <w:bCs/>
              </w:rPr>
            </w:pPr>
            <w:r>
              <w:rPr>
                <w:rFonts w:hint="eastAsia" w:ascii="仿宋_GB2312" w:hAnsi="仿宋_GB2312" w:eastAsia="仿宋_GB2312" w:cs="仿宋_GB2312"/>
                <w:bCs/>
              </w:rPr>
              <w:t>廊坊市广阳区信访局</w:t>
            </w:r>
          </w:p>
        </w:tc>
        <w:tc>
          <w:tcPr>
            <w:tcW w:w="1134" w:type="dxa"/>
            <w:shd w:val="clear" w:color="auto" w:fill="auto"/>
            <w:vAlign w:val="center"/>
          </w:tcPr>
          <w:p>
            <w:pPr>
              <w:spacing w:line="584" w:lineRule="exact"/>
              <w:jc w:val="center"/>
              <w:rPr>
                <w:rFonts w:ascii="仿宋_GB2312" w:hAnsi="仿宋_GB2312" w:eastAsia="仿宋_GB2312" w:cs="仿宋_GB2312"/>
                <w:bCs/>
              </w:rPr>
            </w:pPr>
            <w:r>
              <w:rPr>
                <w:rFonts w:hint="eastAsia" w:ascii="仿宋_GB2312" w:hAnsi="仿宋_GB2312" w:eastAsia="仿宋_GB2312" w:cs="仿宋_GB2312"/>
                <w:bCs/>
              </w:rPr>
              <w:t>行政</w:t>
            </w:r>
          </w:p>
        </w:tc>
        <w:tc>
          <w:tcPr>
            <w:tcW w:w="1276" w:type="dxa"/>
            <w:shd w:val="clear" w:color="auto" w:fill="auto"/>
            <w:vAlign w:val="center"/>
          </w:tcPr>
          <w:p>
            <w:pPr>
              <w:spacing w:line="584" w:lineRule="exact"/>
              <w:jc w:val="center"/>
              <w:rPr>
                <w:rFonts w:ascii="仿宋_GB2312" w:hAnsi="仿宋_GB2312" w:eastAsia="仿宋_GB2312" w:cs="仿宋_GB2312"/>
                <w:bCs/>
              </w:rPr>
            </w:pPr>
            <w:r>
              <w:rPr>
                <w:rFonts w:hint="eastAsia" w:ascii="仿宋_GB2312" w:hAnsi="仿宋_GB2312" w:eastAsia="仿宋_GB2312" w:cs="仿宋_GB2312"/>
                <w:bCs/>
              </w:rPr>
              <w:t>正科级</w:t>
            </w:r>
          </w:p>
        </w:tc>
        <w:tc>
          <w:tcPr>
            <w:tcW w:w="2902" w:type="dxa"/>
            <w:shd w:val="clear" w:color="auto" w:fill="auto"/>
            <w:vAlign w:val="center"/>
          </w:tcPr>
          <w:p>
            <w:pPr>
              <w:spacing w:line="584" w:lineRule="exact"/>
              <w:jc w:val="center"/>
              <w:rPr>
                <w:rFonts w:ascii="仿宋_GB2312" w:hAnsi="仿宋_GB2312" w:eastAsia="仿宋_GB2312" w:cs="仿宋_GB2312"/>
                <w:bCs/>
              </w:rPr>
            </w:pPr>
            <w:r>
              <w:rPr>
                <w:rFonts w:hint="eastAsia" w:ascii="仿宋_GB2312" w:hAnsi="仿宋_GB2312" w:eastAsia="仿宋_GB2312" w:cs="仿宋_GB2312"/>
                <w:bCs/>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rPr>
        <w:t>区</w:t>
      </w:r>
      <w:r>
        <w:rPr>
          <w:rFonts w:ascii="Times New Roman" w:hAnsi="Times New Roman" w:eastAsia="仿宋_GB2312" w:cs="Times New Roman"/>
          <w:sz w:val="32"/>
          <w:szCs w:val="32"/>
        </w:rPr>
        <w:t>部门预算的编制实行综合预算制度，即全部收入和支出都反映在预算中。廊坊市</w:t>
      </w:r>
      <w:r>
        <w:rPr>
          <w:rFonts w:hint="eastAsia" w:ascii="Times New Roman" w:hAnsi="Times New Roman" w:eastAsia="仿宋_GB2312" w:cs="Times New Roman"/>
          <w:sz w:val="32"/>
          <w:szCs w:val="32"/>
        </w:rPr>
        <w:t>广阳区信访局</w:t>
      </w:r>
      <w:r>
        <w:rPr>
          <w:rFonts w:ascii="Times New Roman" w:hAnsi="Times New Roman" w:eastAsia="仿宋_GB2312" w:cs="Times New Roman"/>
          <w:sz w:val="32"/>
          <w:szCs w:val="32"/>
        </w:rPr>
        <w:t>机关</w:t>
      </w:r>
      <w:r>
        <w:rPr>
          <w:rFonts w:hint="eastAsia" w:ascii="Times New Roman" w:hAnsi="Times New Roman" w:eastAsia="仿宋_GB2312" w:cs="Times New Roman"/>
          <w:sz w:val="32"/>
          <w:szCs w:val="32"/>
        </w:rPr>
        <w:t>及所属事业单位</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rPr>
        <w:t>259.94</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rPr>
        <w:t>259.94</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rPr>
        <w:t>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收支预算总表支出栏、基本支出表、项目支出表按经济分类和支出功能分类科目编制，反映廊坊市</w:t>
      </w:r>
      <w:r>
        <w:rPr>
          <w:rFonts w:hint="eastAsia" w:ascii="Times New Roman" w:hAnsi="Times New Roman" w:eastAsia="仿宋_GB2312" w:cs="Times New Roman"/>
          <w:sz w:val="32"/>
          <w:szCs w:val="32"/>
        </w:rPr>
        <w:t>广阳区信访局</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rPr>
        <w:t>259.94</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rPr>
        <w:t>259.94</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rPr>
        <w:t>238.44</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rPr>
        <w:t>21.50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rPr>
        <w:t>259.94</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rPr>
        <w:t>13.51</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rPr>
        <w:t>14.51</w:t>
      </w:r>
      <w:r>
        <w:rPr>
          <w:rFonts w:ascii="Times New Roman" w:hAnsi="Times New Roman" w:eastAsia="仿宋_GB2312" w:cs="Times New Roman"/>
          <w:sz w:val="32"/>
          <w:szCs w:val="32"/>
        </w:rPr>
        <w:t>万元，主要为增加</w:t>
      </w:r>
      <w:r>
        <w:rPr>
          <w:rFonts w:hint="eastAsia" w:ascii="Times New Roman" w:hAnsi="Times New Roman" w:eastAsia="仿宋_GB2312" w:cs="Times New Roman"/>
          <w:sz w:val="32"/>
          <w:szCs w:val="32"/>
        </w:rPr>
        <w:t>人员经费</w:t>
      </w:r>
      <w:r>
        <w:rPr>
          <w:rFonts w:ascii="Times New Roman" w:hAnsi="Times New Roman" w:eastAsia="仿宋_GB2312" w:cs="Times New Roman"/>
          <w:sz w:val="32"/>
          <w:szCs w:val="32"/>
        </w:rPr>
        <w:t>支出；项目支出减少</w:t>
      </w:r>
      <w:r>
        <w:rPr>
          <w:rFonts w:hint="eastAsia" w:ascii="Times New Roman" w:hAnsi="Times New Roman" w:eastAsia="仿宋_GB2312" w:cs="Times New Roman"/>
          <w:sz w:val="32"/>
          <w:szCs w:val="32"/>
        </w:rPr>
        <w:t>1</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，主要为项目支出减少。</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autoSpaceDE w:val="0"/>
        <w:autoSpaceDN w:val="0"/>
        <w:adjustRightInd w:val="0"/>
        <w:spacing w:line="58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年，我局机关运行经费共计安排</w:t>
      </w:r>
      <w:r>
        <w:rPr>
          <w:rFonts w:hint="eastAsia" w:ascii="Times New Roman" w:hAnsi="Times New Roman" w:eastAsia="仿宋_GB2312" w:cs="Times New Roman"/>
          <w:sz w:val="32"/>
          <w:szCs w:val="32"/>
        </w:rPr>
        <w:t>21.50</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rPr>
        <w:t>廊坊市广阳区信访局</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40" w:firstLineChars="200"/>
        <w:jc w:val="left"/>
        <w:rPr>
          <w:rFonts w:ascii="黑体" w:hAnsi="黑体" w:eastAsia="黑体" w:cs="黑体"/>
          <w:bCs/>
          <w:sz w:val="32"/>
          <w:szCs w:val="32"/>
        </w:rPr>
      </w:pPr>
      <w:r>
        <w:rPr>
          <w:rFonts w:hint="eastAsia" w:ascii="黑体" w:hAnsi="黑体" w:eastAsia="黑体" w:cs="黑体"/>
          <w:bCs/>
          <w:sz w:val="32"/>
          <w:szCs w:val="32"/>
        </w:rPr>
        <w:t>四、财政拨款“三公”经费预算情况及增减变化原因</w:t>
      </w:r>
    </w:p>
    <w:p>
      <w:pPr>
        <w:spacing w:line="584" w:lineRule="exact"/>
        <w:ind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年，我局财政拨款“三公”经费预算安排</w:t>
      </w:r>
      <w:r>
        <w:rPr>
          <w:rFonts w:hint="eastAsia" w:ascii="Times New Roman" w:hAnsi="Times New Roman" w:eastAsia="仿宋_GB2312" w:cs="Times New Roman"/>
          <w:sz w:val="32"/>
          <w:szCs w:val="32"/>
        </w:rPr>
        <w:t>2.19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rPr>
        <w:t>2.19</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rPr>
        <w:t>2.19</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20</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rPr>
        <w:t>持平</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无增减变化。</w:t>
      </w:r>
    </w:p>
    <w:p>
      <w:pPr>
        <w:spacing w:line="584"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spacing w:line="584" w:lineRule="exact"/>
        <w:ind w:firstLine="640" w:firstLineChars="200"/>
        <w:rPr>
          <w:rFonts w:ascii="仿宋_GB2312" w:hAnsi="仿宋_GB2312" w:eastAsia="仿宋_GB2312" w:cs="仿宋_GB2312"/>
          <w:b/>
          <w:sz w:val="32"/>
          <w:szCs w:val="32"/>
        </w:rPr>
      </w:pPr>
      <w:r>
        <w:rPr>
          <w:rFonts w:hint="eastAsia" w:ascii="仿宋_GB2312" w:hAnsi="仿宋_GB2312" w:eastAsia="仿宋_GB2312" w:cs="仿宋_GB2312"/>
          <w:sz w:val="32"/>
          <w:szCs w:val="32"/>
        </w:rPr>
        <w:t>一是畅通信访渠道，及时受理办理群众来信、来访和网上投诉，不断提高初访办结率；二是维护群众合法利益，解决群众合理诉求，促进社会和谐稳定；三是积极推动信访积案有效化解；四是有效缓解信访突出问题，协助各乡镇妥善解决涉及农村土地征用、房屋拆迁等信访突出问题。</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 信访问题处理</w:t>
      </w: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（1）信访业务办理。畅通信访渠道，提高信访事项办理质量和效率。确保及时受理的信访事项数量占信访事项数量的比例在80%以上，年度内已按期办结的案件数量占案件总数的比例在80%以上。</w:t>
      </w: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（2）处置非访、突发性及群体性事件。妥善处置非正常访，维护社会大局和谐稳定。确保及时受理的信访事项数量占信访事项数量的比例在80%以上，年度内已按期办结的案件数量占案件总数的比例在80%以上。</w:t>
      </w: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信访事项督查、案件查办、复查复核、听证。推动重要信访事项解决，规范信访事项办理、终结，用好特殊疑难信访问题专项资金。确保复查案件数量占信访事项数量的比例小于等于20%，反映年度特殊信访疑难问题解决数量大于等于4件，反映年度督办案件数量大于等于8次。</w:t>
      </w: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（4）群众工作。组织区直部门联合接访，协调区级领导开展接访、约访、下访活动，解释、解答群众咨询的相关问题，做好群众的思想疏导工作。确保领导干部公开接访率达到90%以上。</w:t>
      </w: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2、信访事务管理</w:t>
      </w: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进一步提高信访干部业务能力；吸收可行建议，改进信访工作；提高信访信息化应用水平，实现办公自动化、网络化智能化。保障机要邮件正常传递和群众工作各项工作正常运转；确保各种会议正常召开。确保其他各项综合实务工作完成率达到100%。</w:t>
      </w:r>
    </w:p>
    <w:p>
      <w:pPr>
        <w:numPr>
          <w:ilvl w:val="0"/>
          <w:numId w:val="1"/>
        </w:numPr>
        <w:spacing w:line="500" w:lineRule="exact"/>
        <w:ind w:firstLine="643" w:firstLineChars="200"/>
        <w:jc w:val="left"/>
        <w:rPr>
          <w:rFonts w:ascii="楷体_GB2312" w:eastAsia="楷体_GB2312" w:cs="Times New Roman"/>
          <w:b/>
          <w:sz w:val="32"/>
          <w:szCs w:val="32"/>
        </w:rPr>
      </w:pPr>
      <w:r>
        <w:rPr>
          <w:rFonts w:hint="eastAsia" w:ascii="楷体_GB2312" w:eastAsia="楷体_GB2312" w:cs="Times New Roman"/>
          <w:b/>
          <w:sz w:val="32"/>
          <w:szCs w:val="32"/>
        </w:rPr>
        <w:t>工作保障措施</w:t>
      </w:r>
    </w:p>
    <w:p>
      <w:pPr>
        <w:spacing w:line="584"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实现本年度发展规划目标的保障措施。 针对上级交办或转送的信访案件，按照“谁主管、谁负责”的原则，及时分类、归口、交办、适时调度，并要求责任单位认真调查、积极化解、按时上报，同时，对于群众来信，我们严格按照广阳区信访工作联席会议办公室《关于加强群众来信办理工作的通知》的要求办理，及时向责任单位交办，按时向信访人反馈结果。</w:t>
      </w: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971"/>
        <w:gridCol w:w="1755"/>
        <w:gridCol w:w="1826"/>
        <w:gridCol w:w="543"/>
        <w:gridCol w:w="488"/>
        <w:gridCol w:w="848"/>
        <w:gridCol w:w="1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黑体" w:hAnsi="黑体" w:eastAsia="黑体" w:cs="黑体"/>
                <w:bCs/>
              </w:rPr>
            </w:pPr>
            <w:r>
              <w:rPr>
                <w:rFonts w:hint="eastAsia" w:ascii="黑体" w:hAnsi="黑体" w:eastAsia="黑体" w:cs="黑体"/>
                <w:bCs/>
              </w:rPr>
              <w:t>一级指标</w:t>
            </w:r>
          </w:p>
        </w:tc>
        <w:tc>
          <w:tcPr>
            <w:tcW w:w="825" w:type="dxa"/>
            <w:vMerge w:val="restart"/>
            <w:tcBorders>
              <w:tl2br w:val="nil"/>
              <w:tr2bl w:val="nil"/>
            </w:tcBorders>
            <w:vAlign w:val="center"/>
          </w:tcPr>
          <w:p>
            <w:pPr>
              <w:widowControl/>
              <w:adjustRightInd w:val="0"/>
              <w:snapToGrid w:val="0"/>
              <w:jc w:val="center"/>
              <w:rPr>
                <w:rFonts w:ascii="黑体" w:hAnsi="黑体" w:eastAsia="黑体" w:cs="黑体"/>
                <w:bCs/>
              </w:rPr>
            </w:pPr>
            <w:r>
              <w:rPr>
                <w:rFonts w:hint="eastAsia" w:ascii="黑体" w:hAnsi="黑体" w:eastAsia="黑体" w:cs="黑体"/>
                <w:bCs/>
              </w:rPr>
              <w:t>二级</w:t>
            </w:r>
          </w:p>
          <w:p>
            <w:pPr>
              <w:widowControl/>
              <w:adjustRightInd w:val="0"/>
              <w:snapToGrid w:val="0"/>
              <w:jc w:val="center"/>
              <w:rPr>
                <w:rFonts w:ascii="黑体" w:hAnsi="黑体" w:eastAsia="黑体" w:cs="黑体"/>
                <w:bCs/>
              </w:rPr>
            </w:pPr>
            <w:r>
              <w:rPr>
                <w:rFonts w:hint="eastAsia" w:ascii="黑体" w:hAnsi="黑体" w:eastAsia="黑体" w:cs="黑体"/>
                <w:bCs/>
              </w:rPr>
              <w:t>指标</w:t>
            </w:r>
          </w:p>
        </w:tc>
        <w:tc>
          <w:tcPr>
            <w:tcW w:w="971" w:type="dxa"/>
            <w:vMerge w:val="restart"/>
            <w:tcBorders>
              <w:tl2br w:val="nil"/>
              <w:tr2bl w:val="nil"/>
            </w:tcBorders>
            <w:vAlign w:val="center"/>
          </w:tcPr>
          <w:p>
            <w:pPr>
              <w:widowControl/>
              <w:adjustRightInd w:val="0"/>
              <w:snapToGrid w:val="0"/>
              <w:jc w:val="center"/>
              <w:rPr>
                <w:rFonts w:ascii="黑体" w:hAnsi="黑体" w:eastAsia="黑体" w:cs="黑体"/>
                <w:bCs/>
              </w:rPr>
            </w:pPr>
            <w:r>
              <w:rPr>
                <w:rFonts w:hint="eastAsia" w:ascii="黑体" w:hAnsi="黑体" w:eastAsia="黑体" w:cs="黑体"/>
                <w:bCs/>
              </w:rPr>
              <w:t>三级</w:t>
            </w:r>
          </w:p>
          <w:p>
            <w:pPr>
              <w:widowControl/>
              <w:adjustRightInd w:val="0"/>
              <w:snapToGrid w:val="0"/>
              <w:jc w:val="center"/>
              <w:rPr>
                <w:rFonts w:ascii="黑体" w:hAnsi="黑体" w:eastAsia="黑体" w:cs="黑体"/>
                <w:bCs/>
              </w:rPr>
            </w:pPr>
            <w:r>
              <w:rPr>
                <w:rFonts w:hint="eastAsia" w:ascii="黑体" w:hAnsi="黑体" w:eastAsia="黑体" w:cs="黑体"/>
                <w:bCs/>
              </w:rPr>
              <w:t>指标</w:t>
            </w:r>
          </w:p>
        </w:tc>
        <w:tc>
          <w:tcPr>
            <w:tcW w:w="1755" w:type="dxa"/>
            <w:vMerge w:val="restart"/>
            <w:tcBorders>
              <w:tl2br w:val="nil"/>
              <w:tr2bl w:val="nil"/>
            </w:tcBorders>
            <w:vAlign w:val="center"/>
          </w:tcPr>
          <w:p>
            <w:pPr>
              <w:widowControl/>
              <w:adjustRightInd w:val="0"/>
              <w:snapToGrid w:val="0"/>
              <w:jc w:val="center"/>
              <w:rPr>
                <w:rFonts w:ascii="黑体" w:hAnsi="黑体" w:eastAsia="黑体" w:cs="黑体"/>
                <w:bCs/>
              </w:rPr>
            </w:pPr>
            <w:r>
              <w:rPr>
                <w:rFonts w:hint="eastAsia" w:ascii="黑体" w:hAnsi="黑体" w:eastAsia="黑体" w:cs="黑体"/>
                <w:bCs/>
              </w:rPr>
              <w:t>评（扣）分标准</w:t>
            </w:r>
          </w:p>
        </w:tc>
        <w:tc>
          <w:tcPr>
            <w:tcW w:w="1826" w:type="dxa"/>
            <w:vMerge w:val="restart"/>
            <w:tcBorders>
              <w:tl2br w:val="nil"/>
              <w:tr2bl w:val="nil"/>
            </w:tcBorders>
            <w:vAlign w:val="center"/>
          </w:tcPr>
          <w:p>
            <w:pPr>
              <w:widowControl/>
              <w:adjustRightInd w:val="0"/>
              <w:snapToGrid w:val="0"/>
              <w:jc w:val="center"/>
              <w:rPr>
                <w:rFonts w:ascii="黑体" w:hAnsi="黑体" w:eastAsia="黑体" w:cs="黑体"/>
                <w:bCs/>
              </w:rPr>
            </w:pPr>
            <w:r>
              <w:rPr>
                <w:rFonts w:hint="eastAsia" w:ascii="黑体" w:hAnsi="黑体" w:eastAsia="黑体" w:cs="黑体"/>
                <w:bCs/>
              </w:rPr>
              <w:t>绩效指标</w:t>
            </w:r>
          </w:p>
          <w:p>
            <w:pPr>
              <w:widowControl/>
              <w:adjustRightInd w:val="0"/>
              <w:snapToGrid w:val="0"/>
              <w:jc w:val="center"/>
              <w:rPr>
                <w:rFonts w:ascii="黑体" w:hAnsi="黑体" w:eastAsia="黑体" w:cs="黑体"/>
                <w:bCs/>
              </w:rPr>
            </w:pPr>
            <w:r>
              <w:rPr>
                <w:rFonts w:hint="eastAsia" w:ascii="黑体" w:hAnsi="黑体" w:eastAsia="黑体" w:cs="黑体"/>
                <w:bCs/>
              </w:rPr>
              <w:t>描述</w:t>
            </w:r>
          </w:p>
        </w:tc>
        <w:tc>
          <w:tcPr>
            <w:tcW w:w="1879" w:type="dxa"/>
            <w:gridSpan w:val="3"/>
            <w:tcBorders>
              <w:tl2br w:val="nil"/>
              <w:tr2bl w:val="nil"/>
            </w:tcBorders>
            <w:vAlign w:val="center"/>
          </w:tcPr>
          <w:p>
            <w:pPr>
              <w:widowControl/>
              <w:adjustRightInd w:val="0"/>
              <w:snapToGrid w:val="0"/>
              <w:jc w:val="center"/>
              <w:rPr>
                <w:rFonts w:ascii="黑体" w:hAnsi="黑体" w:eastAsia="黑体" w:cs="黑体"/>
                <w:bCs/>
              </w:rPr>
            </w:pPr>
            <w:r>
              <w:rPr>
                <w:rFonts w:hint="eastAsia" w:ascii="黑体" w:hAnsi="黑体" w:eastAsia="黑体" w:cs="黑体"/>
                <w:bCs/>
              </w:rPr>
              <w:t>指标值</w:t>
            </w:r>
          </w:p>
        </w:tc>
        <w:tc>
          <w:tcPr>
            <w:tcW w:w="1002" w:type="dxa"/>
            <w:vMerge w:val="restart"/>
            <w:tcBorders>
              <w:tl2br w:val="nil"/>
              <w:tr2bl w:val="nil"/>
            </w:tcBorders>
            <w:vAlign w:val="center"/>
          </w:tcPr>
          <w:p>
            <w:pPr>
              <w:widowControl/>
              <w:adjustRightInd w:val="0"/>
              <w:snapToGrid w:val="0"/>
              <w:jc w:val="center"/>
              <w:rPr>
                <w:rFonts w:ascii="黑体" w:hAnsi="黑体" w:eastAsia="黑体" w:cs="黑体"/>
                <w:bCs/>
              </w:rPr>
            </w:pPr>
            <w:r>
              <w:rPr>
                <w:rFonts w:hint="eastAsia" w:ascii="黑体" w:hAnsi="黑体" w:eastAsia="黑体" w:cs="黑体"/>
                <w:bCs/>
              </w:rPr>
              <w:t>指标值</w:t>
            </w:r>
          </w:p>
          <w:p>
            <w:pPr>
              <w:widowControl/>
              <w:adjustRightInd w:val="0"/>
              <w:snapToGrid w:val="0"/>
              <w:jc w:val="center"/>
              <w:rPr>
                <w:rFonts w:ascii="黑体" w:hAnsi="黑体" w:eastAsia="黑体" w:cs="黑体"/>
                <w:bCs/>
              </w:rPr>
            </w:pPr>
            <w:r>
              <w:rPr>
                <w:rFonts w:hint="eastAsia" w:ascii="黑体" w:hAnsi="黑体" w:eastAsia="黑体" w:cs="黑体"/>
                <w:bCs/>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971" w:type="dxa"/>
            <w:vMerge w:val="continue"/>
            <w:tcBorders>
              <w:tl2br w:val="nil"/>
              <w:tr2bl w:val="nil"/>
            </w:tcBorders>
            <w:vAlign w:val="center"/>
          </w:tcPr>
          <w:p/>
        </w:tc>
        <w:tc>
          <w:tcPr>
            <w:tcW w:w="1755" w:type="dxa"/>
            <w:vMerge w:val="continue"/>
            <w:tcBorders>
              <w:tl2br w:val="nil"/>
              <w:tr2bl w:val="nil"/>
            </w:tcBorders>
            <w:vAlign w:val="center"/>
          </w:tcPr>
          <w:p/>
        </w:tc>
        <w:tc>
          <w:tcPr>
            <w:tcW w:w="1826"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黑体" w:hAnsi="黑体" w:eastAsia="黑体" w:cs="黑体"/>
                <w:bCs/>
              </w:rPr>
            </w:pPr>
            <w:r>
              <w:rPr>
                <w:rFonts w:hint="eastAsia" w:ascii="黑体" w:hAnsi="黑体" w:eastAsia="黑体" w:cs="黑体"/>
                <w:bCs/>
              </w:rPr>
              <w:t>符号</w:t>
            </w:r>
          </w:p>
        </w:tc>
        <w:tc>
          <w:tcPr>
            <w:tcW w:w="488" w:type="dxa"/>
            <w:tcBorders>
              <w:tl2br w:val="nil"/>
              <w:tr2bl w:val="nil"/>
            </w:tcBorders>
            <w:vAlign w:val="center"/>
          </w:tcPr>
          <w:p>
            <w:pPr>
              <w:widowControl/>
              <w:adjustRightInd w:val="0"/>
              <w:snapToGrid w:val="0"/>
              <w:jc w:val="center"/>
              <w:rPr>
                <w:rFonts w:ascii="黑体" w:hAnsi="黑体" w:eastAsia="黑体" w:cs="黑体"/>
                <w:bCs/>
              </w:rPr>
            </w:pPr>
            <w:r>
              <w:rPr>
                <w:rFonts w:hint="eastAsia" w:ascii="黑体" w:hAnsi="黑体" w:eastAsia="黑体" w:cs="黑体"/>
                <w:bCs/>
              </w:rPr>
              <w:t>值</w:t>
            </w:r>
          </w:p>
        </w:tc>
        <w:tc>
          <w:tcPr>
            <w:tcW w:w="848" w:type="dxa"/>
            <w:tcBorders>
              <w:tl2br w:val="nil"/>
              <w:tr2bl w:val="nil"/>
            </w:tcBorders>
            <w:vAlign w:val="center"/>
          </w:tcPr>
          <w:p>
            <w:pPr>
              <w:widowControl/>
              <w:adjustRightInd w:val="0"/>
              <w:snapToGrid w:val="0"/>
              <w:jc w:val="center"/>
              <w:rPr>
                <w:rFonts w:ascii="黑体" w:hAnsi="黑体" w:eastAsia="黑体" w:cs="黑体"/>
                <w:bCs/>
              </w:rPr>
            </w:pPr>
            <w:r>
              <w:rPr>
                <w:rFonts w:hint="eastAsia" w:ascii="黑体" w:hAnsi="黑体" w:eastAsia="黑体" w:cs="黑体"/>
                <w:bCs/>
              </w:rPr>
              <w:t>单位</w:t>
            </w:r>
          </w:p>
        </w:tc>
        <w:tc>
          <w:tcPr>
            <w:tcW w:w="1002"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部门产出</w:t>
            </w:r>
          </w:p>
        </w:tc>
        <w:tc>
          <w:tcPr>
            <w:tcW w:w="825"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数量</w:t>
            </w:r>
          </w:p>
        </w:tc>
        <w:tc>
          <w:tcPr>
            <w:tcW w:w="971" w:type="dxa"/>
            <w:tcBorders>
              <w:tl2br w:val="nil"/>
              <w:tr2bl w:val="nil"/>
            </w:tcBorders>
            <w:vAlign w:val="center"/>
          </w:tcPr>
          <w:p>
            <w:pPr>
              <w:widowControl/>
              <w:adjustRightInd w:val="0"/>
              <w:snapToGrid w:val="0"/>
              <w:rPr>
                <w:rFonts w:ascii="仿宋_GB2312" w:hAnsi="仿宋_GB2312" w:eastAsia="仿宋_GB2312" w:cs="仿宋_GB2312"/>
              </w:rPr>
            </w:pPr>
            <w:r>
              <w:rPr>
                <w:rFonts w:hint="eastAsia" w:ascii="仿宋_GB2312" w:hAnsi="仿宋_GB2312" w:eastAsia="仿宋_GB2312" w:cs="仿宋_GB2312"/>
              </w:rPr>
              <w:t>信访事项受理数量</w:t>
            </w:r>
          </w:p>
        </w:tc>
        <w:tc>
          <w:tcPr>
            <w:tcW w:w="1755" w:type="dxa"/>
            <w:tcBorders>
              <w:tl2br w:val="nil"/>
              <w:tr2bl w:val="nil"/>
            </w:tcBorders>
            <w:vAlign w:val="center"/>
          </w:tcPr>
          <w:p>
            <w:pPr>
              <w:widowControl/>
              <w:adjustRightInd w:val="0"/>
              <w:snapToGrid w:val="0"/>
              <w:rPr>
                <w:rFonts w:ascii="仿宋_GB2312" w:hAnsi="仿宋_GB2312" w:eastAsia="仿宋_GB2312" w:cs="仿宋_GB2312"/>
              </w:rPr>
            </w:pPr>
            <w:r>
              <w:rPr>
                <w:rFonts w:hint="eastAsia" w:ascii="仿宋_GB2312" w:hAnsi="仿宋_GB2312" w:eastAsia="仿宋_GB2312" w:cs="仿宋_GB2312"/>
              </w:rPr>
              <w:t>接访登记情况</w:t>
            </w:r>
          </w:p>
        </w:tc>
        <w:tc>
          <w:tcPr>
            <w:tcW w:w="1826" w:type="dxa"/>
            <w:tcBorders>
              <w:tl2br w:val="nil"/>
              <w:tr2bl w:val="nil"/>
            </w:tcBorders>
            <w:vAlign w:val="center"/>
          </w:tcPr>
          <w:p>
            <w:pPr>
              <w:widowControl/>
              <w:adjustRightInd w:val="0"/>
              <w:snapToGrid w:val="0"/>
              <w:rPr>
                <w:rFonts w:ascii="仿宋_GB2312" w:hAnsi="仿宋_GB2312" w:eastAsia="仿宋_GB2312" w:cs="仿宋_GB2312"/>
              </w:rPr>
            </w:pPr>
            <w:r>
              <w:rPr>
                <w:rFonts w:hint="eastAsia" w:ascii="仿宋_GB2312" w:hAnsi="仿宋_GB2312" w:eastAsia="仿宋_GB2312" w:cs="仿宋_GB2312"/>
              </w:rPr>
              <w:t>接待群众来访、信件、网邮的数量</w:t>
            </w:r>
          </w:p>
        </w:tc>
        <w:tc>
          <w:tcPr>
            <w:tcW w:w="543"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kern w:val="0"/>
                <w:sz w:val="24"/>
              </w:rPr>
              <w:t>≥</w:t>
            </w:r>
          </w:p>
        </w:tc>
        <w:tc>
          <w:tcPr>
            <w:tcW w:w="488"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2000</w:t>
            </w:r>
          </w:p>
        </w:tc>
        <w:tc>
          <w:tcPr>
            <w:tcW w:w="848"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件</w:t>
            </w:r>
          </w:p>
        </w:tc>
        <w:tc>
          <w:tcPr>
            <w:tcW w:w="1002" w:type="dxa"/>
            <w:tcBorders>
              <w:tl2br w:val="nil"/>
              <w:tr2bl w:val="nil"/>
            </w:tcBorders>
            <w:vAlign w:val="center"/>
          </w:tcPr>
          <w:p>
            <w:pPr>
              <w:widowControl/>
              <w:adjustRightInd w:val="0"/>
              <w:snapToGrid w:val="0"/>
              <w:rPr>
                <w:rFonts w:ascii="仿宋_GB2312" w:hAnsi="仿宋_GB2312" w:eastAsia="仿宋_GB2312" w:cs="仿宋_GB2312"/>
              </w:rPr>
            </w:pPr>
            <w:r>
              <w:rPr>
                <w:rFonts w:hint="eastAsia" w:ascii="仿宋_GB2312" w:hAnsi="仿宋_GB2312" w:eastAsia="仿宋_GB2312" w:cs="仿宋_GB2312"/>
              </w:rPr>
              <w:t>工作总结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rPr>
                <w:rFonts w:ascii="仿宋_GB2312" w:hAnsi="仿宋_GB2312" w:eastAsia="仿宋_GB2312" w:cs="仿宋_GB2312"/>
              </w:rPr>
            </w:pPr>
          </w:p>
        </w:tc>
        <w:tc>
          <w:tcPr>
            <w:tcW w:w="825"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质量</w:t>
            </w:r>
          </w:p>
        </w:tc>
        <w:tc>
          <w:tcPr>
            <w:tcW w:w="971" w:type="dxa"/>
            <w:tcBorders>
              <w:tl2br w:val="nil"/>
              <w:tr2bl w:val="nil"/>
            </w:tcBorders>
            <w:vAlign w:val="center"/>
          </w:tcPr>
          <w:p>
            <w:pPr>
              <w:widowControl/>
              <w:adjustRightInd w:val="0"/>
              <w:snapToGrid w:val="0"/>
              <w:rPr>
                <w:rFonts w:ascii="仿宋_GB2312" w:hAnsi="仿宋_GB2312" w:eastAsia="仿宋_GB2312" w:cs="仿宋_GB2312"/>
              </w:rPr>
            </w:pPr>
            <w:r>
              <w:rPr>
                <w:rFonts w:hint="eastAsia" w:ascii="仿宋_GB2312" w:hAnsi="仿宋_GB2312" w:eastAsia="仿宋_GB2312" w:cs="仿宋_GB2312"/>
              </w:rPr>
              <w:t>信访事项按期办结率</w:t>
            </w:r>
          </w:p>
        </w:tc>
        <w:tc>
          <w:tcPr>
            <w:tcW w:w="1755" w:type="dxa"/>
            <w:tcBorders>
              <w:tl2br w:val="nil"/>
              <w:tr2bl w:val="nil"/>
            </w:tcBorders>
            <w:vAlign w:val="center"/>
          </w:tcPr>
          <w:p>
            <w:pPr>
              <w:widowControl/>
              <w:adjustRightInd w:val="0"/>
              <w:snapToGrid w:val="0"/>
              <w:rPr>
                <w:rFonts w:ascii="仿宋_GB2312" w:hAnsi="仿宋_GB2312" w:eastAsia="仿宋_GB2312" w:cs="仿宋_GB2312"/>
              </w:rPr>
            </w:pPr>
            <w:r>
              <w:rPr>
                <w:rFonts w:hint="eastAsia" w:ascii="仿宋_GB2312" w:hAnsi="仿宋_GB2312" w:eastAsia="仿宋_GB2312" w:cs="仿宋_GB2312"/>
              </w:rPr>
              <w:t>办结情况比率</w:t>
            </w:r>
          </w:p>
        </w:tc>
        <w:tc>
          <w:tcPr>
            <w:tcW w:w="1826" w:type="dxa"/>
            <w:tcBorders>
              <w:tl2br w:val="nil"/>
              <w:tr2bl w:val="nil"/>
            </w:tcBorders>
            <w:vAlign w:val="center"/>
          </w:tcPr>
          <w:p>
            <w:pPr>
              <w:widowControl/>
              <w:adjustRightInd w:val="0"/>
              <w:snapToGrid w:val="0"/>
              <w:rPr>
                <w:rFonts w:ascii="仿宋_GB2312" w:hAnsi="仿宋_GB2312" w:eastAsia="仿宋_GB2312" w:cs="仿宋_GB2312"/>
              </w:rPr>
            </w:pPr>
            <w:r>
              <w:rPr>
                <w:rFonts w:hint="eastAsia" w:ascii="仿宋_GB2312" w:hAnsi="仿宋_GB2312" w:eastAsia="仿宋_GB2312" w:cs="仿宋_GB2312"/>
              </w:rPr>
              <w:t>畅通信访渠道，维护群众合法利益解决群众合理诉求，促进社会和谐稳定。实际办结案件数量占案件总数的比例</w:t>
            </w:r>
          </w:p>
        </w:tc>
        <w:tc>
          <w:tcPr>
            <w:tcW w:w="543"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kern w:val="0"/>
                <w:sz w:val="24"/>
              </w:rPr>
              <w:t>≥</w:t>
            </w:r>
          </w:p>
        </w:tc>
        <w:tc>
          <w:tcPr>
            <w:tcW w:w="488"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80</w:t>
            </w:r>
          </w:p>
        </w:tc>
        <w:tc>
          <w:tcPr>
            <w:tcW w:w="848"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w:t>
            </w:r>
          </w:p>
        </w:tc>
        <w:tc>
          <w:tcPr>
            <w:tcW w:w="1002" w:type="dxa"/>
            <w:tcBorders>
              <w:tl2br w:val="nil"/>
              <w:tr2bl w:val="nil"/>
            </w:tcBorders>
            <w:vAlign w:val="center"/>
          </w:tcPr>
          <w:p>
            <w:pPr>
              <w:widowControl/>
              <w:adjustRightInd w:val="0"/>
              <w:snapToGrid w:val="0"/>
              <w:rPr>
                <w:rFonts w:ascii="仿宋_GB2312" w:hAnsi="仿宋_GB2312" w:eastAsia="仿宋_GB2312" w:cs="仿宋_GB2312"/>
              </w:rPr>
            </w:pPr>
            <w:r>
              <w:rPr>
                <w:rFonts w:hint="eastAsia" w:ascii="仿宋_GB2312" w:hAnsi="仿宋_GB2312" w:eastAsia="仿宋_GB2312" w:cs="仿宋_GB2312"/>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pPr>
              <w:rPr>
                <w:rFonts w:ascii="仿宋_GB2312" w:hAnsi="仿宋_GB2312" w:eastAsia="仿宋_GB2312" w:cs="仿宋_GB2312"/>
              </w:rPr>
            </w:pPr>
          </w:p>
        </w:tc>
        <w:tc>
          <w:tcPr>
            <w:tcW w:w="825"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时效</w:t>
            </w:r>
          </w:p>
        </w:tc>
        <w:tc>
          <w:tcPr>
            <w:tcW w:w="971" w:type="dxa"/>
            <w:tcBorders>
              <w:tl2br w:val="nil"/>
              <w:tr2bl w:val="nil"/>
            </w:tcBorders>
            <w:vAlign w:val="center"/>
          </w:tcPr>
          <w:p>
            <w:pPr>
              <w:widowControl/>
              <w:adjustRightInd w:val="0"/>
              <w:snapToGrid w:val="0"/>
              <w:rPr>
                <w:rFonts w:ascii="仿宋_GB2312" w:hAnsi="仿宋_GB2312" w:eastAsia="仿宋_GB2312" w:cs="仿宋_GB2312"/>
              </w:rPr>
            </w:pPr>
            <w:r>
              <w:rPr>
                <w:rFonts w:hint="eastAsia" w:ascii="仿宋_GB2312" w:hAnsi="仿宋_GB2312" w:eastAsia="仿宋_GB2312" w:cs="仿宋_GB2312"/>
              </w:rPr>
              <w:t>信访事项及时受理率</w:t>
            </w:r>
          </w:p>
        </w:tc>
        <w:tc>
          <w:tcPr>
            <w:tcW w:w="1755" w:type="dxa"/>
            <w:tcBorders>
              <w:tl2br w:val="nil"/>
              <w:tr2bl w:val="nil"/>
            </w:tcBorders>
            <w:vAlign w:val="center"/>
          </w:tcPr>
          <w:p>
            <w:pPr>
              <w:widowControl/>
              <w:adjustRightInd w:val="0"/>
              <w:snapToGrid w:val="0"/>
              <w:rPr>
                <w:rFonts w:ascii="仿宋_GB2312" w:hAnsi="仿宋_GB2312" w:eastAsia="仿宋_GB2312" w:cs="仿宋_GB2312"/>
              </w:rPr>
            </w:pPr>
            <w:r>
              <w:rPr>
                <w:rFonts w:hint="eastAsia" w:ascii="仿宋_GB2312" w:hAnsi="仿宋_GB2312" w:eastAsia="仿宋_GB2312" w:cs="仿宋_GB2312"/>
              </w:rPr>
              <w:t>受理及时的比率</w:t>
            </w:r>
          </w:p>
        </w:tc>
        <w:tc>
          <w:tcPr>
            <w:tcW w:w="1826" w:type="dxa"/>
            <w:tcBorders>
              <w:tl2br w:val="nil"/>
              <w:tr2bl w:val="nil"/>
            </w:tcBorders>
            <w:vAlign w:val="center"/>
          </w:tcPr>
          <w:p>
            <w:pPr>
              <w:widowControl/>
              <w:adjustRightInd w:val="0"/>
              <w:snapToGrid w:val="0"/>
              <w:rPr>
                <w:rFonts w:ascii="仿宋_GB2312" w:hAnsi="仿宋_GB2312" w:eastAsia="仿宋_GB2312" w:cs="仿宋_GB2312"/>
              </w:rPr>
            </w:pPr>
            <w:r>
              <w:rPr>
                <w:rFonts w:hint="eastAsia" w:ascii="仿宋_GB2312" w:hAnsi="仿宋_GB2312" w:eastAsia="仿宋_GB2312" w:cs="仿宋_GB2312"/>
              </w:rPr>
              <w:t>畅通信访渠道，提高信访事项办理质量和效率。实际及时受理案件数占应及时受理的案件数的比例</w:t>
            </w:r>
          </w:p>
        </w:tc>
        <w:tc>
          <w:tcPr>
            <w:tcW w:w="543"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kern w:val="0"/>
                <w:sz w:val="24"/>
              </w:rPr>
              <w:t>≥</w:t>
            </w:r>
          </w:p>
        </w:tc>
        <w:tc>
          <w:tcPr>
            <w:tcW w:w="488"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90</w:t>
            </w:r>
          </w:p>
        </w:tc>
        <w:tc>
          <w:tcPr>
            <w:tcW w:w="848"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w:t>
            </w:r>
          </w:p>
        </w:tc>
        <w:tc>
          <w:tcPr>
            <w:tcW w:w="1002" w:type="dxa"/>
            <w:tcBorders>
              <w:tl2br w:val="nil"/>
              <w:tr2bl w:val="nil"/>
            </w:tcBorders>
            <w:vAlign w:val="center"/>
          </w:tcPr>
          <w:p>
            <w:pPr>
              <w:widowControl/>
              <w:adjustRightInd w:val="0"/>
              <w:snapToGrid w:val="0"/>
              <w:rPr>
                <w:rFonts w:ascii="仿宋_GB2312" w:hAnsi="仿宋_GB2312" w:eastAsia="仿宋_GB2312" w:cs="仿宋_GB2312"/>
              </w:rPr>
            </w:pPr>
            <w:r>
              <w:rPr>
                <w:rFonts w:hint="eastAsia" w:ascii="仿宋_GB2312" w:hAnsi="仿宋_GB2312" w:eastAsia="仿宋_GB2312" w:cs="仿宋_GB2312"/>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pPr>
              <w:rPr>
                <w:rFonts w:ascii="仿宋_GB2312" w:hAnsi="仿宋_GB2312" w:eastAsia="仿宋_GB2312" w:cs="仿宋_GB2312"/>
              </w:rPr>
            </w:pPr>
          </w:p>
        </w:tc>
        <w:tc>
          <w:tcPr>
            <w:tcW w:w="825"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成本</w:t>
            </w:r>
          </w:p>
        </w:tc>
        <w:tc>
          <w:tcPr>
            <w:tcW w:w="971"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协调信访事项费用减少率</w:t>
            </w:r>
          </w:p>
        </w:tc>
        <w:tc>
          <w:tcPr>
            <w:tcW w:w="1755" w:type="dxa"/>
            <w:tcBorders>
              <w:tl2br w:val="nil"/>
              <w:tr2bl w:val="nil"/>
            </w:tcBorders>
            <w:vAlign w:val="center"/>
          </w:tcPr>
          <w:p>
            <w:pPr>
              <w:widowControl/>
              <w:adjustRightInd w:val="0"/>
              <w:snapToGrid w:val="0"/>
              <w:rPr>
                <w:rFonts w:ascii="仿宋_GB2312" w:hAnsi="仿宋_GB2312" w:eastAsia="仿宋_GB2312" w:cs="仿宋_GB2312"/>
              </w:rPr>
            </w:pPr>
            <w:r>
              <w:rPr>
                <w:rFonts w:hint="eastAsia" w:ascii="仿宋_GB2312" w:hAnsi="仿宋_GB2312" w:eastAsia="仿宋_GB2312" w:cs="仿宋_GB2312"/>
              </w:rPr>
              <w:t>协调信访事项费用减少比例</w:t>
            </w:r>
          </w:p>
        </w:tc>
        <w:tc>
          <w:tcPr>
            <w:tcW w:w="1826" w:type="dxa"/>
            <w:tcBorders>
              <w:tl2br w:val="nil"/>
              <w:tr2bl w:val="nil"/>
            </w:tcBorders>
            <w:vAlign w:val="center"/>
          </w:tcPr>
          <w:p>
            <w:pPr>
              <w:widowControl/>
              <w:adjustRightInd w:val="0"/>
              <w:snapToGrid w:val="0"/>
              <w:rPr>
                <w:rFonts w:ascii="仿宋_GB2312" w:hAnsi="仿宋_GB2312" w:eastAsia="仿宋_GB2312" w:cs="仿宋_GB2312"/>
              </w:rPr>
            </w:pPr>
            <w:r>
              <w:rPr>
                <w:rFonts w:hint="eastAsia" w:ascii="仿宋_GB2312" w:hAnsi="仿宋_GB2312" w:eastAsia="仿宋_GB2312" w:cs="仿宋_GB2312"/>
              </w:rPr>
              <w:t>协调信访事项较同类事项费用减少的比例</w:t>
            </w:r>
          </w:p>
        </w:tc>
        <w:tc>
          <w:tcPr>
            <w:tcW w:w="543"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kern w:val="0"/>
                <w:sz w:val="24"/>
              </w:rPr>
              <w:t>≥</w:t>
            </w:r>
          </w:p>
        </w:tc>
        <w:tc>
          <w:tcPr>
            <w:tcW w:w="488"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5</w:t>
            </w:r>
          </w:p>
        </w:tc>
        <w:tc>
          <w:tcPr>
            <w:tcW w:w="848"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w:t>
            </w:r>
          </w:p>
        </w:tc>
        <w:tc>
          <w:tcPr>
            <w:tcW w:w="1002" w:type="dxa"/>
            <w:tcBorders>
              <w:tl2br w:val="nil"/>
              <w:tr2bl w:val="nil"/>
            </w:tcBorders>
            <w:vAlign w:val="center"/>
          </w:tcPr>
          <w:p>
            <w:pPr>
              <w:widowControl/>
              <w:adjustRightInd w:val="0"/>
              <w:snapToGrid w:val="0"/>
              <w:rPr>
                <w:rFonts w:ascii="仿宋_GB2312" w:hAnsi="仿宋_GB2312" w:eastAsia="仿宋_GB2312" w:cs="仿宋_GB2312"/>
              </w:rPr>
            </w:pPr>
            <w:r>
              <w:rPr>
                <w:rFonts w:hint="eastAsia" w:ascii="仿宋_GB2312" w:hAnsi="仿宋_GB2312" w:eastAsia="仿宋_GB2312" w:cs="仿宋_GB2312"/>
              </w:rPr>
              <w:t>决算数据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仿宋_GB2312" w:hAnsi="仿宋_GB2312" w:eastAsia="仿宋_GB2312" w:cs="仿宋_GB2312"/>
              </w:rPr>
            </w:pPr>
            <w:r>
              <w:rPr>
                <w:rFonts w:hint="eastAsia" w:ascii="仿宋_GB2312" w:hAnsi="仿宋_GB2312" w:eastAsia="仿宋_GB2312" w:cs="仿宋_GB2312"/>
              </w:rPr>
              <w:t>部门效果</w:t>
            </w:r>
          </w:p>
        </w:tc>
        <w:tc>
          <w:tcPr>
            <w:tcW w:w="825"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社会</w:t>
            </w:r>
          </w:p>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效益</w:t>
            </w:r>
          </w:p>
        </w:tc>
        <w:tc>
          <w:tcPr>
            <w:tcW w:w="971" w:type="dxa"/>
            <w:tcBorders>
              <w:tl2br w:val="nil"/>
              <w:tr2bl w:val="nil"/>
            </w:tcBorders>
            <w:vAlign w:val="center"/>
          </w:tcPr>
          <w:p>
            <w:pPr>
              <w:widowControl/>
              <w:adjustRightInd w:val="0"/>
              <w:snapToGrid w:val="0"/>
              <w:rPr>
                <w:rFonts w:ascii="仿宋_GB2312" w:hAnsi="仿宋_GB2312" w:eastAsia="仿宋_GB2312" w:cs="仿宋_GB2312"/>
              </w:rPr>
            </w:pPr>
            <w:r>
              <w:rPr>
                <w:rFonts w:hint="eastAsia" w:ascii="仿宋_GB2312" w:hAnsi="仿宋_GB2312" w:eastAsia="仿宋_GB2312" w:cs="仿宋_GB2312"/>
              </w:rPr>
              <w:t>社会稳定水平</w:t>
            </w:r>
          </w:p>
        </w:tc>
        <w:tc>
          <w:tcPr>
            <w:tcW w:w="1755" w:type="dxa"/>
            <w:tcBorders>
              <w:tl2br w:val="nil"/>
              <w:tr2bl w:val="nil"/>
            </w:tcBorders>
            <w:vAlign w:val="center"/>
          </w:tcPr>
          <w:p>
            <w:pPr>
              <w:widowControl/>
              <w:adjustRightInd w:val="0"/>
              <w:snapToGrid w:val="0"/>
              <w:rPr>
                <w:rFonts w:ascii="仿宋_GB2312" w:hAnsi="仿宋_GB2312" w:eastAsia="仿宋_GB2312" w:cs="仿宋_GB2312"/>
              </w:rPr>
            </w:pPr>
            <w:r>
              <w:rPr>
                <w:rFonts w:hint="eastAsia" w:ascii="仿宋_GB2312" w:hAnsi="仿宋_GB2312" w:eastAsia="仿宋_GB2312" w:cs="仿宋_GB2312"/>
              </w:rPr>
              <w:t>未能及时处理突发事件扣分。</w:t>
            </w:r>
          </w:p>
        </w:tc>
        <w:tc>
          <w:tcPr>
            <w:tcW w:w="1826" w:type="dxa"/>
            <w:tcBorders>
              <w:tl2br w:val="nil"/>
              <w:tr2bl w:val="nil"/>
            </w:tcBorders>
            <w:vAlign w:val="center"/>
          </w:tcPr>
          <w:p>
            <w:pPr>
              <w:widowControl/>
              <w:adjustRightInd w:val="0"/>
              <w:snapToGrid w:val="0"/>
              <w:rPr>
                <w:rFonts w:ascii="仿宋_GB2312" w:hAnsi="仿宋_GB2312" w:eastAsia="仿宋_GB2312" w:cs="仿宋_GB2312"/>
              </w:rPr>
            </w:pPr>
            <w:r>
              <w:rPr>
                <w:rFonts w:hint="eastAsia" w:ascii="仿宋_GB2312" w:hAnsi="仿宋_GB2312" w:eastAsia="仿宋_GB2312" w:cs="仿宋_GB2312"/>
              </w:rPr>
              <w:t>妥善处置各类上访事件，维护社会大局和谐稳定，促进社会稳定</w:t>
            </w:r>
          </w:p>
        </w:tc>
        <w:tc>
          <w:tcPr>
            <w:tcW w:w="543" w:type="dxa"/>
            <w:tcBorders>
              <w:tl2br w:val="nil"/>
              <w:tr2bl w:val="nil"/>
            </w:tcBorders>
            <w:vAlign w:val="center"/>
          </w:tcPr>
          <w:p>
            <w:pPr>
              <w:widowControl/>
              <w:adjustRightInd w:val="0"/>
              <w:snapToGrid w:val="0"/>
              <w:jc w:val="center"/>
              <w:rPr>
                <w:rFonts w:ascii="仿宋_GB2312" w:hAnsi="仿宋_GB2312" w:eastAsia="仿宋_GB2312" w:cs="仿宋_GB2312"/>
              </w:rPr>
            </w:pPr>
          </w:p>
        </w:tc>
        <w:tc>
          <w:tcPr>
            <w:tcW w:w="488" w:type="dxa"/>
            <w:tcBorders>
              <w:tl2br w:val="nil"/>
              <w:tr2bl w:val="nil"/>
            </w:tcBorders>
            <w:vAlign w:val="center"/>
          </w:tcPr>
          <w:p>
            <w:pPr>
              <w:widowControl/>
              <w:adjustRightInd w:val="0"/>
              <w:snapToGrid w:val="0"/>
              <w:jc w:val="center"/>
              <w:rPr>
                <w:rFonts w:ascii="仿宋_GB2312" w:hAnsi="仿宋_GB2312" w:eastAsia="仿宋_GB2312" w:cs="仿宋_GB2312"/>
              </w:rPr>
            </w:pPr>
          </w:p>
        </w:tc>
        <w:tc>
          <w:tcPr>
            <w:tcW w:w="848"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确保群众各级信访案件渠道畅通，群众依法有序信访。</w:t>
            </w:r>
          </w:p>
        </w:tc>
        <w:tc>
          <w:tcPr>
            <w:tcW w:w="1002" w:type="dxa"/>
            <w:tcBorders>
              <w:tl2br w:val="nil"/>
              <w:tr2bl w:val="nil"/>
            </w:tcBorders>
            <w:vAlign w:val="center"/>
          </w:tcPr>
          <w:p>
            <w:pPr>
              <w:widowControl/>
              <w:adjustRightInd w:val="0"/>
              <w:snapToGrid w:val="0"/>
              <w:rPr>
                <w:rFonts w:ascii="仿宋_GB2312" w:hAnsi="仿宋_GB2312" w:eastAsia="仿宋_GB2312" w:cs="仿宋_GB2312"/>
              </w:rPr>
            </w:pPr>
            <w:r>
              <w:rPr>
                <w:rFonts w:hint="eastAsia" w:ascii="仿宋_GB2312" w:hAnsi="仿宋_GB2312" w:eastAsia="仿宋_GB2312" w:cs="仿宋_GB2312"/>
              </w:rPr>
              <w:t>部门职能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经济</w:t>
            </w:r>
          </w:p>
          <w:p>
            <w:pPr>
              <w:widowControl/>
              <w:adjustRightInd w:val="0"/>
              <w:snapToGrid w:val="0"/>
              <w:jc w:val="center"/>
              <w:rPr>
                <w:rFonts w:ascii="方正书宋_GBK" w:eastAsia="方正书宋_GBK"/>
              </w:rPr>
            </w:pPr>
            <w:r>
              <w:rPr>
                <w:rFonts w:hint="eastAsia" w:ascii="仿宋_GB2312" w:hAnsi="仿宋_GB2312" w:eastAsia="仿宋_GB2312" w:cs="仿宋_GB2312"/>
              </w:rPr>
              <w:t>效益</w:t>
            </w:r>
          </w:p>
        </w:tc>
        <w:tc>
          <w:tcPr>
            <w:tcW w:w="971" w:type="dxa"/>
            <w:tcBorders>
              <w:tl2br w:val="nil"/>
              <w:tr2bl w:val="nil"/>
            </w:tcBorders>
            <w:vAlign w:val="center"/>
          </w:tcPr>
          <w:p>
            <w:pPr>
              <w:widowControl/>
              <w:adjustRightInd w:val="0"/>
              <w:snapToGrid w:val="0"/>
              <w:rPr>
                <w:rFonts w:ascii="方正书宋_GBK" w:eastAsia="方正书宋_GBK"/>
              </w:rPr>
            </w:pPr>
          </w:p>
        </w:tc>
        <w:tc>
          <w:tcPr>
            <w:tcW w:w="1755" w:type="dxa"/>
            <w:tcBorders>
              <w:tl2br w:val="nil"/>
              <w:tr2bl w:val="nil"/>
            </w:tcBorders>
            <w:vAlign w:val="center"/>
          </w:tcPr>
          <w:p>
            <w:pPr>
              <w:widowControl/>
              <w:adjustRightInd w:val="0"/>
              <w:snapToGrid w:val="0"/>
              <w:rPr>
                <w:rFonts w:ascii="方正书宋_GBK" w:eastAsia="方正书宋_GBK"/>
              </w:rPr>
            </w:pPr>
          </w:p>
        </w:tc>
        <w:tc>
          <w:tcPr>
            <w:tcW w:w="1826" w:type="dxa"/>
            <w:tcBorders>
              <w:tl2br w:val="nil"/>
              <w:tr2bl w:val="nil"/>
            </w:tcBorders>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rPr>
                <w:rFonts w:ascii="方正书宋_GBK" w:eastAsia="方正书宋_GBK"/>
              </w:rPr>
            </w:pPr>
          </w:p>
        </w:tc>
        <w:tc>
          <w:tcPr>
            <w:tcW w:w="488" w:type="dxa"/>
            <w:tcBorders>
              <w:tl2br w:val="nil"/>
              <w:tr2bl w:val="nil"/>
            </w:tcBorders>
            <w:vAlign w:val="center"/>
          </w:tcPr>
          <w:p>
            <w:pPr>
              <w:widowControl/>
              <w:adjustRightInd w:val="0"/>
              <w:snapToGrid w:val="0"/>
              <w:rPr>
                <w:rFonts w:ascii="方正书宋_GBK" w:eastAsia="方正书宋_GBK"/>
              </w:rPr>
            </w:pPr>
          </w:p>
        </w:tc>
        <w:tc>
          <w:tcPr>
            <w:tcW w:w="848" w:type="dxa"/>
            <w:tcBorders>
              <w:tl2br w:val="nil"/>
              <w:tr2bl w:val="nil"/>
            </w:tcBorders>
            <w:vAlign w:val="center"/>
          </w:tcPr>
          <w:p>
            <w:pPr>
              <w:widowControl/>
              <w:adjustRightInd w:val="0"/>
              <w:snapToGrid w:val="0"/>
              <w:rPr>
                <w:rFonts w:ascii="方正书宋_GBK" w:eastAsia="方正书宋_GBK"/>
              </w:rPr>
            </w:pPr>
          </w:p>
        </w:tc>
        <w:tc>
          <w:tcPr>
            <w:tcW w:w="1002"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生态</w:t>
            </w:r>
          </w:p>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效益</w:t>
            </w:r>
          </w:p>
        </w:tc>
        <w:tc>
          <w:tcPr>
            <w:tcW w:w="971" w:type="dxa"/>
            <w:tcBorders>
              <w:tl2br w:val="nil"/>
              <w:tr2bl w:val="nil"/>
            </w:tcBorders>
            <w:vAlign w:val="center"/>
          </w:tcPr>
          <w:p>
            <w:pPr>
              <w:widowControl/>
              <w:adjustRightInd w:val="0"/>
              <w:snapToGrid w:val="0"/>
              <w:jc w:val="center"/>
              <w:rPr>
                <w:rFonts w:ascii="仿宋_GB2312" w:hAnsi="仿宋_GB2312" w:eastAsia="仿宋_GB2312" w:cs="仿宋_GB2312"/>
              </w:rPr>
            </w:pPr>
          </w:p>
        </w:tc>
        <w:tc>
          <w:tcPr>
            <w:tcW w:w="1755" w:type="dxa"/>
            <w:tcBorders>
              <w:tl2br w:val="nil"/>
              <w:tr2bl w:val="nil"/>
            </w:tcBorders>
            <w:vAlign w:val="center"/>
          </w:tcPr>
          <w:p>
            <w:pPr>
              <w:widowControl/>
              <w:adjustRightInd w:val="0"/>
              <w:snapToGrid w:val="0"/>
              <w:jc w:val="center"/>
              <w:rPr>
                <w:rFonts w:ascii="仿宋_GB2312" w:hAnsi="仿宋_GB2312" w:eastAsia="仿宋_GB2312" w:cs="仿宋_GB2312"/>
              </w:rPr>
            </w:pPr>
          </w:p>
        </w:tc>
        <w:tc>
          <w:tcPr>
            <w:tcW w:w="1826" w:type="dxa"/>
            <w:tcBorders>
              <w:tl2br w:val="nil"/>
              <w:tr2bl w:val="nil"/>
            </w:tcBorders>
            <w:vAlign w:val="center"/>
          </w:tcPr>
          <w:p>
            <w:pPr>
              <w:widowControl/>
              <w:adjustRightInd w:val="0"/>
              <w:snapToGrid w:val="0"/>
              <w:jc w:val="center"/>
              <w:rPr>
                <w:rFonts w:ascii="仿宋_GB2312" w:hAnsi="仿宋_GB2312" w:eastAsia="仿宋_GB2312" w:cs="仿宋_GB2312"/>
              </w:rPr>
            </w:pPr>
          </w:p>
        </w:tc>
        <w:tc>
          <w:tcPr>
            <w:tcW w:w="543" w:type="dxa"/>
            <w:tcBorders>
              <w:tl2br w:val="nil"/>
              <w:tr2bl w:val="nil"/>
            </w:tcBorders>
            <w:vAlign w:val="center"/>
          </w:tcPr>
          <w:p>
            <w:pPr>
              <w:widowControl/>
              <w:adjustRightInd w:val="0"/>
              <w:snapToGrid w:val="0"/>
              <w:jc w:val="center"/>
              <w:rPr>
                <w:rFonts w:ascii="仿宋_GB2312" w:hAnsi="仿宋_GB2312" w:eastAsia="仿宋_GB2312" w:cs="仿宋_GB2312"/>
              </w:rPr>
            </w:pPr>
          </w:p>
        </w:tc>
        <w:tc>
          <w:tcPr>
            <w:tcW w:w="488" w:type="dxa"/>
            <w:tcBorders>
              <w:tl2br w:val="nil"/>
              <w:tr2bl w:val="nil"/>
            </w:tcBorders>
            <w:vAlign w:val="center"/>
          </w:tcPr>
          <w:p>
            <w:pPr>
              <w:widowControl/>
              <w:adjustRightInd w:val="0"/>
              <w:snapToGrid w:val="0"/>
              <w:jc w:val="center"/>
              <w:rPr>
                <w:rFonts w:ascii="仿宋_GB2312" w:hAnsi="仿宋_GB2312" w:eastAsia="仿宋_GB2312" w:cs="仿宋_GB2312"/>
              </w:rPr>
            </w:pPr>
          </w:p>
        </w:tc>
        <w:tc>
          <w:tcPr>
            <w:tcW w:w="848" w:type="dxa"/>
            <w:tcBorders>
              <w:tl2br w:val="nil"/>
              <w:tr2bl w:val="nil"/>
            </w:tcBorders>
            <w:vAlign w:val="center"/>
          </w:tcPr>
          <w:p>
            <w:pPr>
              <w:widowControl/>
              <w:adjustRightInd w:val="0"/>
              <w:snapToGrid w:val="0"/>
              <w:jc w:val="center"/>
              <w:rPr>
                <w:rFonts w:ascii="仿宋_GB2312" w:hAnsi="仿宋_GB2312" w:eastAsia="仿宋_GB2312" w:cs="仿宋_GB2312"/>
              </w:rPr>
            </w:pPr>
          </w:p>
        </w:tc>
        <w:tc>
          <w:tcPr>
            <w:tcW w:w="1002" w:type="dxa"/>
            <w:tcBorders>
              <w:tl2br w:val="nil"/>
              <w:tr2bl w:val="nil"/>
            </w:tcBorders>
            <w:vAlign w:val="center"/>
          </w:tcPr>
          <w:p>
            <w:pPr>
              <w:widowControl/>
              <w:adjustRightInd w:val="0"/>
              <w:snapToGrid w:val="0"/>
              <w:jc w:val="center"/>
              <w:rPr>
                <w:rFonts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可持续影响</w:t>
            </w:r>
          </w:p>
        </w:tc>
        <w:tc>
          <w:tcPr>
            <w:tcW w:w="971" w:type="dxa"/>
            <w:tcBorders>
              <w:tl2br w:val="nil"/>
              <w:tr2bl w:val="nil"/>
            </w:tcBorders>
            <w:noWrap/>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工作延续性</w:t>
            </w:r>
          </w:p>
        </w:tc>
        <w:tc>
          <w:tcPr>
            <w:tcW w:w="1755" w:type="dxa"/>
            <w:tcBorders>
              <w:tl2br w:val="nil"/>
              <w:tr2bl w:val="nil"/>
            </w:tcBorders>
            <w:noWrap/>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未能依照工作职能处理问题扣分。</w:t>
            </w:r>
          </w:p>
        </w:tc>
        <w:tc>
          <w:tcPr>
            <w:tcW w:w="1826" w:type="dxa"/>
            <w:tcBorders>
              <w:tl2br w:val="nil"/>
              <w:tr2bl w:val="nil"/>
            </w:tcBorders>
            <w:noWrap/>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政策机构的延续、信访工作职能的延续</w:t>
            </w:r>
          </w:p>
        </w:tc>
        <w:tc>
          <w:tcPr>
            <w:tcW w:w="543" w:type="dxa"/>
            <w:tcBorders>
              <w:tl2br w:val="nil"/>
              <w:tr2bl w:val="nil"/>
            </w:tcBorders>
            <w:vAlign w:val="center"/>
          </w:tcPr>
          <w:p>
            <w:pPr>
              <w:widowControl/>
              <w:adjustRightInd w:val="0"/>
              <w:snapToGrid w:val="0"/>
              <w:jc w:val="center"/>
              <w:rPr>
                <w:rFonts w:ascii="仿宋_GB2312" w:hAnsi="仿宋_GB2312" w:eastAsia="仿宋_GB2312" w:cs="仿宋_GB2312"/>
              </w:rPr>
            </w:pPr>
          </w:p>
        </w:tc>
        <w:tc>
          <w:tcPr>
            <w:tcW w:w="488" w:type="dxa"/>
            <w:tcBorders>
              <w:tl2br w:val="nil"/>
              <w:tr2bl w:val="nil"/>
            </w:tcBorders>
            <w:vAlign w:val="center"/>
          </w:tcPr>
          <w:p>
            <w:pPr>
              <w:widowControl/>
              <w:adjustRightInd w:val="0"/>
              <w:snapToGrid w:val="0"/>
              <w:jc w:val="center"/>
              <w:rPr>
                <w:rFonts w:ascii="仿宋_GB2312" w:hAnsi="仿宋_GB2312" w:eastAsia="仿宋_GB2312" w:cs="仿宋_GB2312"/>
              </w:rPr>
            </w:pPr>
          </w:p>
        </w:tc>
        <w:tc>
          <w:tcPr>
            <w:tcW w:w="848"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信访工作持续性</w:t>
            </w:r>
          </w:p>
        </w:tc>
        <w:tc>
          <w:tcPr>
            <w:tcW w:w="1002"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部门职能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满意度</w:t>
            </w:r>
          </w:p>
        </w:tc>
        <w:tc>
          <w:tcPr>
            <w:tcW w:w="971" w:type="dxa"/>
            <w:tcBorders>
              <w:tl2br w:val="nil"/>
              <w:tr2bl w:val="nil"/>
            </w:tcBorders>
            <w:noWrap/>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信访事项处理群众满意率</w:t>
            </w:r>
          </w:p>
        </w:tc>
        <w:tc>
          <w:tcPr>
            <w:tcW w:w="1755" w:type="dxa"/>
            <w:tcBorders>
              <w:tl2br w:val="nil"/>
              <w:tr2bl w:val="nil"/>
            </w:tcBorders>
            <w:noWrap/>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满意度调查问卷</w:t>
            </w:r>
          </w:p>
        </w:tc>
        <w:tc>
          <w:tcPr>
            <w:tcW w:w="1826" w:type="dxa"/>
            <w:tcBorders>
              <w:tl2br w:val="nil"/>
              <w:tr2bl w:val="nil"/>
            </w:tcBorders>
            <w:noWrap/>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通过对群众上访事项审核回复、交办督办等功能，并对办理结果进行满意度回访。信访人满意数和信访人基本满意数占被询问信访人总人数的比例</w:t>
            </w:r>
          </w:p>
        </w:tc>
        <w:tc>
          <w:tcPr>
            <w:tcW w:w="543"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w:t>
            </w:r>
          </w:p>
        </w:tc>
        <w:tc>
          <w:tcPr>
            <w:tcW w:w="488"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80</w:t>
            </w:r>
          </w:p>
        </w:tc>
        <w:tc>
          <w:tcPr>
            <w:tcW w:w="848"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w:t>
            </w:r>
          </w:p>
        </w:tc>
        <w:tc>
          <w:tcPr>
            <w:tcW w:w="1002" w:type="dxa"/>
            <w:tcBorders>
              <w:tl2br w:val="nil"/>
              <w:tr2bl w:val="nil"/>
            </w:tcBorders>
            <w:vAlign w:val="center"/>
          </w:tcPr>
          <w:p>
            <w:pPr>
              <w:widowControl/>
              <w:adjustRightInd w:val="0"/>
              <w:snapToGrid w:val="0"/>
              <w:jc w:val="center"/>
              <w:rPr>
                <w:rFonts w:ascii="仿宋_GB2312" w:hAnsi="仿宋_GB2312" w:eastAsia="仿宋_GB2312" w:cs="仿宋_GB2312"/>
              </w:rPr>
            </w:pPr>
            <w:r>
              <w:rPr>
                <w:rFonts w:hint="eastAsia" w:ascii="仿宋_GB2312" w:hAnsi="仿宋_GB2312" w:eastAsia="仿宋_GB2312" w:cs="仿宋_GB2312"/>
              </w:rPr>
              <w:t>调查问卷</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0"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21</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rPr>
        <w:t>0</w:t>
      </w:r>
      <w:r>
        <w:rPr>
          <w:rFonts w:ascii="Times New Roman" w:hAnsi="Times New Roman" w:eastAsia="仿宋_GB2312" w:cs="Times New Roman"/>
          <w:sz w:val="32"/>
          <w:szCs w:val="24"/>
        </w:rPr>
        <w:t>万元。具体内容见下表。</w:t>
      </w:r>
    </w:p>
    <w:bookmarkEnd w:id="0"/>
    <w:p>
      <w:pPr>
        <w:jc w:val="center"/>
        <w:outlineLvl w:val="1"/>
        <w:rPr>
          <w:rFonts w:ascii="Times New Roman" w:hAnsi="Times New Roman" w:cs="Times New Roman"/>
          <w:sz w:val="32"/>
        </w:rPr>
      </w:pPr>
      <w:bookmarkStart w:id="1" w:name="_Toc64920910"/>
      <w:r>
        <w:rPr>
          <w:rFonts w:hint="eastAsia" w:ascii="方正小标宋简体" w:hAnsi="方正小标宋简体" w:eastAsia="方正小标宋简体" w:cs="方正小标宋简体"/>
          <w:sz w:val="32"/>
        </w:rPr>
        <w:t>部门政府采购预算</w:t>
      </w:r>
      <w:bookmarkEnd w:id="1"/>
    </w:p>
    <w:tbl>
      <w:tblPr>
        <w:tblStyle w:val="8"/>
        <w:tblW w:w="133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92"/>
        <w:gridCol w:w="992"/>
        <w:gridCol w:w="1134"/>
        <w:gridCol w:w="869"/>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510"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ascii="黑体" w:hAnsi="黑体" w:eastAsia="黑体" w:cs="黑体"/>
                <w:sz w:val="24"/>
              </w:rPr>
            </w:pPr>
            <w:r>
              <w:rPr>
                <w:rFonts w:hint="eastAsia" w:ascii="黑体" w:hAnsi="黑体" w:eastAsia="黑体" w:cs="黑体"/>
                <w:sz w:val="24"/>
              </w:rPr>
              <w:t>[287001]廊坊市广阳区信访局</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黑体" w:hAnsi="黑体" w:eastAsia="黑体" w:cs="黑体"/>
                <w:sz w:val="24"/>
              </w:rPr>
            </w:pPr>
            <w:r>
              <w:rPr>
                <w:rFonts w:hint="eastAsia" w:ascii="黑体" w:hAnsi="黑体" w:eastAsia="黑体" w:cs="黑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gridSpan w:val="2"/>
            <w:shd w:val="clear" w:color="auto" w:fill="auto"/>
            <w:vAlign w:val="center"/>
          </w:tcPr>
          <w:p>
            <w:pPr>
              <w:spacing w:line="300" w:lineRule="exact"/>
              <w:jc w:val="center"/>
              <w:rPr>
                <w:rFonts w:ascii="黑体" w:hAnsi="黑体" w:eastAsia="黑体" w:cs="黑体"/>
              </w:rPr>
            </w:pPr>
            <w:r>
              <w:rPr>
                <w:rFonts w:hint="eastAsia" w:ascii="黑体" w:hAnsi="黑体" w:eastAsia="黑体" w:cs="黑体"/>
              </w:rPr>
              <w:t>政府采购项目来源</w:t>
            </w:r>
          </w:p>
        </w:tc>
        <w:tc>
          <w:tcPr>
            <w:tcW w:w="1134" w:type="dxa"/>
            <w:vMerge w:val="restart"/>
            <w:shd w:val="clear" w:color="auto" w:fill="auto"/>
            <w:vAlign w:val="center"/>
          </w:tcPr>
          <w:p>
            <w:pPr>
              <w:spacing w:line="300" w:lineRule="exact"/>
              <w:jc w:val="center"/>
              <w:rPr>
                <w:rFonts w:ascii="黑体" w:hAnsi="黑体" w:eastAsia="黑体" w:cs="黑体"/>
              </w:rPr>
            </w:pPr>
            <w:r>
              <w:rPr>
                <w:rFonts w:hint="eastAsia" w:ascii="黑体" w:hAnsi="黑体" w:eastAsia="黑体" w:cs="黑体"/>
              </w:rPr>
              <w:t>采购物品名称</w:t>
            </w:r>
          </w:p>
        </w:tc>
        <w:tc>
          <w:tcPr>
            <w:tcW w:w="869" w:type="dxa"/>
            <w:vMerge w:val="restart"/>
            <w:shd w:val="clear" w:color="auto" w:fill="auto"/>
            <w:vAlign w:val="center"/>
          </w:tcPr>
          <w:p>
            <w:pPr>
              <w:spacing w:line="300" w:lineRule="exact"/>
              <w:jc w:val="center"/>
              <w:rPr>
                <w:rFonts w:ascii="黑体" w:hAnsi="黑体" w:eastAsia="黑体" w:cs="黑体"/>
              </w:rPr>
            </w:pPr>
            <w:r>
              <w:rPr>
                <w:rFonts w:hint="eastAsia" w:ascii="黑体" w:hAnsi="黑体" w:eastAsia="黑体" w:cs="黑体"/>
              </w:rPr>
              <w:t>政府采购目录序号</w:t>
            </w:r>
          </w:p>
        </w:tc>
        <w:tc>
          <w:tcPr>
            <w:tcW w:w="709" w:type="dxa"/>
            <w:vMerge w:val="restart"/>
            <w:shd w:val="clear" w:color="auto" w:fill="auto"/>
            <w:vAlign w:val="center"/>
          </w:tcPr>
          <w:p>
            <w:pPr>
              <w:spacing w:line="300" w:lineRule="exact"/>
              <w:jc w:val="center"/>
              <w:rPr>
                <w:rFonts w:ascii="黑体" w:hAnsi="黑体" w:eastAsia="黑体" w:cs="黑体"/>
              </w:rPr>
            </w:pPr>
            <w:r>
              <w:rPr>
                <w:rFonts w:hint="eastAsia" w:ascii="黑体" w:hAnsi="黑体" w:eastAsia="黑体" w:cs="黑体"/>
              </w:rPr>
              <w:t>计量  单位</w:t>
            </w:r>
          </w:p>
        </w:tc>
        <w:tc>
          <w:tcPr>
            <w:tcW w:w="907" w:type="dxa"/>
            <w:vMerge w:val="restart"/>
            <w:shd w:val="clear" w:color="auto" w:fill="auto"/>
            <w:vAlign w:val="center"/>
          </w:tcPr>
          <w:p>
            <w:pPr>
              <w:spacing w:line="300" w:lineRule="exact"/>
              <w:jc w:val="center"/>
              <w:rPr>
                <w:rFonts w:ascii="黑体" w:hAnsi="黑体" w:eastAsia="黑体" w:cs="黑体"/>
              </w:rPr>
            </w:pPr>
            <w:r>
              <w:rPr>
                <w:rFonts w:hint="eastAsia" w:ascii="黑体" w:hAnsi="黑体" w:eastAsia="黑体" w:cs="黑体"/>
              </w:rPr>
              <w:t>数量</w:t>
            </w:r>
          </w:p>
        </w:tc>
        <w:tc>
          <w:tcPr>
            <w:tcW w:w="907" w:type="dxa"/>
            <w:vMerge w:val="restart"/>
            <w:shd w:val="clear" w:color="auto" w:fill="auto"/>
            <w:vAlign w:val="center"/>
          </w:tcPr>
          <w:p>
            <w:pPr>
              <w:spacing w:line="300" w:lineRule="exact"/>
              <w:jc w:val="center"/>
              <w:rPr>
                <w:rFonts w:ascii="黑体" w:hAnsi="黑体" w:eastAsia="黑体" w:cs="黑体"/>
              </w:rPr>
            </w:pPr>
            <w:r>
              <w:rPr>
                <w:rFonts w:hint="eastAsia" w:ascii="黑体" w:hAnsi="黑体" w:eastAsia="黑体" w:cs="黑体"/>
              </w:rPr>
              <w:t>单价</w:t>
            </w:r>
          </w:p>
        </w:tc>
        <w:tc>
          <w:tcPr>
            <w:tcW w:w="6804" w:type="dxa"/>
            <w:gridSpan w:val="6"/>
            <w:shd w:val="clear" w:color="auto" w:fill="auto"/>
            <w:vAlign w:val="center"/>
          </w:tcPr>
          <w:p>
            <w:pPr>
              <w:spacing w:line="300" w:lineRule="exact"/>
              <w:jc w:val="center"/>
              <w:rPr>
                <w:rFonts w:ascii="黑体" w:hAnsi="黑体" w:eastAsia="黑体" w:cs="黑体"/>
              </w:rPr>
            </w:pPr>
            <w:r>
              <w:rPr>
                <w:rFonts w:hint="eastAsia" w:ascii="黑体" w:hAnsi="黑体" w:eastAsia="黑体" w:cs="黑体"/>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92" w:type="dxa"/>
            <w:shd w:val="clear" w:color="auto" w:fill="auto"/>
            <w:vAlign w:val="center"/>
          </w:tcPr>
          <w:p>
            <w:pPr>
              <w:spacing w:line="300" w:lineRule="exact"/>
              <w:jc w:val="center"/>
              <w:rPr>
                <w:rFonts w:ascii="黑体" w:hAnsi="黑体" w:eastAsia="黑体" w:cs="黑体"/>
              </w:rPr>
            </w:pPr>
            <w:r>
              <w:rPr>
                <w:rFonts w:hint="eastAsia" w:ascii="黑体" w:hAnsi="黑体" w:eastAsia="黑体" w:cs="黑体"/>
              </w:rPr>
              <w:t>项目名称</w:t>
            </w:r>
          </w:p>
        </w:tc>
        <w:tc>
          <w:tcPr>
            <w:tcW w:w="992" w:type="dxa"/>
            <w:shd w:val="clear" w:color="auto" w:fill="auto"/>
            <w:vAlign w:val="center"/>
          </w:tcPr>
          <w:p>
            <w:pPr>
              <w:spacing w:line="300" w:lineRule="exact"/>
              <w:jc w:val="center"/>
              <w:rPr>
                <w:rFonts w:ascii="黑体" w:hAnsi="黑体" w:eastAsia="黑体" w:cs="黑体"/>
              </w:rPr>
            </w:pPr>
            <w:r>
              <w:rPr>
                <w:rFonts w:hint="eastAsia" w:ascii="黑体" w:hAnsi="黑体" w:eastAsia="黑体" w:cs="黑体"/>
              </w:rPr>
              <w:t>预算资金</w:t>
            </w:r>
          </w:p>
        </w:tc>
        <w:tc>
          <w:tcPr>
            <w:tcW w:w="1134" w:type="dxa"/>
            <w:vMerge w:val="continue"/>
            <w:shd w:val="clear" w:color="auto" w:fill="auto"/>
            <w:vAlign w:val="center"/>
          </w:tcPr>
          <w:p>
            <w:pPr>
              <w:rPr>
                <w:rFonts w:ascii="黑体" w:hAnsi="黑体" w:eastAsia="黑体" w:cs="黑体"/>
              </w:rPr>
            </w:pPr>
          </w:p>
        </w:tc>
        <w:tc>
          <w:tcPr>
            <w:tcW w:w="869" w:type="dxa"/>
            <w:vMerge w:val="continue"/>
            <w:shd w:val="clear" w:color="auto" w:fill="auto"/>
            <w:vAlign w:val="center"/>
          </w:tcPr>
          <w:p>
            <w:pPr>
              <w:rPr>
                <w:rFonts w:ascii="黑体" w:hAnsi="黑体" w:eastAsia="黑体" w:cs="黑体"/>
              </w:rPr>
            </w:pPr>
          </w:p>
        </w:tc>
        <w:tc>
          <w:tcPr>
            <w:tcW w:w="709" w:type="dxa"/>
            <w:vMerge w:val="continue"/>
            <w:shd w:val="clear" w:color="auto" w:fill="auto"/>
            <w:vAlign w:val="center"/>
          </w:tcPr>
          <w:p>
            <w:pPr>
              <w:rPr>
                <w:rFonts w:ascii="黑体" w:hAnsi="黑体" w:eastAsia="黑体" w:cs="黑体"/>
              </w:rPr>
            </w:pPr>
          </w:p>
        </w:tc>
        <w:tc>
          <w:tcPr>
            <w:tcW w:w="907" w:type="dxa"/>
            <w:vMerge w:val="continue"/>
            <w:shd w:val="clear" w:color="auto" w:fill="auto"/>
            <w:vAlign w:val="center"/>
          </w:tcPr>
          <w:p>
            <w:pPr>
              <w:rPr>
                <w:rFonts w:ascii="黑体" w:hAnsi="黑体" w:eastAsia="黑体" w:cs="黑体"/>
              </w:rPr>
            </w:pPr>
          </w:p>
        </w:tc>
        <w:tc>
          <w:tcPr>
            <w:tcW w:w="907" w:type="dxa"/>
            <w:vMerge w:val="continue"/>
            <w:shd w:val="clear" w:color="auto" w:fill="auto"/>
            <w:vAlign w:val="center"/>
          </w:tcPr>
          <w:p>
            <w:pPr>
              <w:rPr>
                <w:rFonts w:ascii="黑体" w:hAnsi="黑体" w:eastAsia="黑体" w:cs="黑体"/>
              </w:rPr>
            </w:pPr>
          </w:p>
        </w:tc>
        <w:tc>
          <w:tcPr>
            <w:tcW w:w="1134" w:type="dxa"/>
            <w:shd w:val="clear" w:color="auto" w:fill="auto"/>
            <w:vAlign w:val="center"/>
          </w:tcPr>
          <w:p>
            <w:pPr>
              <w:spacing w:line="300" w:lineRule="exact"/>
              <w:jc w:val="center"/>
              <w:rPr>
                <w:rFonts w:ascii="黑体" w:hAnsi="黑体" w:eastAsia="黑体" w:cs="黑体"/>
              </w:rPr>
            </w:pPr>
            <w:r>
              <w:rPr>
                <w:rFonts w:hint="eastAsia" w:ascii="黑体" w:hAnsi="黑体" w:eastAsia="黑体" w:cs="黑体"/>
              </w:rPr>
              <w:t>合计</w:t>
            </w:r>
          </w:p>
        </w:tc>
        <w:tc>
          <w:tcPr>
            <w:tcW w:w="1134" w:type="dxa"/>
            <w:shd w:val="clear" w:color="auto" w:fill="auto"/>
            <w:vAlign w:val="center"/>
          </w:tcPr>
          <w:p>
            <w:pPr>
              <w:spacing w:line="300" w:lineRule="exact"/>
              <w:jc w:val="center"/>
              <w:rPr>
                <w:rFonts w:ascii="黑体" w:hAnsi="黑体" w:eastAsia="黑体" w:cs="黑体"/>
              </w:rPr>
            </w:pPr>
            <w:r>
              <w:rPr>
                <w:rFonts w:hint="eastAsia" w:ascii="黑体" w:hAnsi="黑体" w:eastAsia="黑体" w:cs="黑体"/>
              </w:rPr>
              <w:t>一般公共预算拨款</w:t>
            </w:r>
          </w:p>
        </w:tc>
        <w:tc>
          <w:tcPr>
            <w:tcW w:w="1134" w:type="dxa"/>
            <w:shd w:val="clear" w:color="auto" w:fill="auto"/>
            <w:vAlign w:val="center"/>
          </w:tcPr>
          <w:p>
            <w:pPr>
              <w:spacing w:line="300" w:lineRule="exact"/>
              <w:jc w:val="center"/>
              <w:rPr>
                <w:rFonts w:ascii="黑体" w:hAnsi="黑体" w:eastAsia="黑体" w:cs="黑体"/>
              </w:rPr>
            </w:pPr>
            <w:r>
              <w:rPr>
                <w:rFonts w:hint="eastAsia" w:ascii="黑体" w:hAnsi="黑体" w:eastAsia="黑体" w:cs="黑体"/>
              </w:rPr>
              <w:t>基金预算拨款</w:t>
            </w:r>
          </w:p>
        </w:tc>
        <w:tc>
          <w:tcPr>
            <w:tcW w:w="1134" w:type="dxa"/>
            <w:shd w:val="clear" w:color="auto" w:fill="auto"/>
            <w:vAlign w:val="center"/>
          </w:tcPr>
          <w:p>
            <w:pPr>
              <w:spacing w:line="300" w:lineRule="exact"/>
              <w:jc w:val="center"/>
              <w:rPr>
                <w:rFonts w:ascii="黑体" w:hAnsi="黑体" w:eastAsia="黑体" w:cs="黑体"/>
              </w:rPr>
            </w:pPr>
            <w:r>
              <w:rPr>
                <w:rFonts w:hint="eastAsia" w:ascii="黑体" w:hAnsi="黑体" w:eastAsia="黑体" w:cs="黑体"/>
              </w:rPr>
              <w:t>国有资本经营预算拨款</w:t>
            </w:r>
          </w:p>
        </w:tc>
        <w:tc>
          <w:tcPr>
            <w:tcW w:w="1134" w:type="dxa"/>
            <w:shd w:val="clear" w:color="auto" w:fill="auto"/>
            <w:vAlign w:val="center"/>
          </w:tcPr>
          <w:p>
            <w:pPr>
              <w:spacing w:line="300" w:lineRule="exact"/>
              <w:jc w:val="center"/>
              <w:rPr>
                <w:rFonts w:ascii="黑体" w:hAnsi="黑体" w:eastAsia="黑体" w:cs="黑体"/>
              </w:rPr>
            </w:pPr>
            <w:r>
              <w:rPr>
                <w:rFonts w:hint="eastAsia" w:ascii="黑体" w:hAnsi="黑体" w:eastAsia="黑体" w:cs="黑体"/>
              </w:rPr>
              <w:t>财政专户核拨</w:t>
            </w:r>
          </w:p>
        </w:tc>
        <w:tc>
          <w:tcPr>
            <w:tcW w:w="1134" w:type="dxa"/>
            <w:shd w:val="clear" w:color="auto" w:fill="auto"/>
            <w:vAlign w:val="center"/>
          </w:tcPr>
          <w:p>
            <w:pPr>
              <w:spacing w:line="300" w:lineRule="exact"/>
              <w:jc w:val="center"/>
              <w:rPr>
                <w:rFonts w:ascii="黑体" w:hAnsi="黑体" w:eastAsia="黑体" w:cs="黑体"/>
              </w:rPr>
            </w:pPr>
            <w:r>
              <w:rPr>
                <w:rFonts w:hint="eastAsia" w:ascii="黑体" w:hAnsi="黑体" w:eastAsia="黑体" w:cs="黑体"/>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92" w:type="dxa"/>
            <w:shd w:val="clear" w:color="auto" w:fill="auto"/>
            <w:vAlign w:val="center"/>
          </w:tcPr>
          <w:p>
            <w:pPr>
              <w:spacing w:line="300" w:lineRule="exact"/>
              <w:jc w:val="center"/>
              <w:rPr>
                <w:rFonts w:ascii="方正书宋_GBK" w:eastAsia="方正书宋_GBK" w:cs="Times New Roman"/>
                <w:b/>
              </w:rPr>
            </w:pPr>
            <w:r>
              <w:rPr>
                <w:rFonts w:hint="eastAsia" w:ascii="黑体" w:hAnsi="黑体" w:eastAsia="黑体" w:cs="黑体"/>
                <w:bCs/>
              </w:rPr>
              <w:t>合  计</w:t>
            </w:r>
          </w:p>
        </w:tc>
        <w:tc>
          <w:tcPr>
            <w:tcW w:w="992"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left"/>
              <w:rPr>
                <w:rFonts w:ascii="方正书宋_GBK" w:eastAsia="方正书宋_GBK" w:cs="Times New Roman"/>
                <w:b/>
              </w:rPr>
            </w:pPr>
          </w:p>
        </w:tc>
        <w:tc>
          <w:tcPr>
            <w:tcW w:w="869"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92" w:type="dxa"/>
            <w:shd w:val="clear" w:color="auto" w:fill="auto"/>
            <w:vAlign w:val="center"/>
          </w:tcPr>
          <w:p>
            <w:pPr>
              <w:spacing w:line="300" w:lineRule="exact"/>
              <w:jc w:val="center"/>
              <w:rPr>
                <w:rFonts w:ascii="方正书宋_GBK" w:eastAsia="方正书宋_GBK" w:cs="Times New Roman"/>
                <w:b/>
              </w:rPr>
            </w:pPr>
          </w:p>
        </w:tc>
        <w:tc>
          <w:tcPr>
            <w:tcW w:w="992"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left"/>
              <w:rPr>
                <w:rFonts w:ascii="方正书宋_GBK" w:eastAsia="方正书宋_GBK" w:cs="Times New Roman"/>
                <w:b/>
              </w:rPr>
            </w:pPr>
          </w:p>
        </w:tc>
        <w:tc>
          <w:tcPr>
            <w:tcW w:w="869"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92" w:type="dxa"/>
            <w:shd w:val="clear" w:color="auto" w:fill="auto"/>
            <w:vAlign w:val="center"/>
          </w:tcPr>
          <w:p>
            <w:pPr>
              <w:spacing w:line="300" w:lineRule="exact"/>
              <w:jc w:val="left"/>
              <w:rPr>
                <w:rFonts w:ascii="方正书宋_GBK" w:eastAsia="方正书宋_GBK" w:cs="Times New Roman"/>
              </w:rPr>
            </w:pPr>
          </w:p>
        </w:tc>
        <w:tc>
          <w:tcPr>
            <w:tcW w:w="992"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left"/>
              <w:rPr>
                <w:rFonts w:ascii="方正书宋_GBK" w:eastAsia="方正书宋_GBK" w:cs="Times New Roman"/>
              </w:rPr>
            </w:pPr>
          </w:p>
        </w:tc>
        <w:tc>
          <w:tcPr>
            <w:tcW w:w="869"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92" w:type="dxa"/>
            <w:shd w:val="clear" w:color="auto" w:fill="auto"/>
            <w:vAlign w:val="center"/>
          </w:tcPr>
          <w:p>
            <w:pPr>
              <w:spacing w:line="300" w:lineRule="exact"/>
              <w:jc w:val="left"/>
              <w:rPr>
                <w:rFonts w:ascii="方正书宋_GBK" w:eastAsia="方正书宋_GBK" w:cs="Times New Roman"/>
              </w:rPr>
            </w:pPr>
          </w:p>
        </w:tc>
        <w:tc>
          <w:tcPr>
            <w:tcW w:w="992"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left"/>
              <w:rPr>
                <w:rFonts w:ascii="方正书宋_GBK" w:eastAsia="方正书宋_GBK" w:cs="Times New Roman"/>
              </w:rPr>
            </w:pPr>
          </w:p>
        </w:tc>
        <w:tc>
          <w:tcPr>
            <w:tcW w:w="869"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92" w:type="dxa"/>
            <w:shd w:val="clear" w:color="auto" w:fill="auto"/>
            <w:vAlign w:val="center"/>
          </w:tcPr>
          <w:p>
            <w:pPr>
              <w:spacing w:line="300" w:lineRule="exact"/>
              <w:jc w:val="left"/>
              <w:rPr>
                <w:rFonts w:ascii="方正书宋_GBK" w:eastAsia="方正书宋_GBK" w:cs="Times New Roman"/>
              </w:rPr>
            </w:pPr>
          </w:p>
        </w:tc>
        <w:tc>
          <w:tcPr>
            <w:tcW w:w="992"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left"/>
              <w:rPr>
                <w:rFonts w:ascii="方正书宋_GBK" w:eastAsia="方正书宋_GBK" w:cs="Times New Roman"/>
              </w:rPr>
            </w:pPr>
          </w:p>
        </w:tc>
        <w:tc>
          <w:tcPr>
            <w:tcW w:w="869"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92" w:type="dxa"/>
            <w:shd w:val="clear" w:color="auto" w:fill="auto"/>
            <w:vAlign w:val="center"/>
          </w:tcPr>
          <w:p>
            <w:pPr>
              <w:spacing w:line="300" w:lineRule="exact"/>
              <w:jc w:val="left"/>
              <w:rPr>
                <w:rFonts w:ascii="方正书宋_GBK" w:eastAsia="方正书宋_GBK" w:cs="Times New Roman"/>
              </w:rPr>
            </w:pPr>
          </w:p>
        </w:tc>
        <w:tc>
          <w:tcPr>
            <w:tcW w:w="992"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left"/>
              <w:rPr>
                <w:rFonts w:ascii="方正书宋_GBK" w:eastAsia="方正书宋_GBK" w:cs="Times New Roman"/>
              </w:rPr>
            </w:pPr>
          </w:p>
        </w:tc>
        <w:tc>
          <w:tcPr>
            <w:tcW w:w="869"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92" w:type="dxa"/>
            <w:shd w:val="clear" w:color="auto" w:fill="auto"/>
            <w:vAlign w:val="center"/>
          </w:tcPr>
          <w:p>
            <w:pPr>
              <w:spacing w:line="300" w:lineRule="exact"/>
              <w:jc w:val="left"/>
              <w:rPr>
                <w:rFonts w:ascii="方正书宋_GBK" w:eastAsia="方正书宋_GBK" w:cs="Times New Roman"/>
              </w:rPr>
            </w:pPr>
          </w:p>
        </w:tc>
        <w:tc>
          <w:tcPr>
            <w:tcW w:w="992"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left"/>
              <w:rPr>
                <w:rFonts w:ascii="方正书宋_GBK" w:eastAsia="方正书宋_GBK" w:cs="Times New Roman"/>
              </w:rPr>
            </w:pPr>
          </w:p>
        </w:tc>
        <w:tc>
          <w:tcPr>
            <w:tcW w:w="869"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92" w:type="dxa"/>
            <w:shd w:val="clear" w:color="auto" w:fill="auto"/>
            <w:vAlign w:val="center"/>
          </w:tcPr>
          <w:p>
            <w:pPr>
              <w:spacing w:line="300" w:lineRule="exact"/>
              <w:jc w:val="left"/>
              <w:rPr>
                <w:rFonts w:ascii="方正书宋_GBK" w:eastAsia="方正书宋_GBK" w:cs="Times New Roman"/>
              </w:rPr>
            </w:pPr>
          </w:p>
        </w:tc>
        <w:tc>
          <w:tcPr>
            <w:tcW w:w="992"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left"/>
              <w:rPr>
                <w:rFonts w:ascii="方正书宋_GBK" w:eastAsia="方正书宋_GBK" w:cs="Times New Roman"/>
              </w:rPr>
            </w:pPr>
          </w:p>
        </w:tc>
        <w:tc>
          <w:tcPr>
            <w:tcW w:w="869"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廊坊市</w:t>
      </w:r>
      <w:r>
        <w:rPr>
          <w:rFonts w:hint="eastAsia" w:ascii="Times New Roman" w:hAnsi="Times New Roman" w:eastAsia="仿宋_GB2312" w:cs="Times New Roman"/>
          <w:sz w:val="32"/>
          <w:szCs w:val="32"/>
        </w:rPr>
        <w:t>广阳区信访局</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rPr>
        <w:t>85.03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w:t>
      </w:r>
      <w:r>
        <w:rPr>
          <w:rFonts w:hint="eastAsia" w:ascii="Times New Roman" w:hAnsi="Times New Roman" w:eastAsia="仿宋_GB2312" w:cs="Times New Roman"/>
          <w:sz w:val="32"/>
          <w:szCs w:val="32"/>
        </w:rPr>
        <w:t>拟购置固定资产总额为0万元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廊坊市</w:t>
            </w:r>
            <w:r>
              <w:rPr>
                <w:rFonts w:hint="eastAsia" w:ascii="Times New Roman" w:hAnsi="Times New Roman" w:eastAsia="仿宋_GB2312" w:cs="Times New Roman"/>
                <w:b/>
                <w:bCs/>
                <w:kern w:val="0"/>
                <w:sz w:val="32"/>
                <w:szCs w:val="32"/>
              </w:rPr>
              <w:t>广阳区信访局部门</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编制部门：廊坊市</w:t>
            </w:r>
            <w:r>
              <w:rPr>
                <w:rFonts w:hint="eastAsia" w:ascii="Times New Roman" w:hAnsi="Times New Roman" w:eastAsia="仿宋_GB2312" w:cs="Times New Roman"/>
                <w:kern w:val="0"/>
                <w:sz w:val="22"/>
              </w:rPr>
              <w:t>广阳区信访局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20</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85.03</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28.68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hint="eastAsia" w:ascii="Times New Roman" w:hAnsi="Times New Roman" w:eastAsia="仿宋_GB2312" w:cs="Times New Roman"/>
                <w:sz w:val="22"/>
              </w:rPr>
              <w:t>56.35</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footerReference r:id="rId3" w:type="default"/>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6</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60C8AD"/>
    <w:multiLevelType w:val="singleLevel"/>
    <w:tmpl w:val="1F60C8AD"/>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7CC"/>
    <w:rsid w:val="00301F9F"/>
    <w:rsid w:val="00356683"/>
    <w:rsid w:val="004A54AA"/>
    <w:rsid w:val="00693981"/>
    <w:rsid w:val="006C0BE5"/>
    <w:rsid w:val="007A4B93"/>
    <w:rsid w:val="00807A76"/>
    <w:rsid w:val="008F0EB4"/>
    <w:rsid w:val="009262B2"/>
    <w:rsid w:val="00A218C6"/>
    <w:rsid w:val="00A82CDF"/>
    <w:rsid w:val="00B17B32"/>
    <w:rsid w:val="00B35938"/>
    <w:rsid w:val="00B80935"/>
    <w:rsid w:val="00D347CC"/>
    <w:rsid w:val="00E27CE3"/>
    <w:rsid w:val="00E96106"/>
    <w:rsid w:val="13506A6E"/>
    <w:rsid w:val="28011C06"/>
    <w:rsid w:val="2D6B653F"/>
    <w:rsid w:val="2F6545D9"/>
    <w:rsid w:val="31236774"/>
    <w:rsid w:val="39FF6C53"/>
    <w:rsid w:val="3AA13DE7"/>
    <w:rsid w:val="3D00688E"/>
    <w:rsid w:val="3E546FC7"/>
    <w:rsid w:val="3EF5102C"/>
    <w:rsid w:val="43614E7A"/>
    <w:rsid w:val="6744720C"/>
    <w:rsid w:val="6A471595"/>
    <w:rsid w:val="6A9F0F80"/>
    <w:rsid w:val="779D7F0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611</Words>
  <Characters>3487</Characters>
  <Lines>29</Lines>
  <Paragraphs>8</Paragraphs>
  <TotalTime>7</TotalTime>
  <ScaleCrop>false</ScaleCrop>
  <LinksUpToDate>false</LinksUpToDate>
  <CharactersWithSpaces>4090</CharactersWithSpaces>
  <Application>WPS Office_11.1.0.11339_F1E327BC-269C-435d-A152-05C5408002CA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lenovo</cp:lastModifiedBy>
  <cp:lastPrinted>2018-01-30T06:12:00Z</cp:lastPrinted>
  <dcterms:modified xsi:type="dcterms:W3CDTF">2022-07-08T03:31:17Z</dcterms:modified>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2052-11.1.0.11339</vt:lpwstr>
  </property>
  <property fmtid="{D5CDD505-2E9C-101B-9397-08002B2CF9AE}" pid="3" name="ICV">
    <vt:lpwstr>A10EB0EB0ECB44479D5D8C62B45AC468</vt:lpwstr>
  </property>
</Properties>
</file>