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b/>
          <w:bCs/>
          <w:color w:val="000000"/>
          <w:kern w:val="0"/>
          <w:sz w:val="44"/>
          <w:szCs w:val="44"/>
        </w:rPr>
      </w:pPr>
    </w:p>
    <w:p>
      <w:pPr>
        <w:widowControl/>
        <w:spacing w:line="360" w:lineRule="atLeast"/>
        <w:jc w:val="center"/>
        <w:rPr>
          <w:rFonts w:ascii="方正小标宋简体" w:eastAsia="方正小标宋简体" w:cs="宋体"/>
          <w:b/>
          <w:bCs/>
          <w:color w:val="000000"/>
          <w:kern w:val="0"/>
          <w:sz w:val="44"/>
          <w:szCs w:val="44"/>
        </w:rPr>
      </w:pPr>
      <w:bookmarkStart w:id="1" w:name="_GoBack"/>
      <w:r>
        <w:rPr>
          <w:rFonts w:hint="eastAsia" w:ascii="方正小标宋简体" w:eastAsia="方正小标宋简体" w:cs="宋体"/>
          <w:b/>
          <w:bCs/>
          <w:color w:val="000000"/>
          <w:kern w:val="0"/>
          <w:sz w:val="44"/>
          <w:szCs w:val="44"/>
        </w:rPr>
        <w:t>中国共产党廊坊市广阳区委员会党史研究室</w:t>
      </w:r>
    </w:p>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2021年部门预算信息公开情况说明</w:t>
      </w:r>
      <w:bookmarkEnd w:id="1"/>
    </w:p>
    <w:p>
      <w:pPr>
        <w:ind w:firstLine="640" w:firstLineChars="200"/>
        <w:rPr>
          <w:rFonts w:ascii="仿宋_GB2312" w:eastAsia="仿宋_GB2312"/>
          <w:sz w:val="32"/>
          <w:szCs w:val="32"/>
        </w:rPr>
      </w:pPr>
      <w:r>
        <w:rPr>
          <w:rFonts w:hint="eastAsia" w:ascii="仿宋_GB2312" w:eastAsia="仿宋_GB2312"/>
          <w:sz w:val="32"/>
          <w:szCs w:val="32"/>
        </w:rPr>
        <w:t>按照《中华人民共和国预算法》、《中华人民共和国预算法实施条例》、《地方预决算公开操作规程》和《河北省省级预算公开办法》规定，现将中国共产党</w:t>
      </w:r>
      <w:r>
        <w:rPr>
          <w:rFonts w:hint="eastAsia" w:ascii="仿宋_GB2312" w:eastAsia="仿宋_GB2312" w:cs="宋体"/>
          <w:color w:val="000000"/>
          <w:kern w:val="0"/>
          <w:sz w:val="32"/>
          <w:szCs w:val="32"/>
        </w:rPr>
        <w:t>廊坊市广阳区委员会党史研究室</w:t>
      </w:r>
      <w:r>
        <w:rPr>
          <w:rFonts w:hint="eastAsia" w:ascii="仿宋_GB2312" w:eastAsia="仿宋_GB2312"/>
          <w:sz w:val="32"/>
          <w:szCs w:val="32"/>
        </w:rPr>
        <w:t>2021年部门预算公开如下：</w:t>
      </w:r>
    </w:p>
    <w:p>
      <w:pPr>
        <w:widowControl/>
        <w:spacing w:line="360" w:lineRule="atLeast"/>
        <w:ind w:left="638" w:leftChars="304"/>
        <w:jc w:val="left"/>
        <w:rPr>
          <w:rFonts w:ascii="仿宋_GB2312" w:eastAsia="仿宋_GB2312" w:cs="宋体"/>
          <w:b/>
          <w:bCs/>
          <w:color w:val="000000"/>
          <w:kern w:val="0"/>
          <w:sz w:val="32"/>
          <w:szCs w:val="32"/>
        </w:rPr>
      </w:pPr>
      <w:r>
        <w:rPr>
          <w:rFonts w:hint="eastAsia" w:ascii="黑体" w:eastAsia="黑体" w:cs="宋体"/>
          <w:color w:val="000000"/>
          <w:kern w:val="0"/>
          <w:sz w:val="32"/>
          <w:szCs w:val="32"/>
        </w:rPr>
        <w:t>一、部门职责及机构设置情况</w:t>
      </w:r>
      <w:r>
        <w:rPr>
          <w:rFonts w:hint="eastAsia" w:ascii="黑体" w:eastAsia="黑体" w:cs="宋体"/>
          <w:color w:val="000000"/>
          <w:kern w:val="0"/>
          <w:sz w:val="32"/>
          <w:szCs w:val="32"/>
        </w:rPr>
        <w:br w:type="textWrapping"/>
      </w:r>
      <w:r>
        <w:rPr>
          <w:rFonts w:hint="eastAsia" w:ascii="楷体_GB2312" w:hAnsi="楷体_GB2312" w:eastAsia="楷体_GB2312" w:cs="楷体_GB2312"/>
          <w:b/>
          <w:bCs/>
          <w:color w:val="000000"/>
          <w:kern w:val="0"/>
          <w:sz w:val="32"/>
          <w:szCs w:val="32"/>
        </w:rPr>
        <w:t>部门职责：</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（一）通过各种渠道广泛征集党史资料，科学研究总结党领导广阳区人民共同革命、共同建设的历史经验，编纂党史资料书刊，编纂党的地方志、地方史、党史大事记及党史人物传纪。</w:t>
      </w:r>
    </w:p>
    <w:p>
      <w:pPr>
        <w:rPr>
          <w:rFonts w:ascii="仿宋_GB2312" w:eastAsia="仿宋_GB2312" w:cs="仿宋_GB2312"/>
          <w:sz w:val="32"/>
          <w:szCs w:val="32"/>
        </w:rPr>
      </w:pPr>
      <w:r>
        <w:rPr>
          <w:rFonts w:hint="eastAsia" w:ascii="仿宋_GB2312" w:eastAsia="仿宋_GB2312" w:cs="仿宋_GB2312"/>
          <w:sz w:val="32"/>
          <w:szCs w:val="32"/>
        </w:rPr>
        <w:t xml:space="preserve">    （二）围绕党的中心任务和工作大局开展党史专题研究，为党委和政府决策提供历史借鉴，为党委和政府处理历史遗留问题，提供依据咨询。</w:t>
      </w:r>
    </w:p>
    <w:p>
      <w:pPr>
        <w:spacing w:line="0" w:lineRule="atLeast"/>
        <w:rPr>
          <w:rFonts w:ascii="仿宋_GB2312" w:eastAsia="仿宋_GB2312" w:cs="仿宋_GB2312"/>
          <w:sz w:val="32"/>
          <w:szCs w:val="32"/>
        </w:rPr>
      </w:pPr>
      <w:r>
        <w:rPr>
          <w:rFonts w:hint="eastAsia" w:ascii="仿宋_GB2312" w:eastAsia="仿宋_GB2312" w:cs="仿宋_GB2312"/>
          <w:sz w:val="32"/>
          <w:szCs w:val="32"/>
        </w:rPr>
        <w:t xml:space="preserve">    （三）运用党史资料和编研成果对党员干部和广大群众进行党史宣传教育，为促进党的自身建设和社会主义精神文明建设服务，为培养合格干部服务。</w:t>
      </w:r>
    </w:p>
    <w:p>
      <w:pPr>
        <w:widowControl/>
        <w:spacing w:line="360" w:lineRule="atLeast"/>
        <w:ind w:firstLine="643" w:firstLineChars="200"/>
        <w:jc w:val="left"/>
        <w:rPr>
          <w:rFonts w:ascii="仿宋_GB2312" w:eastAsia="仿宋_GB2312" w:cs="宋体"/>
          <w:b/>
          <w:bCs/>
          <w:color w:val="000000"/>
          <w:kern w:val="0"/>
          <w:sz w:val="32"/>
          <w:szCs w:val="32"/>
        </w:rPr>
      </w:pPr>
      <w:r>
        <w:rPr>
          <w:rFonts w:hint="eastAsia" w:ascii="楷体_GB2312" w:hAnsi="楷体_GB2312" w:eastAsia="楷体_GB2312" w:cs="楷体_GB2312"/>
          <w:b/>
          <w:bCs/>
          <w:color w:val="000000"/>
          <w:kern w:val="0"/>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4"/>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56"/>
        <w:gridCol w:w="1321"/>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25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32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256" w:type="dxa"/>
            <w:vMerge w:val="continue"/>
            <w:shd w:val="clear" w:color="auto" w:fill="auto"/>
            <w:vAlign w:val="center"/>
          </w:tcPr>
          <w:p/>
        </w:tc>
        <w:tc>
          <w:tcPr>
            <w:tcW w:w="1321"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256" w:type="dxa"/>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rPr>
              <w:t>中国共产党廊坊市广阳区委员会党史研究室</w:t>
            </w:r>
          </w:p>
        </w:tc>
        <w:tc>
          <w:tcPr>
            <w:tcW w:w="1321"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rPr>
              <w:t>财政拨款</w:t>
            </w:r>
          </w:p>
        </w:tc>
      </w:tr>
    </w:tbl>
    <w:p>
      <w:pPr>
        <w:widowControl/>
        <w:spacing w:line="520" w:lineRule="exact"/>
        <w:ind w:firstLine="640" w:firstLineChars="200"/>
        <w:jc w:val="left"/>
        <w:rPr>
          <w:rFonts w:ascii="仿宋_GB2312" w:eastAsia="仿宋_GB2312" w:cs="仿宋_GB2312"/>
          <w:sz w:val="32"/>
          <w:szCs w:val="32"/>
        </w:rPr>
      </w:pPr>
    </w:p>
    <w:p>
      <w:pPr>
        <w:widowControl/>
        <w:spacing w:line="360" w:lineRule="atLeast"/>
        <w:ind w:left="638" w:leftChars="304"/>
        <w:rPr>
          <w:rFonts w:ascii="黑体" w:eastAsia="黑体" w:cs="宋体"/>
          <w:b/>
          <w:bCs/>
          <w:color w:val="000000"/>
          <w:kern w:val="0"/>
          <w:sz w:val="32"/>
          <w:szCs w:val="32"/>
        </w:rPr>
      </w:pPr>
      <w:r>
        <w:rPr>
          <w:rFonts w:hint="eastAsia" w:ascii="黑体" w:eastAsia="黑体" w:cs="宋体"/>
          <w:color w:val="000000"/>
          <w:kern w:val="0"/>
          <w:sz w:val="32"/>
          <w:szCs w:val="32"/>
        </w:rPr>
        <w:t>二、部门预算安排的总体情况</w:t>
      </w:r>
    </w:p>
    <w:p>
      <w:pPr>
        <w:widowControl/>
        <w:spacing w:line="360" w:lineRule="atLeast"/>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按照预算管理有关规定，目前我区部门预算的编制实行综合预算制度，即全部收入和支出都反映在预算中。中国共产党廊坊市广阳区委员会党史研究室机关及所属事业单位的收支包含在部门预算中。</w:t>
      </w:r>
    </w:p>
    <w:p>
      <w:pPr>
        <w:widowControl/>
        <w:spacing w:line="360" w:lineRule="atLeas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360" w:lineRule="atLeas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反映本部门当年全部收入。2021年预算收入95.73万元，其中：一般公共预算收入95.73万元。基金预算收入0万元，财政专户核拨收入0万元，其他来源收入0万元，上年结转0万元。</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w:t>
      </w:r>
      <w:r>
        <w:rPr>
          <w:rFonts w:hint="eastAsia" w:ascii="仿宋_GB2312" w:eastAsia="仿宋_GB2312" w:cs="宋体"/>
          <w:color w:val="000000"/>
          <w:kern w:val="0"/>
          <w:sz w:val="32"/>
          <w:szCs w:val="32"/>
        </w:rPr>
        <w:t>中国共产党廊坊市广阳区委员会党史研究室2021</w:t>
      </w:r>
      <w:r>
        <w:rPr>
          <w:rFonts w:ascii="仿宋_GB2312" w:eastAsia="仿宋_GB2312" w:cs="宋体"/>
          <w:color w:val="000000"/>
          <w:kern w:val="0"/>
          <w:sz w:val="32"/>
          <w:szCs w:val="32"/>
        </w:rPr>
        <w:t>年度部门预算中支出预算的总体情况。20</w:t>
      </w:r>
      <w:r>
        <w:rPr>
          <w:rFonts w:hint="eastAsia" w:ascii="仿宋_GB2312" w:eastAsia="仿宋_GB2312" w:cs="宋体"/>
          <w:color w:val="000000"/>
          <w:kern w:val="0"/>
          <w:sz w:val="32"/>
          <w:szCs w:val="32"/>
        </w:rPr>
        <w:t>21</w:t>
      </w:r>
      <w:r>
        <w:rPr>
          <w:rFonts w:ascii="仿宋_GB2312" w:eastAsia="仿宋_GB2312" w:cs="宋体"/>
          <w:color w:val="000000"/>
          <w:kern w:val="0"/>
          <w:sz w:val="32"/>
          <w:szCs w:val="32"/>
        </w:rPr>
        <w:t>年支出预算</w:t>
      </w:r>
      <w:r>
        <w:rPr>
          <w:rFonts w:hint="eastAsia" w:ascii="仿宋_GB2312" w:eastAsia="仿宋_GB2312" w:cs="宋体"/>
          <w:color w:val="000000"/>
          <w:kern w:val="0"/>
          <w:sz w:val="32"/>
          <w:szCs w:val="32"/>
        </w:rPr>
        <w:t>95.73</w:t>
      </w:r>
      <w:r>
        <w:rPr>
          <w:rFonts w:ascii="仿宋_GB2312" w:eastAsia="仿宋_GB2312" w:cs="宋体"/>
          <w:color w:val="000000"/>
          <w:kern w:val="0"/>
          <w:sz w:val="32"/>
          <w:szCs w:val="32"/>
        </w:rPr>
        <w:t>万元，其中基本支出</w:t>
      </w:r>
      <w:r>
        <w:rPr>
          <w:rFonts w:hint="eastAsia" w:ascii="仿宋_GB2312" w:eastAsia="仿宋_GB2312" w:cs="宋体"/>
          <w:color w:val="000000"/>
          <w:kern w:val="0"/>
          <w:sz w:val="32"/>
          <w:szCs w:val="32"/>
        </w:rPr>
        <w:t>95.73</w:t>
      </w:r>
      <w:r>
        <w:rPr>
          <w:rFonts w:ascii="仿宋_GB2312" w:eastAsia="仿宋_GB2312" w:cs="宋体"/>
          <w:color w:val="000000"/>
          <w:kern w:val="0"/>
          <w:sz w:val="32"/>
          <w:szCs w:val="32"/>
        </w:rPr>
        <w:t>万元，包括人员</w:t>
      </w:r>
      <w:r>
        <w:rPr>
          <w:rFonts w:hint="eastAsia" w:ascii="仿宋_GB2312" w:eastAsia="仿宋_GB2312" w:cs="宋体"/>
          <w:color w:val="000000"/>
          <w:kern w:val="0"/>
          <w:sz w:val="32"/>
          <w:szCs w:val="32"/>
        </w:rPr>
        <w:t>类项目</w:t>
      </w:r>
      <w:r>
        <w:rPr>
          <w:rFonts w:ascii="仿宋_GB2312" w:eastAsia="仿宋_GB2312" w:cs="宋体"/>
          <w:color w:val="000000"/>
          <w:kern w:val="0"/>
          <w:sz w:val="32"/>
          <w:szCs w:val="32"/>
        </w:rPr>
        <w:t>经费</w:t>
      </w:r>
      <w:r>
        <w:rPr>
          <w:rFonts w:hint="eastAsia" w:ascii="仿宋_GB2312" w:eastAsia="仿宋_GB2312" w:cs="宋体"/>
          <w:color w:val="000000"/>
          <w:kern w:val="0"/>
          <w:sz w:val="32"/>
          <w:szCs w:val="32"/>
        </w:rPr>
        <w:t>86.18万元</w:t>
      </w:r>
      <w:r>
        <w:rPr>
          <w:rFonts w:ascii="仿宋_GB2312" w:eastAsia="仿宋_GB2312" w:cs="宋体"/>
          <w:color w:val="000000"/>
          <w:kern w:val="0"/>
          <w:sz w:val="32"/>
          <w:szCs w:val="32"/>
        </w:rPr>
        <w:t>和</w:t>
      </w:r>
      <w:r>
        <w:rPr>
          <w:rFonts w:hint="eastAsia" w:ascii="仿宋_GB2312" w:eastAsia="仿宋_GB2312" w:cs="宋体"/>
          <w:color w:val="000000"/>
          <w:kern w:val="0"/>
          <w:sz w:val="32"/>
          <w:szCs w:val="32"/>
        </w:rPr>
        <w:t>运转类公用项目经费9.55万元。</w:t>
      </w:r>
    </w:p>
    <w:p>
      <w:pPr>
        <w:widowControl/>
        <w:spacing w:line="360" w:lineRule="atLeas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360" w:lineRule="atLeas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2021年预算收支安排95.73万元，较2020年预算减少2.44万元，其中：基本支出减少2.44万元，主要为人员经费支出。</w:t>
      </w:r>
      <w:r>
        <w:rPr>
          <w:rFonts w:hint="eastAsia" w:ascii="仿宋_GB2312" w:eastAsia="仿宋_GB2312" w:cs="宋体"/>
          <w:color w:val="000000"/>
          <w:kern w:val="0"/>
          <w:sz w:val="32"/>
          <w:szCs w:val="32"/>
        </w:rPr>
        <w:br w:type="textWrapping"/>
      </w:r>
      <w:r>
        <w:rPr>
          <w:rFonts w:hint="eastAsia" w:ascii="黑体" w:hAnsi="黑体" w:eastAsia="黑体" w:cs="黑体"/>
          <w:color w:val="000000"/>
          <w:kern w:val="0"/>
          <w:sz w:val="32"/>
          <w:szCs w:val="32"/>
        </w:rPr>
        <w:t>三、</w:t>
      </w:r>
      <w:r>
        <w:rPr>
          <w:rFonts w:hint="eastAsia" w:ascii="黑体" w:eastAsia="黑体" w:cs="宋体"/>
          <w:color w:val="000000"/>
          <w:kern w:val="0"/>
          <w:sz w:val="32"/>
          <w:szCs w:val="32"/>
        </w:rPr>
        <w:t>机关运行经费安排情况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2021年，我局机关运行经费共计安排0.39万元，主要用于中国共产党廊坊市广阳区委员会党史研究室办公区的日常维修、办公用房水电费、办公用房取暖费、办公用房物业管理费等日常运行支出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360" w:lineRule="atLeast"/>
        <w:ind w:left="638" w:leftChars="304"/>
        <w:jc w:val="left"/>
        <w:rPr>
          <w:rFonts w:ascii="黑体" w:eastAsia="黑体" w:cs="宋体"/>
          <w:color w:val="000000"/>
          <w:kern w:val="0"/>
          <w:sz w:val="32"/>
          <w:szCs w:val="32"/>
        </w:rPr>
      </w:pPr>
      <w:r>
        <w:rPr>
          <w:rFonts w:hint="eastAsia" w:ascii="黑体" w:eastAsia="黑体" w:cs="宋体"/>
          <w:color w:val="000000"/>
          <w:kern w:val="0"/>
          <w:sz w:val="32"/>
          <w:szCs w:val="32"/>
        </w:rPr>
        <w:t>四、财政拨款“三公”经费预算情况及增减变化原因</w:t>
      </w:r>
    </w:p>
    <w:p>
      <w:pPr>
        <w:spacing w:line="584" w:lineRule="exact"/>
        <w:ind w:firstLine="640" w:firstLineChars="200"/>
        <w:rPr>
          <w:rFonts w:ascii="Times New Roman" w:hAnsi="Times New Roman" w:eastAsia="黑体" w:cs="Times New Roman"/>
          <w:sz w:val="32"/>
          <w:szCs w:val="32"/>
        </w:rPr>
      </w:pPr>
      <w:r>
        <w:rPr>
          <w:rFonts w:hint="eastAsia" w:ascii="仿宋_GB2312" w:eastAsia="仿宋_GB2312" w:cs="宋体"/>
          <w:color w:val="000000"/>
          <w:kern w:val="0"/>
          <w:sz w:val="32"/>
          <w:szCs w:val="32"/>
        </w:rPr>
        <w:t>2021年，我局财政拨款“三公”经费预算安排2.19万元；其中，因公出国（境）费0万元；公务用车购置及运维费2.19万元（其中：公务用车购置费为0万元，公务用车运维费为2.19万元)。与2020年相比持平，无增减变化。</w:t>
      </w:r>
      <w:r>
        <w:rPr>
          <w:rFonts w:hint="eastAsia" w:ascii="仿宋_GB2312" w:eastAsia="仿宋_GB2312" w:cs="宋体"/>
          <w:color w:val="000000"/>
          <w:kern w:val="0"/>
          <w:sz w:val="32"/>
          <w:szCs w:val="32"/>
        </w:rPr>
        <w:br w:type="textWrapping"/>
      </w:r>
      <w:r>
        <w:rPr>
          <w:rFonts w:hint="eastAsia" w:ascii="黑体" w:hAnsi="黑体" w:eastAsia="黑体" w:cs="黑体"/>
          <w:color w:val="000000"/>
          <w:kern w:val="0"/>
          <w:sz w:val="32"/>
          <w:szCs w:val="32"/>
        </w:rPr>
        <w:t>五、</w:t>
      </w:r>
      <w:r>
        <w:rPr>
          <w:rFonts w:hint="eastAsia" w:ascii="黑体" w:eastAsia="黑体" w:cs="宋体"/>
          <w:color w:val="000000"/>
          <w:kern w:val="0"/>
          <w:sz w:val="32"/>
          <w:szCs w:val="32"/>
        </w:rPr>
        <w:t>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tabs>
          <w:tab w:val="left" w:pos="2310"/>
        </w:tabs>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研究记录本地历史，总结历史经验，为党的建设和区委决策提供历史借鉴，充分发挥党史资政育人的作用，为全区改革开放和现代化建设的大局服务。完成区委交办的其他工作任务。</w:t>
      </w:r>
    </w:p>
    <w:p>
      <w:pPr>
        <w:spacing w:line="56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1.以史鉴今、资政育人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绩效目标：收集、整理、分析2020年度全区重大事记、配合上级做好《中共河北年鉴》《中共廊坊年鉴》的编辑工作。为区委、区政府做出决策提供借鉴，为地方史的出版积累资料。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2.扩大党史工作宣教</w:t>
      </w:r>
    </w:p>
    <w:p>
      <w:pPr>
        <w:spacing w:line="560" w:lineRule="exact"/>
        <w:ind w:firstLine="640" w:firstLineChars="200"/>
        <w:jc w:val="left"/>
        <w:rPr>
          <w:rFonts w:ascii="Times New Roman" w:eastAsia="方正仿宋_GBK"/>
          <w:sz w:val="28"/>
        </w:rPr>
      </w:pPr>
      <w:r>
        <w:rPr>
          <w:rFonts w:hint="eastAsia" w:ascii="仿宋_GB2312" w:hAnsi="仿宋_GB2312" w:eastAsia="仿宋_GB2312" w:cs="仿宋_GB2312"/>
          <w:sz w:val="32"/>
          <w:szCs w:val="32"/>
        </w:rPr>
        <w:t>绩效目标：传承红色基因，交流党史文化，进一步做好党史、国史、社会主义发展史的宣传工作。</w:t>
      </w:r>
    </w:p>
    <w:p>
      <w:pPr>
        <w:spacing w:line="56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完善制度建设。制定了《中国共产党廊坊市广阳区委员会党史研究室预算绩效管理暂行办法》，规范了绩效目标的管理、绩效运行监控、绩效评价、工作程序、结果应用、保障措施等，压实工作责任，为工作开展提供制度保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2.加强支出管理。实施台账化管理，将全年工作与预算执行相结合，细化各项工作的资金安排，确保支出进度达标。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3.加强绩效运行监控。按照预算绩效管理制度安排，严格开展绩效运行监控。实行每周一碰头，每月一通报，发现问题及时采取措施，确保绩效目标如期保质实现。</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4.做好绩效自评。按要求认真细化开展上年度部门预算绩效自评和重点评价工作。对发现的所有问题建立责任清单，及时对照整改。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5.规范财务资产管理。严格执行各项财务工作制度，规范资金支出审批程序，加强固定资产登记、使用和报废处置管理，做到支出合理，物尽其用。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6.加强内部监督。加强内部监督制度建设，加强对绩效运行情况、重大支出决策、资产处置及其他重要经济业务事项的决策和执行进行督导，对会计资料进行内部审计，确保财政资金安全有效。</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4"/>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85"/>
        <w:gridCol w:w="1125"/>
        <w:gridCol w:w="1349"/>
        <w:gridCol w:w="825"/>
        <w:gridCol w:w="2830"/>
        <w:gridCol w:w="543"/>
        <w:gridCol w:w="488"/>
        <w:gridCol w:w="816"/>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68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1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349"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2830"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847"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034"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685" w:type="dxa"/>
            <w:vMerge w:val="continue"/>
            <w:tcBorders>
              <w:tl2br w:val="nil"/>
              <w:tr2bl w:val="nil"/>
            </w:tcBorders>
            <w:vAlign w:val="center"/>
          </w:tcPr>
          <w:p/>
        </w:tc>
        <w:tc>
          <w:tcPr>
            <w:tcW w:w="1125" w:type="dxa"/>
            <w:vMerge w:val="continue"/>
            <w:tcBorders>
              <w:tl2br w:val="nil"/>
              <w:tr2bl w:val="nil"/>
            </w:tcBorders>
            <w:vAlign w:val="center"/>
          </w:tcPr>
          <w:p/>
        </w:tc>
        <w:tc>
          <w:tcPr>
            <w:tcW w:w="1349" w:type="dxa"/>
            <w:vMerge w:val="continue"/>
            <w:tcBorders>
              <w:tl2br w:val="nil"/>
              <w:tr2bl w:val="nil"/>
            </w:tcBorders>
            <w:vAlign w:val="center"/>
          </w:tcPr>
          <w:p/>
        </w:tc>
        <w:tc>
          <w:tcPr>
            <w:tcW w:w="825" w:type="dxa"/>
            <w:vMerge w:val="continue"/>
            <w:tcBorders>
              <w:tl2br w:val="nil"/>
              <w:tr2bl w:val="nil"/>
            </w:tcBorders>
            <w:vAlign w:val="center"/>
          </w:tcPr>
          <w:p/>
        </w:tc>
        <w:tc>
          <w:tcPr>
            <w:tcW w:w="2830"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816"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034"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85"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产出</w:t>
            </w:r>
          </w:p>
        </w:tc>
        <w:tc>
          <w:tcPr>
            <w:tcW w:w="11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134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完成率</w:t>
            </w:r>
          </w:p>
        </w:tc>
        <w:tc>
          <w:tcPr>
            <w:tcW w:w="825" w:type="dxa"/>
            <w:tcBorders>
              <w:tl2br w:val="nil"/>
              <w:tr2bl w:val="nil"/>
            </w:tcBorders>
            <w:vAlign w:val="center"/>
          </w:tcPr>
          <w:p>
            <w:pPr>
              <w:widowControl/>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20分</w:t>
            </w:r>
          </w:p>
        </w:tc>
        <w:tc>
          <w:tcPr>
            <w:tcW w:w="283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开展建党一百周年纪念活动</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开展</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开展</w:t>
            </w:r>
          </w:p>
        </w:tc>
        <w:tc>
          <w:tcPr>
            <w:tcW w:w="81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开展</w:t>
            </w:r>
          </w:p>
        </w:tc>
        <w:tc>
          <w:tcPr>
            <w:tcW w:w="10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85" w:type="dxa"/>
            <w:vMerge w:val="continue"/>
            <w:tcBorders>
              <w:tl2br w:val="nil"/>
              <w:tr2bl w:val="nil"/>
            </w:tcBorders>
            <w:vAlign w:val="center"/>
          </w:tcPr>
          <w:p>
            <w:pPr>
              <w:jc w:val="center"/>
              <w:rPr>
                <w:rFonts w:ascii="仿宋_GB2312" w:hAnsi="仿宋_GB2312" w:eastAsia="仿宋_GB2312" w:cs="仿宋_GB2312"/>
              </w:rPr>
            </w:pPr>
          </w:p>
        </w:tc>
        <w:tc>
          <w:tcPr>
            <w:tcW w:w="11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134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合格率</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10分</w:t>
            </w:r>
          </w:p>
        </w:tc>
        <w:tc>
          <w:tcPr>
            <w:tcW w:w="283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完成2020年党史资料的征集、汇总、分析工作</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100%</w:t>
            </w:r>
          </w:p>
        </w:tc>
        <w:tc>
          <w:tcPr>
            <w:tcW w:w="81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年</w:t>
            </w:r>
          </w:p>
        </w:tc>
        <w:tc>
          <w:tcPr>
            <w:tcW w:w="10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685" w:type="dxa"/>
            <w:vMerge w:val="continue"/>
            <w:tcBorders>
              <w:tl2br w:val="nil"/>
              <w:tr2bl w:val="nil"/>
            </w:tcBorders>
            <w:vAlign w:val="center"/>
          </w:tcPr>
          <w:p>
            <w:pPr>
              <w:jc w:val="center"/>
              <w:rPr>
                <w:rFonts w:ascii="仿宋_GB2312" w:hAnsi="仿宋_GB2312" w:eastAsia="仿宋_GB2312" w:cs="仿宋_GB2312"/>
              </w:rPr>
            </w:pPr>
          </w:p>
        </w:tc>
        <w:tc>
          <w:tcPr>
            <w:tcW w:w="11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134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资金发放完成时间</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10分</w:t>
            </w:r>
          </w:p>
        </w:tc>
        <w:tc>
          <w:tcPr>
            <w:tcW w:w="283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规定时间内完成各项资金发放</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12</w:t>
            </w:r>
          </w:p>
        </w:tc>
        <w:tc>
          <w:tcPr>
            <w:tcW w:w="81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月</w:t>
            </w:r>
          </w:p>
        </w:tc>
        <w:tc>
          <w:tcPr>
            <w:tcW w:w="10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85" w:type="dxa"/>
            <w:vMerge w:val="continue"/>
            <w:tcBorders>
              <w:tl2br w:val="nil"/>
              <w:tr2bl w:val="nil"/>
            </w:tcBorders>
            <w:vAlign w:val="center"/>
          </w:tcPr>
          <w:p>
            <w:pPr>
              <w:jc w:val="center"/>
              <w:rPr>
                <w:rFonts w:ascii="仿宋_GB2312" w:hAnsi="仿宋_GB2312" w:eastAsia="仿宋_GB2312" w:cs="仿宋_GB2312"/>
              </w:rPr>
            </w:pPr>
          </w:p>
        </w:tc>
        <w:tc>
          <w:tcPr>
            <w:tcW w:w="11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成本</w:t>
            </w:r>
          </w:p>
        </w:tc>
        <w:tc>
          <w:tcPr>
            <w:tcW w:w="134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控制成本</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20分</w:t>
            </w:r>
          </w:p>
        </w:tc>
        <w:tc>
          <w:tcPr>
            <w:tcW w:w="283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按照年初预算安排控制各项工作成本</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16"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0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按照年初各项工作预算安排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85"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w:t>
            </w:r>
          </w:p>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效果</w:t>
            </w:r>
          </w:p>
        </w:tc>
        <w:tc>
          <w:tcPr>
            <w:tcW w:w="11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134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社会影响</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10分</w:t>
            </w:r>
          </w:p>
        </w:tc>
        <w:tc>
          <w:tcPr>
            <w:tcW w:w="283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在全区营造学习党史的良好氛围</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1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稳步有序提升</w:t>
            </w:r>
          </w:p>
        </w:tc>
        <w:tc>
          <w:tcPr>
            <w:tcW w:w="10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85" w:type="dxa"/>
            <w:vMerge w:val="continue"/>
            <w:tcBorders>
              <w:tl2br w:val="nil"/>
              <w:tr2bl w:val="nil"/>
            </w:tcBorders>
            <w:vAlign w:val="center"/>
          </w:tcPr>
          <w:p>
            <w:pPr>
              <w:jc w:val="center"/>
              <w:rPr>
                <w:rFonts w:ascii="仿宋_GB2312" w:hAnsi="仿宋_GB2312" w:eastAsia="仿宋_GB2312" w:cs="仿宋_GB2312"/>
              </w:rPr>
            </w:pPr>
          </w:p>
        </w:tc>
        <w:tc>
          <w:tcPr>
            <w:tcW w:w="11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经济</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1349"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2830"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16"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034"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84" w:hRule="atLeast"/>
          <w:jc w:val="center"/>
        </w:trPr>
        <w:tc>
          <w:tcPr>
            <w:tcW w:w="685" w:type="dxa"/>
            <w:vMerge w:val="continue"/>
            <w:tcBorders>
              <w:tl2br w:val="nil"/>
              <w:tr2bl w:val="nil"/>
            </w:tcBorders>
            <w:vAlign w:val="center"/>
          </w:tcPr>
          <w:p>
            <w:pPr>
              <w:jc w:val="center"/>
              <w:rPr>
                <w:rFonts w:ascii="仿宋_GB2312" w:hAnsi="仿宋_GB2312" w:eastAsia="仿宋_GB2312" w:cs="仿宋_GB2312"/>
              </w:rPr>
            </w:pPr>
          </w:p>
        </w:tc>
        <w:tc>
          <w:tcPr>
            <w:tcW w:w="11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生态</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1349"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2830"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16"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034"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685" w:type="dxa"/>
            <w:vMerge w:val="continue"/>
            <w:tcBorders>
              <w:tl2br w:val="nil"/>
              <w:tr2bl w:val="nil"/>
            </w:tcBorders>
            <w:vAlign w:val="center"/>
          </w:tcPr>
          <w:p>
            <w:pPr>
              <w:jc w:val="center"/>
              <w:rPr>
                <w:rFonts w:ascii="仿宋_GB2312" w:hAnsi="仿宋_GB2312" w:eastAsia="仿宋_GB2312" w:cs="仿宋_GB2312"/>
              </w:rPr>
            </w:pPr>
          </w:p>
        </w:tc>
        <w:tc>
          <w:tcPr>
            <w:tcW w:w="1125"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1349"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长期使用性</w:t>
            </w:r>
          </w:p>
        </w:tc>
        <w:tc>
          <w:tcPr>
            <w:tcW w:w="825"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10分</w:t>
            </w:r>
          </w:p>
        </w:tc>
        <w:tc>
          <w:tcPr>
            <w:tcW w:w="2830"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强化党史工作资政作用，为区委、区政府的科学决策作贡献。</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1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稳步有序提升</w:t>
            </w:r>
          </w:p>
        </w:tc>
        <w:tc>
          <w:tcPr>
            <w:tcW w:w="10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685" w:type="dxa"/>
            <w:vMerge w:val="continue"/>
            <w:tcBorders>
              <w:tl2br w:val="nil"/>
              <w:tr2bl w:val="nil"/>
            </w:tcBorders>
            <w:vAlign w:val="center"/>
          </w:tcPr>
          <w:p>
            <w:pPr>
              <w:jc w:val="center"/>
              <w:rPr>
                <w:rFonts w:ascii="仿宋_GB2312" w:hAnsi="仿宋_GB2312" w:eastAsia="仿宋_GB2312" w:cs="仿宋_GB2312"/>
              </w:rPr>
            </w:pPr>
          </w:p>
        </w:tc>
        <w:tc>
          <w:tcPr>
            <w:tcW w:w="11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满意度</w:t>
            </w:r>
          </w:p>
        </w:tc>
        <w:tc>
          <w:tcPr>
            <w:tcW w:w="1349"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825"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20分</w:t>
            </w:r>
          </w:p>
        </w:tc>
        <w:tc>
          <w:tcPr>
            <w:tcW w:w="2830"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进一步提升党史干部素质，争做让群众满意、让党放心的干部。</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81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0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按照工作计划</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年，我部门安排政府采购预算0万元。具体内容见下表。</w:t>
      </w:r>
    </w:p>
    <w:p>
      <w:pPr>
        <w:jc w:val="center"/>
        <w:outlineLvl w:val="1"/>
        <w:rPr>
          <w:rFonts w:ascii="黑体" w:hAnsi="黑体" w:eastAsia="黑体" w:cs="黑体"/>
          <w:b/>
          <w:sz w:val="32"/>
          <w:szCs w:val="24"/>
        </w:rPr>
      </w:pPr>
      <w:bookmarkStart w:id="0" w:name="_Toc64920910"/>
      <w:r>
        <w:rPr>
          <w:rFonts w:hint="eastAsia" w:ascii="方正小标宋简体" w:hAnsi="方正小标宋简体" w:eastAsia="方正小标宋简体" w:cs="方正小标宋简体"/>
          <w:bCs/>
          <w:sz w:val="32"/>
          <w:szCs w:val="24"/>
        </w:rPr>
        <w:t>部门政府采购预算</w:t>
      </w:r>
      <w:bookmarkEnd w:id="0"/>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[260016]中国共产党廊坊市广阳区委员会党史研究室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中国共产党廊坊市广阳区委员会党史研究室（含所属单位）</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29.0976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4"/>
        <w:tblW w:w="13325" w:type="dxa"/>
        <w:tblInd w:w="93" w:type="dxa"/>
        <w:tblLayout w:type="autofit"/>
        <w:tblCellMar>
          <w:top w:w="0" w:type="dxa"/>
          <w:left w:w="108" w:type="dxa"/>
          <w:bottom w:w="0" w:type="dxa"/>
          <w:right w:w="108" w:type="dxa"/>
        </w:tblCellMar>
      </w:tblPr>
      <w:tblGrid>
        <w:gridCol w:w="5177"/>
        <w:gridCol w:w="3127"/>
        <w:gridCol w:w="5057"/>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中国共产党廊坊市广阳区委员会党史研究室部门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中国共产党廊坊市广阳区委员会党史研究室</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29.0976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6.2176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仿宋_GB2312" w:eastAsia="仿宋_GB2312" w:cs="宋体"/>
          <w:color w:val="000000"/>
          <w:kern w:val="0"/>
          <w:sz w:val="32"/>
          <w:szCs w:val="32"/>
        </w:rPr>
      </w:pPr>
      <w:r>
        <w:rPr>
          <w:rFonts w:ascii="Times New Roman" w:hAnsi="Times New Roman" w:eastAsia="仿宋_GB2312" w:cs="Times New Roman"/>
          <w:sz w:val="32"/>
          <w:szCs w:val="32"/>
        </w:rPr>
        <w:t>我部门无其他需要说明的事项。</w:t>
      </w:r>
    </w:p>
    <w:p>
      <w:pPr>
        <w:rPr>
          <w:rFonts w:eastAsia="仿宋_GB2312"/>
          <w:sz w:val="32"/>
          <w:szCs w:val="32"/>
        </w:rPr>
      </w:pPr>
    </w:p>
    <w:sectPr>
      <w:headerReference r:id="rId3" w:type="default"/>
      <w:footerReference r:id="rId4" w:type="default"/>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2"/>
    <w:rsid w:val="002236BE"/>
    <w:rsid w:val="003756B0"/>
    <w:rsid w:val="00596352"/>
    <w:rsid w:val="006240BB"/>
    <w:rsid w:val="007F34C0"/>
    <w:rsid w:val="00D677CC"/>
    <w:rsid w:val="00E91576"/>
    <w:rsid w:val="04900E60"/>
    <w:rsid w:val="05EE1511"/>
    <w:rsid w:val="06CC6E26"/>
    <w:rsid w:val="1479663D"/>
    <w:rsid w:val="17B41E1B"/>
    <w:rsid w:val="191F6207"/>
    <w:rsid w:val="211A0697"/>
    <w:rsid w:val="234F6B3D"/>
    <w:rsid w:val="250648C6"/>
    <w:rsid w:val="263323DC"/>
    <w:rsid w:val="295B6B0D"/>
    <w:rsid w:val="35110B6B"/>
    <w:rsid w:val="3A2C65FC"/>
    <w:rsid w:val="3F1E562D"/>
    <w:rsid w:val="470213C2"/>
    <w:rsid w:val="4A604755"/>
    <w:rsid w:val="4D6E406A"/>
    <w:rsid w:val="50820650"/>
    <w:rsid w:val="50EF4DF0"/>
    <w:rsid w:val="5A494980"/>
    <w:rsid w:val="5E3B28CE"/>
    <w:rsid w:val="61BC6927"/>
    <w:rsid w:val="62674BCA"/>
    <w:rsid w:val="65BD7DD5"/>
    <w:rsid w:val="67FC0B58"/>
    <w:rsid w:val="68B00A4F"/>
    <w:rsid w:val="6B8E53E1"/>
    <w:rsid w:val="6C740414"/>
    <w:rsid w:val="6FF350C2"/>
    <w:rsid w:val="71FA68DD"/>
    <w:rsid w:val="75A94CAC"/>
    <w:rsid w:val="77A7701E"/>
    <w:rsid w:val="78F917DB"/>
    <w:rsid w:val="7E046A1D"/>
    <w:rsid w:val="7E410B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536</Words>
  <Characters>3057</Characters>
  <Lines>25</Lines>
  <Paragraphs>7</Paragraphs>
  <TotalTime>160</TotalTime>
  <ScaleCrop>false</ScaleCrop>
  <LinksUpToDate>false</LinksUpToDate>
  <CharactersWithSpaces>3586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lenovo</cp:lastModifiedBy>
  <dcterms:modified xsi:type="dcterms:W3CDTF">2022-07-08T07:12:41Z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536CE4B65FAF49ED907482CAFBFAD82D</vt:lpwstr>
  </property>
</Properties>
</file>