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第三中学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按照《中华人民共和国预算法》、《中华人民共和国预算法实施条例》、《地方预决算公开操作规程》和《河北省省级预算公开办法》规定，现将廊坊市第三中学20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廊坊市第三中学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973" w:type="dxa"/>
            <w:shd w:val="clear" w:color="auto" w:fill="auto"/>
            <w:vAlign w:val="center"/>
          </w:tcPr>
          <w:p>
            <w:pPr>
              <w:spacing w:line="584" w:lineRule="exact"/>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副科级</w:t>
            </w:r>
          </w:p>
        </w:tc>
        <w:tc>
          <w:tcPr>
            <w:tcW w:w="3205"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部门预算的编制实行综合预算制度，即全部收入和支出都反映在预算中。廊坊市第三中学的收支包含在部门预算中。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3443.02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3443.02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第三中学2021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3443.02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3289.31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3248.11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41.20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153.71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3443.02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76.28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61.51</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137.79</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41.20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27" w:firstLineChars="196"/>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left="0" w:leftChars="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廊坊市第三中学坚持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spacing w:line="584" w:lineRule="exact"/>
        <w:ind w:firstLine="640"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W w:w="15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973"/>
        <w:gridCol w:w="2127"/>
        <w:gridCol w:w="2001"/>
        <w:gridCol w:w="2835"/>
        <w:gridCol w:w="1559"/>
        <w:gridCol w:w="1560"/>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1123" w:type="dxa"/>
            <w:vMerge w:val="restart"/>
            <w:vAlign w:val="center"/>
          </w:tcPr>
          <w:p>
            <w:pPr>
              <w:rPr>
                <w:rFonts w:ascii="宋体" w:hAnsi="宋体"/>
                <w:sz w:val="24"/>
                <w:szCs w:val="24"/>
              </w:rPr>
            </w:pPr>
            <w:r>
              <w:rPr>
                <w:rFonts w:hint="eastAsia" w:ascii="宋体" w:hAnsi="宋体"/>
                <w:b/>
                <w:sz w:val="24"/>
                <w:szCs w:val="24"/>
              </w:rPr>
              <w:t>一级指标</w:t>
            </w: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b/>
                <w:sz w:val="24"/>
                <w:szCs w:val="24"/>
              </w:rPr>
              <w:t>二级指标</w:t>
            </w:r>
          </w:p>
        </w:tc>
        <w:tc>
          <w:tcPr>
            <w:tcW w:w="2127"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三级指标</w:t>
            </w:r>
          </w:p>
        </w:tc>
        <w:tc>
          <w:tcPr>
            <w:tcW w:w="2001" w:type="dxa"/>
            <w:vMerge w:val="restart"/>
            <w:vAlign w:val="center"/>
          </w:tcPr>
          <w:p>
            <w:pPr>
              <w:widowControl/>
              <w:spacing w:line="300" w:lineRule="exact"/>
              <w:jc w:val="center"/>
              <w:textAlignment w:val="center"/>
              <w:rPr>
                <w:rFonts w:asciiTheme="minorEastAsia" w:hAnsiTheme="minorEastAsia" w:eastAsiaTheme="minorEastAsia"/>
                <w:b/>
                <w:sz w:val="24"/>
                <w:szCs w:val="24"/>
              </w:rPr>
            </w:pPr>
            <w:r>
              <w:rPr>
                <w:rFonts w:ascii="宋体" w:hAnsi="宋体"/>
                <w:b/>
                <w:sz w:val="24"/>
                <w:szCs w:val="24"/>
              </w:rPr>
              <w:t>评（扣）分标准</w:t>
            </w:r>
          </w:p>
        </w:tc>
        <w:tc>
          <w:tcPr>
            <w:tcW w:w="2835" w:type="dxa"/>
            <w:vMerge w:val="restart"/>
          </w:tcPr>
          <w:p>
            <w:pPr>
              <w:widowControl/>
              <w:adjustRightInd w:val="0"/>
              <w:snapToGrid w:val="0"/>
              <w:jc w:val="center"/>
              <w:rPr>
                <w:rFonts w:ascii="宋体" w:hAnsi="宋体"/>
                <w:b/>
                <w:sz w:val="24"/>
                <w:szCs w:val="24"/>
              </w:rPr>
            </w:pPr>
            <w:r>
              <w:rPr>
                <w:rFonts w:hint="eastAsia" w:ascii="宋体" w:hAnsi="宋体"/>
                <w:b/>
                <w:sz w:val="24"/>
                <w:szCs w:val="24"/>
              </w:rPr>
              <w:t>绩效指标</w:t>
            </w:r>
          </w:p>
          <w:p>
            <w:pPr>
              <w:widowControl/>
              <w:spacing w:line="300" w:lineRule="exact"/>
              <w:jc w:val="center"/>
              <w:textAlignment w:val="center"/>
              <w:rPr>
                <w:rFonts w:ascii="宋体" w:hAnsi="宋体"/>
                <w:color w:val="000000"/>
                <w:kern w:val="0"/>
                <w:sz w:val="24"/>
                <w:szCs w:val="24"/>
              </w:rPr>
            </w:pPr>
            <w:r>
              <w:rPr>
                <w:rFonts w:hint="eastAsia" w:ascii="宋体" w:hAnsi="宋体"/>
                <w:b/>
                <w:sz w:val="24"/>
                <w:szCs w:val="24"/>
              </w:rPr>
              <w:t>描述</w:t>
            </w:r>
          </w:p>
        </w:tc>
        <w:tc>
          <w:tcPr>
            <w:tcW w:w="4111" w:type="dxa"/>
            <w:gridSpan w:val="3"/>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tc>
        <w:tc>
          <w:tcPr>
            <w:tcW w:w="1843" w:type="dxa"/>
            <w:vMerge w:val="restart"/>
            <w:vAlign w:val="center"/>
          </w:tcPr>
          <w:p>
            <w:pPr>
              <w:widowControl/>
              <w:adjustRightInd w:val="0"/>
              <w:snapToGrid w:val="0"/>
              <w:jc w:val="center"/>
              <w:rPr>
                <w:rFonts w:ascii="宋体" w:hAnsi="宋体"/>
                <w:b/>
                <w:sz w:val="24"/>
                <w:szCs w:val="24"/>
              </w:rPr>
            </w:pPr>
            <w:r>
              <w:rPr>
                <w:rFonts w:hint="eastAsia" w:ascii="宋体" w:hAnsi="宋体"/>
                <w:b/>
                <w:sz w:val="24"/>
                <w:szCs w:val="24"/>
              </w:rPr>
              <w:t>指标值</w:t>
            </w:r>
          </w:p>
          <w:p>
            <w:pPr>
              <w:widowControl/>
              <w:adjustRightInd w:val="0"/>
              <w:snapToGrid w:val="0"/>
              <w:jc w:val="center"/>
              <w:rPr>
                <w:rFonts w:ascii="宋体" w:hAnsi="宋体"/>
                <w:b/>
                <w:sz w:val="24"/>
                <w:szCs w:val="24"/>
              </w:rPr>
            </w:pPr>
            <w:r>
              <w:rPr>
                <w:rFonts w:hint="eastAsia" w:ascii="宋体" w:hAnsi="宋体"/>
                <w:b/>
                <w:sz w:val="24"/>
                <w:szCs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1123" w:type="dxa"/>
            <w:vMerge w:val="continue"/>
            <w:vAlign w:val="center"/>
          </w:tcPr>
          <w:p>
            <w:pPr>
              <w:rPr>
                <w:rFonts w:hint="eastAsia" w:ascii="宋体" w:hAnsi="宋体"/>
                <w:b/>
                <w:sz w:val="24"/>
                <w:szCs w:val="24"/>
              </w:rPr>
            </w:pPr>
          </w:p>
        </w:tc>
        <w:tc>
          <w:tcPr>
            <w:tcW w:w="973" w:type="dxa"/>
            <w:vMerge w:val="continue"/>
            <w:vAlign w:val="center"/>
          </w:tcPr>
          <w:p>
            <w:pPr>
              <w:spacing w:line="300" w:lineRule="exact"/>
              <w:jc w:val="center"/>
              <w:textAlignment w:val="center"/>
              <w:rPr>
                <w:rFonts w:hint="eastAsia" w:ascii="宋体" w:hAnsi="宋体"/>
                <w:b/>
                <w:sz w:val="24"/>
                <w:szCs w:val="24"/>
              </w:rPr>
            </w:pPr>
          </w:p>
        </w:tc>
        <w:tc>
          <w:tcPr>
            <w:tcW w:w="2127" w:type="dxa"/>
            <w:vMerge w:val="continue"/>
            <w:vAlign w:val="center"/>
          </w:tcPr>
          <w:p>
            <w:pPr>
              <w:widowControl/>
              <w:spacing w:line="300" w:lineRule="exact"/>
              <w:jc w:val="center"/>
              <w:textAlignment w:val="center"/>
              <w:rPr>
                <w:rFonts w:hint="eastAsia" w:ascii="宋体" w:hAnsi="宋体"/>
                <w:b/>
                <w:sz w:val="24"/>
                <w:szCs w:val="24"/>
              </w:rPr>
            </w:pPr>
          </w:p>
        </w:tc>
        <w:tc>
          <w:tcPr>
            <w:tcW w:w="2001" w:type="dxa"/>
            <w:vMerge w:val="continue"/>
            <w:vAlign w:val="center"/>
          </w:tcPr>
          <w:p>
            <w:pPr>
              <w:widowControl/>
              <w:adjustRightInd w:val="0"/>
              <w:snapToGrid w:val="0"/>
              <w:jc w:val="center"/>
              <w:rPr>
                <w:rFonts w:ascii="方正书宋_GBK" w:eastAsia="方正书宋_GBK"/>
                <w:b/>
              </w:rPr>
            </w:pPr>
          </w:p>
        </w:tc>
        <w:tc>
          <w:tcPr>
            <w:tcW w:w="2835" w:type="dxa"/>
            <w:vMerge w:val="continue"/>
          </w:tcPr>
          <w:p>
            <w:pPr>
              <w:widowControl/>
              <w:adjustRightInd w:val="0"/>
              <w:snapToGrid w:val="0"/>
              <w:jc w:val="center"/>
              <w:rPr>
                <w:rFonts w:hint="eastAsia" w:ascii="宋体" w:hAnsi="宋体"/>
                <w:b/>
                <w:sz w:val="24"/>
                <w:szCs w:val="24"/>
              </w:rPr>
            </w:pPr>
          </w:p>
        </w:tc>
        <w:tc>
          <w:tcPr>
            <w:tcW w:w="1559" w:type="dxa"/>
            <w:vAlign w:val="center"/>
          </w:tcPr>
          <w:p>
            <w:pPr>
              <w:widowControl/>
              <w:adjustRightInd w:val="0"/>
              <w:snapToGrid w:val="0"/>
              <w:jc w:val="center"/>
              <w:rPr>
                <w:rFonts w:hint="eastAsia" w:ascii="宋体" w:hAnsi="宋体"/>
                <w:b/>
                <w:sz w:val="24"/>
                <w:szCs w:val="24"/>
              </w:rPr>
            </w:pPr>
            <w:r>
              <w:rPr>
                <w:rFonts w:hint="eastAsia" w:ascii="宋体" w:hAnsi="宋体"/>
                <w:b/>
                <w:sz w:val="24"/>
                <w:szCs w:val="24"/>
              </w:rPr>
              <w:t>符号</w:t>
            </w:r>
          </w:p>
        </w:tc>
        <w:tc>
          <w:tcPr>
            <w:tcW w:w="1560" w:type="dxa"/>
            <w:vAlign w:val="center"/>
          </w:tcPr>
          <w:p>
            <w:pPr>
              <w:widowControl/>
              <w:adjustRightInd w:val="0"/>
              <w:snapToGrid w:val="0"/>
              <w:jc w:val="center"/>
              <w:rPr>
                <w:rFonts w:hint="eastAsia" w:ascii="宋体" w:hAnsi="宋体"/>
                <w:b/>
                <w:sz w:val="24"/>
                <w:szCs w:val="24"/>
              </w:rPr>
            </w:pPr>
            <w:r>
              <w:rPr>
                <w:rFonts w:hint="eastAsia" w:ascii="宋体" w:hAnsi="宋体"/>
                <w:b/>
                <w:sz w:val="24"/>
                <w:szCs w:val="24"/>
              </w:rPr>
              <w:t>值</w:t>
            </w:r>
          </w:p>
        </w:tc>
        <w:tc>
          <w:tcPr>
            <w:tcW w:w="992" w:type="dxa"/>
            <w:vAlign w:val="center"/>
          </w:tcPr>
          <w:p>
            <w:pPr>
              <w:widowControl/>
              <w:adjustRightInd w:val="0"/>
              <w:snapToGrid w:val="0"/>
              <w:jc w:val="center"/>
              <w:rPr>
                <w:rFonts w:hint="eastAsia" w:ascii="宋体" w:hAnsi="宋体"/>
                <w:b/>
                <w:sz w:val="24"/>
                <w:szCs w:val="24"/>
              </w:rPr>
            </w:pPr>
            <w:r>
              <w:rPr>
                <w:rFonts w:hint="eastAsia" w:ascii="宋体" w:hAnsi="宋体"/>
                <w:b/>
                <w:sz w:val="24"/>
                <w:szCs w:val="24"/>
              </w:rPr>
              <w:t>单位</w:t>
            </w:r>
          </w:p>
        </w:tc>
        <w:tc>
          <w:tcPr>
            <w:tcW w:w="1843" w:type="dxa"/>
            <w:vMerge w:val="continue"/>
            <w:vAlign w:val="center"/>
          </w:tcPr>
          <w:p>
            <w:pPr>
              <w:widowControl/>
              <w:adjustRightInd w:val="0"/>
              <w:snapToGrid w:val="0"/>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1123"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部门产出</w:t>
            </w:r>
          </w:p>
        </w:tc>
        <w:tc>
          <w:tcPr>
            <w:tcW w:w="973" w:type="dxa"/>
            <w:vMerge w:val="restart"/>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数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义务教育学生巩固率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完成培养初中义务教育，初中阶段义务教育学生巩固率</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义务教育教师培训人次</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每少</w:t>
            </w:r>
            <w:r>
              <w:rPr>
                <w:rFonts w:hint="eastAsia" w:asciiTheme="minorEastAsia" w:hAnsiTheme="minorEastAsia" w:eastAsiaTheme="minorEastAsia"/>
                <w:sz w:val="24"/>
                <w:szCs w:val="24"/>
              </w:rPr>
              <w:t>5</w:t>
            </w:r>
            <w:r>
              <w:rPr>
                <w:rFonts w:asciiTheme="minorEastAsia" w:hAnsiTheme="minorEastAsia" w:eastAsiaTheme="minorEastAsia"/>
                <w:sz w:val="24"/>
                <w:szCs w:val="24"/>
              </w:rPr>
              <w:t>人，扣权重分值5%，扣完为止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rPr>
                <w:rFonts w:ascii="宋体" w:hAnsi="宋体"/>
                <w:sz w:val="24"/>
                <w:szCs w:val="24"/>
              </w:rPr>
            </w:pPr>
          </w:p>
        </w:tc>
        <w:tc>
          <w:tcPr>
            <w:tcW w:w="2127" w:type="dxa"/>
            <w:vAlign w:val="center"/>
          </w:tcPr>
          <w:p>
            <w:pPr>
              <w:jc w:val="left"/>
              <w:rPr>
                <w:rFonts w:ascii="宋体" w:hAnsi="宋体" w:cs="宋体"/>
                <w:sz w:val="24"/>
                <w:szCs w:val="24"/>
              </w:rPr>
            </w:pPr>
            <w:r>
              <w:rPr>
                <w:rFonts w:hint="eastAsia" w:ascii="宋体" w:hAnsi="宋体"/>
                <w:sz w:val="24"/>
                <w:szCs w:val="24"/>
              </w:rPr>
              <w:t>上级下达学校的各项工作任务完成率</w:t>
            </w:r>
          </w:p>
        </w:tc>
        <w:tc>
          <w:tcPr>
            <w:tcW w:w="2001" w:type="dxa"/>
          </w:tcPr>
          <w:p>
            <w:pPr>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jc w:val="left"/>
              <w:rPr>
                <w:rFonts w:ascii="宋体" w:hAnsi="宋体" w:cs="宋体"/>
                <w:sz w:val="24"/>
                <w:szCs w:val="24"/>
              </w:rPr>
            </w:pPr>
            <w:r>
              <w:rPr>
                <w:rFonts w:hint="eastAsia" w:ascii="宋体" w:hAnsi="宋体"/>
                <w:sz w:val="24"/>
                <w:szCs w:val="24"/>
              </w:rPr>
              <w:t>保证完成上级下达学校的各项工作任务</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质  量</w:t>
            </w: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义务教育学生培养合格率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完成培养初中义务教育，确保初中毕业生合格率100%，</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义务教育教师培训合格率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教师培训人数与教师总人数的比</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jc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物资采购合格率</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restart"/>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时　效</w:t>
            </w:r>
          </w:p>
        </w:tc>
        <w:tc>
          <w:tcPr>
            <w:tcW w:w="2127"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按计划完成学校义务教学工作</w:t>
            </w:r>
          </w:p>
        </w:tc>
        <w:tc>
          <w:tcPr>
            <w:tcW w:w="2001" w:type="dxa"/>
          </w:tcPr>
          <w:p>
            <w:pPr>
              <w:widowControl/>
              <w:adjustRightInd w:val="0"/>
              <w:snapToGrid w:val="0"/>
              <w:spacing w:line="240" w:lineRule="exact"/>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未按时完成一件任务，</w:t>
            </w:r>
            <w:r>
              <w:rPr>
                <w:rFonts w:asciiTheme="minorEastAsia" w:hAnsiTheme="minorEastAsia" w:eastAsiaTheme="minorEastAsia"/>
                <w:sz w:val="24"/>
                <w:szCs w:val="24"/>
              </w:rPr>
              <w:t>扣权重分值5%，扣完为止</w:t>
            </w:r>
          </w:p>
        </w:tc>
        <w:tc>
          <w:tcPr>
            <w:tcW w:w="2835" w:type="dxa"/>
            <w:vAlign w:val="center"/>
          </w:tcPr>
          <w:p>
            <w:pPr>
              <w:widowControl/>
              <w:adjustRightInd w:val="0"/>
              <w:snapToGrid w:val="0"/>
              <w:jc w:val="left"/>
              <w:rPr>
                <w:rFonts w:ascii="宋体" w:hAnsi="宋体"/>
                <w:color w:val="000000"/>
                <w:kern w:val="0"/>
                <w:sz w:val="24"/>
                <w:szCs w:val="24"/>
              </w:rPr>
            </w:pPr>
            <w:r>
              <w:rPr>
                <w:rFonts w:hint="eastAsia" w:ascii="宋体" w:hAnsi="宋体"/>
                <w:color w:val="000000"/>
                <w:kern w:val="0"/>
                <w:sz w:val="24"/>
                <w:szCs w:val="24"/>
              </w:rPr>
              <w:t>　按时完成。</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992" w:type="dxa"/>
            <w:vAlign w:val="center"/>
          </w:tcPr>
          <w:p>
            <w:pPr>
              <w:widowControl/>
              <w:spacing w:line="300" w:lineRule="exact"/>
              <w:jc w:val="center"/>
              <w:textAlignment w:val="center"/>
              <w:rPr>
                <w:rFonts w:ascii="宋体" w:hAnsi="宋体"/>
                <w:color w:val="000000"/>
                <w:kern w:val="0"/>
                <w:sz w:val="24"/>
                <w:szCs w:val="24"/>
              </w:rPr>
            </w:pP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1123" w:type="dxa"/>
            <w:vMerge w:val="continue"/>
            <w:vAlign w:val="center"/>
          </w:tcPr>
          <w:p>
            <w:pPr>
              <w:rPr>
                <w:rFonts w:ascii="宋体" w:hAnsi="宋体"/>
                <w:sz w:val="24"/>
                <w:szCs w:val="24"/>
              </w:rPr>
            </w:pPr>
          </w:p>
        </w:tc>
        <w:tc>
          <w:tcPr>
            <w:tcW w:w="973" w:type="dxa"/>
            <w:vMerge w:val="continue"/>
            <w:vAlign w:val="center"/>
          </w:tcPr>
          <w:p>
            <w:pPr>
              <w:widowControl/>
              <w:spacing w:line="300" w:lineRule="exact"/>
              <w:jc w:val="center"/>
              <w:textAlignment w:val="center"/>
              <w:rPr>
                <w:rFonts w:ascii="宋体" w:hAnsi="宋体"/>
                <w:color w:val="000000"/>
                <w:kern w:val="0"/>
                <w:sz w:val="24"/>
                <w:szCs w:val="24"/>
              </w:rPr>
            </w:pPr>
          </w:p>
        </w:tc>
        <w:tc>
          <w:tcPr>
            <w:tcW w:w="2127"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重点工作完成及时率</w:t>
            </w:r>
          </w:p>
        </w:tc>
        <w:tc>
          <w:tcPr>
            <w:tcW w:w="2001" w:type="dxa"/>
          </w:tcPr>
          <w:p>
            <w:pPr>
              <w:widowControl/>
              <w:spacing w:line="300" w:lineRule="exact"/>
              <w:jc w:val="left"/>
              <w:textAlignment w:val="center"/>
              <w:rPr>
                <w:rFonts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按计划完成得满分，否则不得分</w:t>
            </w:r>
          </w:p>
        </w:tc>
        <w:tc>
          <w:tcPr>
            <w:tcW w:w="2835" w:type="dxa"/>
            <w:vAlign w:val="center"/>
          </w:tcPr>
          <w:p>
            <w:pPr>
              <w:widowControl/>
              <w:spacing w:line="300" w:lineRule="exact"/>
              <w:jc w:val="left"/>
              <w:textAlignment w:val="center"/>
              <w:rPr>
                <w:rFonts w:ascii="宋体" w:hAnsi="宋体"/>
                <w:color w:val="000000"/>
                <w:kern w:val="0"/>
                <w:sz w:val="24"/>
                <w:szCs w:val="24"/>
              </w:rPr>
            </w:pPr>
            <w:r>
              <w:rPr>
                <w:rFonts w:hint="eastAsia" w:ascii="宋体" w:hAnsi="宋体"/>
                <w:color w:val="000000"/>
                <w:kern w:val="0"/>
                <w:sz w:val="24"/>
                <w:szCs w:val="24"/>
              </w:rPr>
              <w:t>重点工作是否按计划完成</w:t>
            </w:r>
          </w:p>
        </w:tc>
        <w:tc>
          <w:tcPr>
            <w:tcW w:w="1559"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按时完成</w:t>
            </w:r>
          </w:p>
        </w:tc>
        <w:tc>
          <w:tcPr>
            <w:tcW w:w="992" w:type="dxa"/>
            <w:vAlign w:val="center"/>
          </w:tcPr>
          <w:p>
            <w:pPr>
              <w:widowControl/>
              <w:spacing w:line="300" w:lineRule="exact"/>
              <w:jc w:val="center"/>
              <w:textAlignment w:val="center"/>
              <w:rPr>
                <w:rFonts w:ascii="宋体" w:hAnsi="宋体"/>
                <w:color w:val="000000"/>
                <w:kern w:val="0"/>
                <w:sz w:val="24"/>
                <w:szCs w:val="24"/>
              </w:rPr>
            </w:pP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1123" w:type="dxa"/>
            <w:vMerge w:val="continue"/>
            <w:vAlign w:val="center"/>
          </w:tcPr>
          <w:p>
            <w:pPr>
              <w:rPr>
                <w:rFonts w:ascii="宋体" w:hAnsi="宋体"/>
                <w:sz w:val="24"/>
                <w:szCs w:val="24"/>
              </w:rPr>
            </w:pP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成  本</w:t>
            </w:r>
          </w:p>
        </w:tc>
        <w:tc>
          <w:tcPr>
            <w:tcW w:w="2127"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初中生均公用经费含85取暖费</w:t>
            </w:r>
          </w:p>
        </w:tc>
        <w:tc>
          <w:tcPr>
            <w:tcW w:w="2001" w:type="dxa"/>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超出指标预算5%</w:t>
            </w:r>
            <w:r>
              <w:rPr>
                <w:rFonts w:asciiTheme="minorEastAsia" w:hAnsiTheme="minorEastAsia" w:eastAsiaTheme="minorEastAsia"/>
                <w:sz w:val="24"/>
                <w:szCs w:val="24"/>
              </w:rPr>
              <w:t>，扣权重分值5%，扣完为止</w:t>
            </w:r>
          </w:p>
        </w:tc>
        <w:tc>
          <w:tcPr>
            <w:tcW w:w="2835" w:type="dxa"/>
            <w:vAlign w:val="center"/>
          </w:tcPr>
          <w:p>
            <w:pPr>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义务教育阶段初中生均公用经费935元/生/年，含85取暖费。</w:t>
            </w:r>
          </w:p>
        </w:tc>
        <w:tc>
          <w:tcPr>
            <w:tcW w:w="1559"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560" w:type="dxa"/>
            <w:vAlign w:val="center"/>
          </w:tcPr>
          <w:p>
            <w:pPr>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935</w:t>
            </w:r>
          </w:p>
        </w:tc>
        <w:tc>
          <w:tcPr>
            <w:tcW w:w="992"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元</w:t>
            </w:r>
          </w:p>
        </w:tc>
        <w:tc>
          <w:tcPr>
            <w:tcW w:w="1843" w:type="dxa"/>
            <w:vAlign w:val="center"/>
          </w:tcPr>
          <w:p>
            <w:pPr>
              <w:widowControl/>
              <w:spacing w:line="300" w:lineRule="exact"/>
              <w:jc w:val="center"/>
              <w:textAlignment w:val="center"/>
              <w:rPr>
                <w:rFonts w:ascii="宋体" w:hAnsi="宋体"/>
                <w:sz w:val="24"/>
                <w:szCs w:val="24"/>
              </w:rPr>
            </w:pPr>
            <w:r>
              <w:rPr>
                <w:rFonts w:hint="eastAsia" w:asciiTheme="minorEastAsia" w:hAnsiTheme="minorEastAsia" w:eastAsiaTheme="minorEastAsia"/>
                <w:sz w:val="24"/>
                <w:szCs w:val="24"/>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1123" w:type="dxa"/>
            <w:vMerge w:val="restart"/>
            <w:vAlign w:val="center"/>
          </w:tcPr>
          <w:p>
            <w:pPr>
              <w:rPr>
                <w:rFonts w:ascii="宋体" w:hAnsi="宋体"/>
                <w:sz w:val="24"/>
                <w:szCs w:val="24"/>
              </w:rPr>
            </w:pPr>
            <w:r>
              <w:rPr>
                <w:rFonts w:hint="eastAsia" w:ascii="宋体" w:hAnsi="宋体"/>
                <w:sz w:val="24"/>
                <w:szCs w:val="24"/>
              </w:rPr>
              <w:t>效果指标</w:t>
            </w:r>
          </w:p>
        </w:tc>
        <w:tc>
          <w:tcPr>
            <w:tcW w:w="97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社  会</w:t>
            </w:r>
          </w:p>
          <w:p>
            <w:pPr>
              <w:widowControl/>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效  益</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w:t>
            </w:r>
            <w:r>
              <w:rPr>
                <w:rFonts w:hint="eastAsia" w:asciiTheme="minorEastAsia" w:hAnsiTheme="minorEastAsia" w:eastAsiaTheme="minorEastAsia"/>
                <w:color w:val="000000"/>
                <w:kern w:val="0"/>
                <w:sz w:val="24"/>
                <w:szCs w:val="24"/>
              </w:rPr>
              <w:t>合格率达到100%，</w:t>
            </w:r>
            <w:r>
              <w:rPr>
                <w:rFonts w:hint="eastAsia" w:asciiTheme="minorEastAsia" w:hAnsiTheme="minorEastAsia" w:eastAsiaTheme="minorEastAsia"/>
                <w:sz w:val="24"/>
                <w:szCs w:val="24"/>
              </w:rPr>
              <w:t>否则不得分</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提高人口素质</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提高</w:t>
            </w:r>
          </w:p>
        </w:tc>
        <w:tc>
          <w:tcPr>
            <w:tcW w:w="992" w:type="dxa"/>
            <w:vAlign w:val="center"/>
          </w:tcPr>
          <w:p>
            <w:pPr>
              <w:widowControl/>
              <w:spacing w:line="240" w:lineRule="exact"/>
              <w:jc w:val="center"/>
              <w:rPr>
                <w:rFonts w:ascii="宋体" w:hAnsi="宋体"/>
                <w:kern w:val="0"/>
                <w:sz w:val="24"/>
                <w:szCs w:val="24"/>
              </w:rPr>
            </w:pPr>
          </w:p>
        </w:tc>
        <w:tc>
          <w:tcPr>
            <w:tcW w:w="1843"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1123" w:type="dxa"/>
            <w:vMerge w:val="continue"/>
            <w:vAlign w:val="center"/>
          </w:tcPr>
          <w:p>
            <w:pPr>
              <w:rPr>
                <w:rFonts w:ascii="宋体" w:hAnsi="宋体"/>
                <w:sz w:val="24"/>
                <w:szCs w:val="24"/>
              </w:rPr>
            </w:pPr>
          </w:p>
        </w:tc>
        <w:tc>
          <w:tcPr>
            <w:tcW w:w="973"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可持续</w:t>
            </w:r>
          </w:p>
          <w:p>
            <w:pPr>
              <w:widowControl/>
              <w:spacing w:line="240" w:lineRule="exact"/>
              <w:jc w:val="center"/>
              <w:rPr>
                <w:rFonts w:ascii="宋体" w:hAnsi="宋体"/>
                <w:kern w:val="0"/>
                <w:sz w:val="24"/>
                <w:szCs w:val="24"/>
              </w:rPr>
            </w:pPr>
            <w:r>
              <w:rPr>
                <w:rFonts w:hint="eastAsia" w:ascii="宋体" w:hAnsi="宋体"/>
                <w:kern w:val="0"/>
                <w:sz w:val="24"/>
                <w:szCs w:val="24"/>
              </w:rPr>
              <w:t>影 响</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2001" w:type="dxa"/>
          </w:tcPr>
          <w:p>
            <w:pPr>
              <w:widowControl/>
              <w:spacing w:line="240" w:lineRule="exact"/>
              <w:jc w:val="left"/>
              <w:rPr>
                <w:rFonts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学生综合素质评价优秀率达到85%</w:t>
            </w:r>
            <w:r>
              <w:rPr>
                <w:rFonts w:hint="eastAsia" w:asciiTheme="minorEastAsia" w:hAnsiTheme="minorEastAsia" w:eastAsiaTheme="minorEastAsia"/>
                <w:sz w:val="24"/>
                <w:szCs w:val="24"/>
              </w:rPr>
              <w:t>否则不得分</w:t>
            </w:r>
            <w:r>
              <w:rPr>
                <w:rFonts w:hint="eastAsia" w:cs="宋体" w:asciiTheme="minorEastAsia" w:hAnsiTheme="minorEastAsia" w:eastAsiaTheme="minorEastAsia"/>
                <w:sz w:val="24"/>
                <w:szCs w:val="24"/>
              </w:rPr>
              <w:t>，</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推动义务教育从数量向质量转变</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color w:val="000000"/>
                <w:kern w:val="0"/>
                <w:sz w:val="24"/>
                <w:szCs w:val="24"/>
              </w:rPr>
              <w:t>文字描述</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提升</w:t>
            </w:r>
          </w:p>
        </w:tc>
        <w:tc>
          <w:tcPr>
            <w:tcW w:w="992" w:type="dxa"/>
            <w:vAlign w:val="center"/>
          </w:tcPr>
          <w:p>
            <w:pPr>
              <w:widowControl/>
              <w:spacing w:line="240" w:lineRule="exact"/>
              <w:jc w:val="center"/>
              <w:rPr>
                <w:rFonts w:ascii="宋体" w:hAnsi="宋体"/>
                <w:kern w:val="0"/>
                <w:sz w:val="24"/>
                <w:szCs w:val="24"/>
              </w:rPr>
            </w:pPr>
          </w:p>
        </w:tc>
        <w:tc>
          <w:tcPr>
            <w:tcW w:w="1843" w:type="dxa"/>
            <w:vAlign w:val="center"/>
          </w:tcPr>
          <w:p>
            <w:pPr>
              <w:spacing w:line="300" w:lineRule="exact"/>
              <w:jc w:val="center"/>
              <w:textAlignment w:val="center"/>
              <w:rPr>
                <w:rFonts w:ascii="宋体" w:hAnsi="宋体"/>
                <w:sz w:val="24"/>
                <w:szCs w:val="24"/>
              </w:rPr>
            </w:pPr>
            <w:r>
              <w:rPr>
                <w:rFonts w:hint="eastAsia" w:ascii="宋体" w:hAnsi="宋体"/>
                <w:sz w:val="24"/>
                <w:szCs w:val="24"/>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1123" w:type="dxa"/>
            <w:vMerge w:val="continue"/>
            <w:vAlign w:val="center"/>
          </w:tcPr>
          <w:p>
            <w:pPr>
              <w:rPr>
                <w:rFonts w:ascii="宋体" w:hAnsi="宋体"/>
                <w:sz w:val="24"/>
                <w:szCs w:val="24"/>
              </w:rPr>
            </w:pPr>
          </w:p>
        </w:tc>
        <w:tc>
          <w:tcPr>
            <w:tcW w:w="973" w:type="dxa"/>
            <w:vAlign w:val="center"/>
          </w:tcPr>
          <w:p>
            <w:pPr>
              <w:spacing w:line="300" w:lineRule="exact"/>
              <w:jc w:val="center"/>
              <w:textAlignment w:val="center"/>
              <w:rPr>
                <w:rFonts w:ascii="宋体" w:hAnsi="宋体"/>
                <w:color w:val="000000"/>
                <w:kern w:val="0"/>
                <w:sz w:val="24"/>
                <w:szCs w:val="24"/>
              </w:rPr>
            </w:pPr>
            <w:r>
              <w:rPr>
                <w:rFonts w:hint="eastAsia" w:ascii="宋体" w:hAnsi="宋体"/>
                <w:color w:val="000000"/>
                <w:kern w:val="0"/>
                <w:sz w:val="24"/>
                <w:szCs w:val="24"/>
              </w:rPr>
              <w:t>满意度</w:t>
            </w:r>
          </w:p>
        </w:tc>
        <w:tc>
          <w:tcPr>
            <w:tcW w:w="2127"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教师、学生、家长对学校的满意度</w:t>
            </w:r>
          </w:p>
        </w:tc>
        <w:tc>
          <w:tcPr>
            <w:tcW w:w="2001" w:type="dxa"/>
            <w:vAlign w:val="center"/>
          </w:tcPr>
          <w:p>
            <w:pPr>
              <w:widowControl/>
              <w:adjustRightInd w:val="0"/>
              <w:snapToGrid w:val="0"/>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每</w:t>
            </w:r>
            <w:r>
              <w:rPr>
                <w:rFonts w:hint="eastAsia" w:asciiTheme="minorEastAsia" w:hAnsiTheme="minorEastAsia" w:eastAsiaTheme="minorEastAsia"/>
                <w:sz w:val="24"/>
                <w:szCs w:val="24"/>
              </w:rPr>
              <w:t>降低5%</w:t>
            </w:r>
            <w:r>
              <w:rPr>
                <w:rFonts w:asciiTheme="minorEastAsia" w:hAnsiTheme="minorEastAsia" w:eastAsiaTheme="minorEastAsia"/>
                <w:sz w:val="24"/>
                <w:szCs w:val="24"/>
              </w:rPr>
              <w:t>，扣权重分值5%，扣完为止</w:t>
            </w:r>
          </w:p>
        </w:tc>
        <w:tc>
          <w:tcPr>
            <w:tcW w:w="2835" w:type="dxa"/>
            <w:vAlign w:val="center"/>
          </w:tcPr>
          <w:p>
            <w:pPr>
              <w:widowControl/>
              <w:spacing w:line="240" w:lineRule="exact"/>
              <w:jc w:val="left"/>
              <w:rPr>
                <w:rFonts w:ascii="宋体" w:hAnsi="宋体"/>
                <w:color w:val="000000"/>
                <w:kern w:val="0"/>
                <w:sz w:val="24"/>
                <w:szCs w:val="24"/>
              </w:rPr>
            </w:pPr>
            <w:r>
              <w:rPr>
                <w:rFonts w:hint="eastAsia" w:ascii="宋体" w:hAnsi="宋体"/>
                <w:color w:val="000000"/>
                <w:kern w:val="0"/>
                <w:sz w:val="24"/>
                <w:szCs w:val="24"/>
              </w:rPr>
              <w:t>教师、学生、家长对学校的满意人数与总人数的比</w:t>
            </w:r>
          </w:p>
        </w:tc>
        <w:tc>
          <w:tcPr>
            <w:tcW w:w="1559"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1560"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90</w:t>
            </w:r>
          </w:p>
        </w:tc>
        <w:tc>
          <w:tcPr>
            <w:tcW w:w="992" w:type="dxa"/>
            <w:vAlign w:val="center"/>
          </w:tcPr>
          <w:p>
            <w:pPr>
              <w:widowControl/>
              <w:spacing w:line="240" w:lineRule="exact"/>
              <w:jc w:val="center"/>
              <w:rPr>
                <w:rFonts w:ascii="宋体" w:hAnsi="宋体"/>
                <w:kern w:val="0"/>
                <w:sz w:val="24"/>
                <w:szCs w:val="24"/>
              </w:rPr>
            </w:pPr>
            <w:r>
              <w:rPr>
                <w:rFonts w:hint="eastAsia" w:ascii="宋体" w:hAnsi="宋体"/>
                <w:kern w:val="0"/>
                <w:sz w:val="24"/>
                <w:szCs w:val="24"/>
              </w:rPr>
              <w:t>%</w:t>
            </w:r>
          </w:p>
        </w:tc>
        <w:tc>
          <w:tcPr>
            <w:tcW w:w="1843" w:type="dxa"/>
            <w:vAlign w:val="center"/>
          </w:tcPr>
          <w:p>
            <w:pPr>
              <w:widowControl/>
              <w:spacing w:line="300" w:lineRule="exact"/>
              <w:jc w:val="center"/>
              <w:textAlignment w:val="center"/>
              <w:rPr>
                <w:rFonts w:ascii="宋体" w:hAnsi="宋体"/>
                <w:color w:val="000000"/>
                <w:kern w:val="0"/>
                <w:sz w:val="24"/>
                <w:szCs w:val="24"/>
              </w:rPr>
            </w:pPr>
            <w:r>
              <w:rPr>
                <w:rFonts w:hint="eastAsia" w:ascii="宋体" w:hAnsi="宋体"/>
                <w:sz w:val="24"/>
                <w:szCs w:val="24"/>
              </w:rPr>
              <w:t>调查问卷</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hint="eastAsia" w:ascii="仿宋_GB2312" w:hAnsi="Times New Roman" w:eastAsia="仿宋_GB2312" w:cs="Times New Roman"/>
          <w:b w:val="0"/>
          <w:bCs w:val="0"/>
          <w:sz w:val="28"/>
          <w:szCs w:val="28"/>
        </w:rPr>
      </w:pPr>
      <w:r>
        <w:rPr>
          <w:rFonts w:hint="eastAsia" w:ascii="仿宋_GB2312" w:hAnsi="Times New Roman" w:eastAsia="仿宋_GB2312" w:cs="Times New Roman"/>
          <w:b w:val="0"/>
          <w:bCs w:val="0"/>
          <w:sz w:val="28"/>
          <w:szCs w:val="28"/>
        </w:rPr>
        <w:t>1.</w:t>
      </w:r>
      <w:bookmarkStart w:id="0" w:name="_Toc29799657"/>
      <w:bookmarkEnd w:id="0"/>
      <w:r>
        <w:rPr>
          <w:rFonts w:hint="eastAsia" w:ascii="仿宋_GB2312" w:eastAsia="仿宋_GB2312"/>
          <w:b w:val="0"/>
          <w:bCs w:val="0"/>
          <w:sz w:val="28"/>
          <w:szCs w:val="28"/>
        </w:rPr>
        <w:t xml:space="preserve"> 城市区初中生均公用经费区级配套资金绩效目标表</w:t>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TC 58、城市区初中生均公用经费区级配套资金绩效目标表 \f C \l 1 </w:instrText>
      </w:r>
      <w:r>
        <w:rPr>
          <w:rFonts w:hint="eastAsia" w:ascii="仿宋_GB2312" w:eastAsia="仿宋_GB2312"/>
          <w:b w:val="0"/>
          <w:bCs w:val="0"/>
          <w:sz w:val="28"/>
          <w:szCs w:val="28"/>
        </w:rPr>
        <w:fldChar w:fldCharType="end"/>
      </w:r>
    </w:p>
    <w:tbl>
      <w:tblPr>
        <w:tblStyle w:val="8"/>
        <w:tblW w:w="12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5"/>
        <w:gridCol w:w="10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5"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10379"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129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1"/>
        <w:gridCol w:w="1692"/>
        <w:gridCol w:w="2376"/>
        <w:gridCol w:w="335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7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一级指标</w:t>
            </w:r>
          </w:p>
        </w:tc>
        <w:tc>
          <w:tcPr>
            <w:tcW w:w="1692"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二级指标</w:t>
            </w:r>
          </w:p>
        </w:tc>
        <w:tc>
          <w:tcPr>
            <w:tcW w:w="237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三级指标</w:t>
            </w:r>
          </w:p>
        </w:tc>
        <w:tc>
          <w:tcPr>
            <w:tcW w:w="335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绩效指标描述</w:t>
            </w:r>
          </w:p>
        </w:tc>
        <w:tc>
          <w:tcPr>
            <w:tcW w:w="1276"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w:t>
            </w:r>
          </w:p>
        </w:tc>
        <w:tc>
          <w:tcPr>
            <w:tcW w:w="1701" w:type="dxa"/>
            <w:shd w:val="clear" w:color="auto" w:fill="auto"/>
            <w:vAlign w:val="center"/>
          </w:tcPr>
          <w:p>
            <w:pPr>
              <w:spacing w:line="300" w:lineRule="exac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产出指标</w:t>
            </w: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数量指标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物资采购合格率</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保安全</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保在校师生安全不出问题，无安全事故。</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安全</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保正常运转</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日常教学器材及物资充裕</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正常运转</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上级下达的各项工作任务完成率</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保证完成上级下达学校的各项工作任务</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时效指标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是否按时保质保量的完成</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及时</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成本指标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初中生均公用经费含85取暖费</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义务教育阶段初中生均公用经费标准含85取暖费</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935元</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restart"/>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效益指标</w:t>
            </w: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社会效益指标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提高人口素质</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提高</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vMerge w:val="continue"/>
            <w:shd w:val="clear" w:color="auto" w:fill="auto"/>
            <w:vAlign w:val="center"/>
          </w:tcPr>
          <w:p>
            <w:pPr>
              <w:spacing w:line="300" w:lineRule="exact"/>
              <w:jc w:val="center"/>
              <w:rPr>
                <w:rFonts w:hint="eastAsia" w:asciiTheme="minorEastAsia" w:hAnsiTheme="minorEastAsia" w:eastAsiaTheme="minorEastAsia"/>
                <w:sz w:val="24"/>
                <w:szCs w:val="24"/>
              </w:rPr>
            </w:pP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可持续影响指标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推动义务教育从数量向质量转变</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推动义务教育从数量扩张向质量提高转变</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提升</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71" w:type="dxa"/>
            <w:shd w:val="clear" w:color="auto" w:fill="auto"/>
            <w:vAlign w:val="center"/>
          </w:tcPr>
          <w:p>
            <w:pPr>
              <w:spacing w:line="3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满意度指标</w:t>
            </w:r>
          </w:p>
        </w:tc>
        <w:tc>
          <w:tcPr>
            <w:tcW w:w="1692"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服务对象满意度指标</w:t>
            </w:r>
          </w:p>
        </w:tc>
        <w:tc>
          <w:tcPr>
            <w:tcW w:w="23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接受义务教育学生家长满意度</w:t>
            </w:r>
          </w:p>
        </w:tc>
        <w:tc>
          <w:tcPr>
            <w:tcW w:w="335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满意家长数量/总数</w:t>
            </w:r>
          </w:p>
        </w:tc>
        <w:tc>
          <w:tcPr>
            <w:tcW w:w="1276"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≥90%</w:t>
            </w:r>
          </w:p>
        </w:tc>
        <w:tc>
          <w:tcPr>
            <w:tcW w:w="1701" w:type="dxa"/>
            <w:shd w:val="clear" w:color="auto" w:fill="auto"/>
            <w:vAlign w:val="center"/>
          </w:tcPr>
          <w:p>
            <w:pPr>
              <w:spacing w:line="3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调查问卷</w:t>
            </w:r>
          </w:p>
        </w:tc>
      </w:tr>
    </w:tbl>
    <w:p>
      <w:pPr>
        <w:spacing w:line="300" w:lineRule="exact"/>
        <w:jc w:val="left"/>
        <w:rPr>
          <w:rFonts w:hint="eastAsia" w:ascii="仿宋_GB2312" w:eastAsia="仿宋_GB2312"/>
          <w:sz w:val="24"/>
          <w:szCs w:val="24"/>
        </w:rPr>
        <w:sectPr>
          <w:pgSz w:w="16839" w:h="11907" w:orient="landscape"/>
          <w:pgMar w:top="1304" w:right="1984" w:bottom="1304" w:left="1134" w:header="851" w:footer="992" w:gutter="0"/>
          <w:cols w:space="425" w:num="1"/>
          <w:docGrid w:type="lines" w:linePitch="312" w:charSpace="0"/>
        </w:sectPr>
      </w:pPr>
    </w:p>
    <w:p>
      <w:pPr>
        <w:spacing w:line="14" w:lineRule="exact"/>
        <w:ind w:firstLine="420" w:firstLineChars="200"/>
        <w:jc w:val="center"/>
        <w:rPr>
          <w:rFonts w:ascii="Times New Roman" w:hAnsi="Times New Roman" w:eastAsia="仿宋_GB2312" w:cs="Times New Roman"/>
        </w:rPr>
      </w:pPr>
    </w:p>
    <w:p>
      <w:pPr>
        <w:jc w:val="left"/>
        <w:outlineLvl w:val="1"/>
        <w:rPr>
          <w:rFonts w:hint="eastAsia" w:ascii="仿宋_GB2312" w:hAnsi="Times New Roman" w:eastAsia="仿宋_GB2312" w:cs="Times New Roman"/>
          <w:b w:val="0"/>
          <w:bCs w:val="0"/>
          <w:sz w:val="28"/>
          <w:szCs w:val="28"/>
        </w:rPr>
      </w:pPr>
      <w:r>
        <w:rPr>
          <w:rFonts w:hint="eastAsia" w:ascii="仿宋_GB2312" w:hAnsi="Times New Roman" w:eastAsia="仿宋_GB2312" w:cs="Times New Roman"/>
          <w:b w:val="0"/>
          <w:bCs w:val="0"/>
          <w:sz w:val="28"/>
          <w:szCs w:val="28"/>
        </w:rPr>
        <w:t>2.</w:t>
      </w:r>
      <w:r>
        <w:rPr>
          <w:rFonts w:hint="eastAsia" w:ascii="仿宋_GB2312" w:eastAsia="仿宋_GB2312"/>
          <w:b w:val="0"/>
          <w:bCs w:val="0"/>
          <w:sz w:val="28"/>
          <w:szCs w:val="28"/>
        </w:rPr>
        <w:t xml:space="preserve"> 城市区初中生均公用经费中央（直达）配套资金绩效目标表</w:t>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TC 59、城市区初中生均公用经费中央（直达）配套资金绩效目标表 \f C \l 1 </w:instrText>
      </w:r>
      <w:r>
        <w:rPr>
          <w:rFonts w:hint="eastAsia" w:ascii="仿宋_GB2312" w:eastAsia="仿宋_GB2312"/>
          <w:b w:val="0"/>
          <w:bCs w:val="0"/>
          <w:sz w:val="28"/>
          <w:szCs w:val="28"/>
        </w:rPr>
        <w:fldChar w:fldCharType="end"/>
      </w:r>
    </w:p>
    <w:tbl>
      <w:tblPr>
        <w:tblStyle w:val="8"/>
        <w:tblW w:w="128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7"/>
        <w:gridCol w:w="10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7" w:type="dxa"/>
            <w:tcBorders>
              <w:bottom w:val="nil"/>
            </w:tcBorders>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绩效目标</w:t>
            </w:r>
          </w:p>
        </w:tc>
        <w:tc>
          <w:tcPr>
            <w:tcW w:w="10451" w:type="dxa"/>
            <w:tcBorders>
              <w:bottom w:val="nil"/>
            </w:tcBorders>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1.保障义务教育教学正常的进行。</w:t>
            </w:r>
          </w:p>
          <w:p>
            <w:pPr>
              <w:spacing w:line="300" w:lineRule="exact"/>
              <w:jc w:val="left"/>
              <w:rPr>
                <w:rFonts w:hint="eastAsia" w:ascii="宋体" w:hAnsi="宋体"/>
                <w:sz w:val="24"/>
                <w:szCs w:val="24"/>
              </w:rPr>
            </w:pPr>
            <w:r>
              <w:rPr>
                <w:rFonts w:hint="eastAsia" w:ascii="宋体" w:hAnsi="宋体"/>
                <w:sz w:val="24"/>
                <w:szCs w:val="24"/>
              </w:rPr>
              <w:t>2.改善办公条件，提升教育环境。</w:t>
            </w:r>
          </w:p>
          <w:p>
            <w:pPr>
              <w:spacing w:line="300" w:lineRule="exact"/>
              <w:jc w:val="left"/>
              <w:rPr>
                <w:rFonts w:hint="eastAsia" w:ascii="宋体" w:hAnsi="宋体"/>
                <w:sz w:val="24"/>
                <w:szCs w:val="24"/>
              </w:rPr>
            </w:pPr>
            <w:r>
              <w:rPr>
                <w:rFonts w:hint="eastAsia" w:ascii="宋体" w:hAnsi="宋体"/>
                <w:sz w:val="24"/>
                <w:szCs w:val="24"/>
              </w:rPr>
              <w:t>3.开展教师培训，提高教师队伍水平。</w:t>
            </w:r>
          </w:p>
          <w:p>
            <w:pPr>
              <w:spacing w:line="300" w:lineRule="exact"/>
              <w:jc w:val="left"/>
              <w:rPr>
                <w:rFonts w:hint="eastAsia" w:ascii="宋体" w:hAnsi="宋体"/>
                <w:sz w:val="24"/>
                <w:szCs w:val="24"/>
              </w:rPr>
            </w:pPr>
            <w:r>
              <w:rPr>
                <w:rFonts w:hint="eastAsia" w:ascii="宋体" w:hAnsi="宋体"/>
                <w:sz w:val="24"/>
                <w:szCs w:val="24"/>
              </w:rPr>
              <w:t>4.开展文体活动，提高学生综合素质。</w:t>
            </w:r>
          </w:p>
        </w:tc>
      </w:tr>
    </w:tbl>
    <w:p>
      <w:pPr>
        <w:spacing w:line="14" w:lineRule="exact"/>
        <w:jc w:val="center"/>
        <w:rPr>
          <w:rFonts w:hint="eastAsia" w:ascii="仿宋_GB2312" w:hAnsi="宋体" w:eastAsia="仿宋_GB2312"/>
          <w:sz w:val="24"/>
          <w:szCs w:val="24"/>
        </w:rPr>
      </w:pPr>
      <w:r>
        <w:rPr>
          <w:rFonts w:hint="eastAsia" w:ascii="仿宋_GB2312" w:eastAsia="仿宋_GB2312"/>
          <w:sz w:val="24"/>
          <w:szCs w:val="24"/>
        </w:rPr>
        <w:t xml:space="preserve"> </w:t>
      </w:r>
    </w:p>
    <w:tbl>
      <w:tblPr>
        <w:tblStyle w:val="8"/>
        <w:tblW w:w="128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836"/>
        <w:gridCol w:w="2436"/>
        <w:gridCol w:w="3243"/>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3"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一级指标</w:t>
            </w:r>
          </w:p>
        </w:tc>
        <w:tc>
          <w:tcPr>
            <w:tcW w:w="183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二级指标</w:t>
            </w:r>
          </w:p>
        </w:tc>
        <w:tc>
          <w:tcPr>
            <w:tcW w:w="243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三级指标</w:t>
            </w:r>
          </w:p>
        </w:tc>
        <w:tc>
          <w:tcPr>
            <w:tcW w:w="3243"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绩效指标描述</w:t>
            </w:r>
          </w:p>
        </w:tc>
        <w:tc>
          <w:tcPr>
            <w:tcW w:w="1276"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w:t>
            </w:r>
          </w:p>
        </w:tc>
        <w:tc>
          <w:tcPr>
            <w:tcW w:w="1701" w:type="dxa"/>
            <w:shd w:val="clear" w:color="auto" w:fill="auto"/>
            <w:vAlign w:val="center"/>
          </w:tcPr>
          <w:p>
            <w:pPr>
              <w:spacing w:line="300" w:lineRule="exact"/>
              <w:jc w:val="center"/>
              <w:rPr>
                <w:rFonts w:hint="eastAsia" w:ascii="宋体" w:hAnsi="宋体"/>
                <w:b/>
                <w:sz w:val="24"/>
                <w:szCs w:val="24"/>
              </w:rPr>
            </w:pPr>
            <w:r>
              <w:rPr>
                <w:rFonts w:hint="eastAsia" w:ascii="宋体" w:hAnsi="宋体"/>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产出指标</w:t>
            </w: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数量指标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物资采购合格率</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合格的教学用品数量占购置用品总量的比例</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保安全</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保在校师生安全不出问题，无安全事故。</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安全</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保正常运转</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日常教学器材及物资充裕</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正常运转</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质量指标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上级下达的各项工作任务完成率</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保证完成上级下达学校的各项工作任务</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100%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时效指标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是否按时保质保量的完成</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及时提供的教学用品、保障教学设施、设备正常运行</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及时</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成本指标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初中生均公用经费含85取暖费</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义务教育阶段初中生均公用经费标准含85取暖费</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935元</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restart"/>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效益指标</w:t>
            </w: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社会效益指标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推动义务教育从数量向质量转变</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推动义务教育从数量扩张向质量提高转变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提升</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vMerge w:val="continue"/>
            <w:shd w:val="clear" w:color="auto" w:fill="auto"/>
            <w:vAlign w:val="center"/>
          </w:tcPr>
          <w:p>
            <w:pPr>
              <w:spacing w:line="300" w:lineRule="exact"/>
              <w:jc w:val="center"/>
              <w:rPr>
                <w:rFonts w:hint="eastAsia" w:ascii="宋体" w:hAnsi="宋体"/>
                <w:sz w:val="24"/>
                <w:szCs w:val="24"/>
              </w:rPr>
            </w:pP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可持续影响指标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提高人口素质</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促进在校生德智体美劳全面发展、促进全民素质的提高。</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提高</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3" w:type="dxa"/>
            <w:shd w:val="clear" w:color="auto" w:fill="auto"/>
            <w:vAlign w:val="center"/>
          </w:tcPr>
          <w:p>
            <w:pPr>
              <w:spacing w:line="300" w:lineRule="exact"/>
              <w:jc w:val="center"/>
              <w:rPr>
                <w:rFonts w:hint="eastAsia" w:ascii="宋体" w:hAnsi="宋体"/>
                <w:sz w:val="24"/>
                <w:szCs w:val="24"/>
              </w:rPr>
            </w:pPr>
            <w:r>
              <w:rPr>
                <w:rFonts w:hint="eastAsia" w:ascii="宋体" w:hAnsi="宋体"/>
                <w:sz w:val="24"/>
                <w:szCs w:val="24"/>
              </w:rPr>
              <w:t>满意度指标</w:t>
            </w:r>
          </w:p>
        </w:tc>
        <w:tc>
          <w:tcPr>
            <w:tcW w:w="18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服务对象满意度指标</w:t>
            </w:r>
          </w:p>
        </w:tc>
        <w:tc>
          <w:tcPr>
            <w:tcW w:w="243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接受义务教育学生家长满意度</w:t>
            </w:r>
          </w:p>
        </w:tc>
        <w:tc>
          <w:tcPr>
            <w:tcW w:w="3243"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满意家长数量/总数</w:t>
            </w:r>
          </w:p>
        </w:tc>
        <w:tc>
          <w:tcPr>
            <w:tcW w:w="1276"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≥90%</w:t>
            </w:r>
          </w:p>
        </w:tc>
        <w:tc>
          <w:tcPr>
            <w:tcW w:w="1701" w:type="dxa"/>
            <w:shd w:val="clear" w:color="auto" w:fill="auto"/>
            <w:vAlign w:val="center"/>
          </w:tcPr>
          <w:p>
            <w:pPr>
              <w:spacing w:line="300" w:lineRule="exact"/>
              <w:jc w:val="left"/>
              <w:rPr>
                <w:rFonts w:hint="eastAsia" w:ascii="宋体" w:hAnsi="宋体"/>
                <w:sz w:val="24"/>
                <w:szCs w:val="24"/>
              </w:rPr>
            </w:pPr>
            <w:r>
              <w:rPr>
                <w:rFonts w:hint="eastAsia" w:ascii="宋体" w:hAnsi="宋体"/>
                <w:sz w:val="24"/>
                <w:szCs w:val="24"/>
              </w:rPr>
              <w:t>调查问卷</w:t>
            </w:r>
          </w:p>
        </w:tc>
      </w:tr>
    </w:tbl>
    <w:p>
      <w:pPr>
        <w:spacing w:line="300" w:lineRule="exact"/>
        <w:jc w:val="left"/>
        <w:rPr>
          <w:rFonts w:hint="eastAsia" w:ascii="仿宋_GB2312" w:eastAsia="仿宋_GB2312"/>
          <w:sz w:val="24"/>
          <w:szCs w:val="24"/>
        </w:rPr>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书宋_GBK" w:eastAsia="方正书宋_GBK" w:cs="Times New Roman"/>
                <w:sz w:val="24"/>
                <w:lang w:val="en-US" w:eastAsia="zh-CN"/>
              </w:rPr>
              <w:t>[430016]廊坊市第三中学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廊坊市第三中学上年末固定资产金额为</w:t>
      </w:r>
      <w:r>
        <w:rPr>
          <w:rFonts w:hint="eastAsia" w:ascii="Times New Roman" w:hAnsi="Times New Roman" w:eastAsia="仿宋_GB2312" w:cs="Times New Roman"/>
          <w:sz w:val="32"/>
          <w:szCs w:val="32"/>
        </w:rPr>
        <w:t>1111.62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廊坊市第三中学固定资产占用情况表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编制部门：廊坊市第三中学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1111</w:t>
            </w:r>
            <w:r>
              <w:rPr>
                <w:rFonts w:hint="eastAsia" w:ascii="Times New Roman" w:hAnsi="Times New Roman" w:eastAsia="仿宋_GB2312" w:cs="Times New Roman"/>
                <w:sz w:val="22"/>
              </w:rPr>
              <w:t>.</w:t>
            </w:r>
            <w:r>
              <w:rPr>
                <w:rFonts w:ascii="Times New Roman" w:hAnsi="Times New Roman" w:eastAsia="仿宋_GB2312" w:cs="Times New Roman"/>
                <w:sz w:val="22"/>
              </w:rPr>
              <w:t>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13853</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olor w:val="333333"/>
                <w:sz w:val="22"/>
              </w:rPr>
            </w:pPr>
            <w:r>
              <w:rPr>
                <w:rFonts w:hint="eastAsia" w:ascii="微软雅黑" w:hAnsi="微软雅黑" w:eastAsia="微软雅黑"/>
                <w:color w:val="333333"/>
                <w:sz w:val="22"/>
              </w:rPr>
              <w:t xml:space="preserve">700.50 </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32591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411.12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- 1 -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7129AF"/>
    <w:rsid w:val="007257DA"/>
    <w:rsid w:val="00807A76"/>
    <w:rsid w:val="008759F9"/>
    <w:rsid w:val="0089152A"/>
    <w:rsid w:val="008F0EB4"/>
    <w:rsid w:val="00A218C6"/>
    <w:rsid w:val="00A829D5"/>
    <w:rsid w:val="00B17B32"/>
    <w:rsid w:val="00B80935"/>
    <w:rsid w:val="00BA3CDD"/>
    <w:rsid w:val="00C032F4"/>
    <w:rsid w:val="00C16497"/>
    <w:rsid w:val="00CA27A5"/>
    <w:rsid w:val="00D347CC"/>
    <w:rsid w:val="00E27CE3"/>
    <w:rsid w:val="00F37F3A"/>
    <w:rsid w:val="00F70818"/>
    <w:rsid w:val="00FA4801"/>
    <w:rsid w:val="03720679"/>
    <w:rsid w:val="13DC3089"/>
    <w:rsid w:val="1CA25A78"/>
    <w:rsid w:val="2DEE2089"/>
    <w:rsid w:val="305A547C"/>
    <w:rsid w:val="41ED3332"/>
    <w:rsid w:val="48EB4931"/>
    <w:rsid w:val="59B371C8"/>
    <w:rsid w:val="5A8D0006"/>
    <w:rsid w:val="5F5D39E8"/>
    <w:rsid w:val="64153F94"/>
    <w:rsid w:val="6716010B"/>
    <w:rsid w:val="6A611BEE"/>
    <w:rsid w:val="6D9B59B6"/>
    <w:rsid w:val="6E9E3A66"/>
    <w:rsid w:val="76944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page number"/>
    <w:basedOn w:val="9"/>
    <w:uiPriority w:val="0"/>
  </w:style>
  <w:style w:type="character" w:styleId="11">
    <w:name w:val="footnote reference"/>
    <w:uiPriority w:val="0"/>
    <w:rPr>
      <w:vertAlign w:val="superscript"/>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835</Words>
  <Characters>4763</Characters>
  <Lines>39</Lines>
  <Paragraphs>11</Paragraphs>
  <TotalTime>0</TotalTime>
  <ScaleCrop>false</ScaleCrop>
  <LinksUpToDate>false</LinksUpToDate>
  <CharactersWithSpaces>5587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2024-05-15T08:10:22Z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3783BA7CE3CC408895034B61AEB24B9B</vt:lpwstr>
  </property>
</Properties>
</file>