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第九中学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按照《中华人民共和国预算法》、《中华人民共和国预算法实施条例》、《地方预决算公开操作规程》和《河北省省级预算公开办法》规定，现将廊坊市</w:t>
      </w:r>
      <w:r>
        <w:rPr>
          <w:rFonts w:hint="eastAsia" w:ascii="仿宋" w:hAnsi="仿宋" w:eastAsia="仿宋" w:cs="Times New Roman"/>
          <w:sz w:val="32"/>
          <w:szCs w:val="32"/>
        </w:rPr>
        <w:t>第九中学</w:t>
      </w:r>
      <w:r>
        <w:rPr>
          <w:rFonts w:ascii="仿宋" w:hAnsi="仿宋" w:eastAsia="仿宋" w:cs="Times New Roman"/>
          <w:sz w:val="32"/>
          <w:szCs w:val="32"/>
        </w:rPr>
        <w:t>20</w:t>
      </w:r>
      <w:r>
        <w:rPr>
          <w:rFonts w:hint="eastAsia" w:ascii="仿宋" w:hAnsi="仿宋" w:eastAsia="仿宋" w:cs="Times New Roman"/>
          <w:sz w:val="32"/>
          <w:szCs w:val="32"/>
        </w:rPr>
        <w:t>21</w:t>
      </w:r>
      <w:r>
        <w:rPr>
          <w:rFonts w:ascii="仿宋" w:hAnsi="仿宋" w:eastAsia="仿宋"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（一）正确贯彻执行党和国家的教育方针、政策、法规。</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（二）维护学校的教学秩序，为学生创造良好的学习环境。</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（三）积极稳妥地推进教育改革，按教育规律办事，不断提高教育质量。</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（四）根据学校规模，设置学校管理机构，建立健全各项规章制度和岗位责任制。</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 xml:space="preserve">（五）坚持教书育人，服务育人，环境育人方针，加强对学生的思想品德教育，使学生的德智体全面发展。            </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（六）抓好教师队伍建设，使每个教师都热心于教育事业。</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（七）做好安全防范，保证学生的人</w:t>
      </w:r>
      <w:r>
        <w:rPr>
          <w:rFonts w:hint="eastAsia" w:ascii="仿宋" w:hAnsi="仿宋" w:eastAsia="仿宋"/>
          <w:sz w:val="32"/>
          <w:szCs w:val="32"/>
          <w:lang w:eastAsia="zh-CN"/>
        </w:rPr>
        <w:t>身</w:t>
      </w:r>
      <w:r>
        <w:rPr>
          <w:rFonts w:hint="eastAsia" w:ascii="仿宋" w:hAnsi="仿宋" w:eastAsia="仿宋"/>
          <w:sz w:val="32"/>
          <w:szCs w:val="32"/>
        </w:rPr>
        <w:t>安全。</w:t>
      </w:r>
      <w:bookmarkStart w:id="3" w:name="_GoBack"/>
      <w:bookmarkEnd w:id="3"/>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2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38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3383"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 w:hAnsi="仿宋" w:eastAsia="仿宋" w:cs="Times New Roman"/>
              </w:rPr>
            </w:pPr>
            <w:r>
              <w:rPr>
                <w:rFonts w:hint="eastAsia" w:ascii="仿宋" w:hAnsi="仿宋" w:eastAsia="仿宋" w:cs="Times New Roman"/>
              </w:rPr>
              <w:t>廊坊市第九中学</w:t>
            </w:r>
          </w:p>
        </w:tc>
        <w:tc>
          <w:tcPr>
            <w:tcW w:w="1134" w:type="dxa"/>
            <w:shd w:val="clear" w:color="auto" w:fill="auto"/>
            <w:vAlign w:val="center"/>
          </w:tcPr>
          <w:p>
            <w:pPr>
              <w:spacing w:line="584" w:lineRule="exact"/>
              <w:jc w:val="center"/>
              <w:rPr>
                <w:rFonts w:ascii="仿宋" w:hAnsi="仿宋" w:eastAsia="仿宋" w:cs="Times New Roman"/>
              </w:rPr>
            </w:pPr>
            <w:r>
              <w:rPr>
                <w:rFonts w:hint="eastAsia" w:ascii="仿宋" w:hAnsi="仿宋" w:eastAsia="仿宋" w:cs="Times New Roman"/>
              </w:rPr>
              <w:t>全额事业</w:t>
            </w:r>
          </w:p>
        </w:tc>
        <w:tc>
          <w:tcPr>
            <w:tcW w:w="1276" w:type="dxa"/>
            <w:shd w:val="clear" w:color="auto" w:fill="auto"/>
            <w:vAlign w:val="center"/>
          </w:tcPr>
          <w:p>
            <w:pPr>
              <w:spacing w:line="584" w:lineRule="exact"/>
              <w:jc w:val="center"/>
              <w:rPr>
                <w:rFonts w:ascii="仿宋" w:hAnsi="仿宋" w:eastAsia="仿宋" w:cs="Times New Roman"/>
              </w:rPr>
            </w:pPr>
            <w:r>
              <w:rPr>
                <w:rFonts w:hint="eastAsia" w:ascii="仿宋" w:hAnsi="仿宋" w:eastAsia="仿宋" w:cs="Times New Roman"/>
              </w:rPr>
              <w:t>副科级</w:t>
            </w:r>
          </w:p>
        </w:tc>
        <w:tc>
          <w:tcPr>
            <w:tcW w:w="3383" w:type="dxa"/>
            <w:shd w:val="clear" w:color="auto" w:fill="auto"/>
            <w:vAlign w:val="center"/>
          </w:tcPr>
          <w:p>
            <w:pPr>
              <w:spacing w:line="584" w:lineRule="exact"/>
              <w:jc w:val="center"/>
              <w:rPr>
                <w:rFonts w:ascii="仿宋" w:hAnsi="仿宋" w:eastAsia="仿宋" w:cs="Times New Roman"/>
              </w:rPr>
            </w:pPr>
            <w:r>
              <w:rPr>
                <w:rFonts w:hint="eastAsia" w:ascii="仿宋" w:hAnsi="仿宋" w:eastAsia="仿宋" w:cs="Times New Roman"/>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第九中学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2386.75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2386.75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第九中学</w:t>
      </w: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2386.75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2255.60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2225.00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30.60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131.15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2386.75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216.91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96.28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120.63</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rPr>
        <w:t>用于九中两个校区的日常办公、水电费、教育设施维护等日常运行</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lang w:val="en-US" w:eastAsia="zh-CN"/>
        </w:rPr>
        <w:t>30.60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主要用于单位正常运行支出</w:t>
      </w:r>
      <w:r>
        <w:rPr>
          <w:rFonts w:ascii="Times New Roman" w:hAnsi="Times New Roman" w:eastAsia="仿宋_GB2312" w:cs="Times New Roman"/>
          <w:sz w:val="32"/>
          <w:szCs w:val="32"/>
        </w:rPr>
        <w:t>。</w:t>
      </w:r>
    </w:p>
    <w:p>
      <w:pPr>
        <w:autoSpaceDE w:val="0"/>
        <w:autoSpaceDN w:val="0"/>
        <w:adjustRightInd w:val="0"/>
        <w:spacing w:line="584" w:lineRule="exact"/>
        <w:ind w:firstLine="787" w:firstLineChars="246"/>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pStyle w:val="12"/>
        <w:numPr>
          <w:ilvl w:val="0"/>
          <w:numId w:val="1"/>
        </w:numPr>
        <w:spacing w:line="584" w:lineRule="exact"/>
        <w:ind w:firstLineChars="0"/>
        <w:rPr>
          <w:rFonts w:hint="eastAsia" w:ascii="楷体_GB2312" w:eastAsia="楷体_GB2312" w:cs="Times New Roman"/>
          <w:b/>
          <w:sz w:val="32"/>
          <w:szCs w:val="32"/>
        </w:rPr>
      </w:pPr>
      <w:r>
        <w:rPr>
          <w:rFonts w:hint="eastAsia" w:ascii="楷体_GB2312" w:eastAsia="楷体_GB2312" w:cs="Times New Roman"/>
          <w:b/>
          <w:sz w:val="32"/>
          <w:szCs w:val="32"/>
        </w:rPr>
        <w:t>总体绩效目标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通过</w:t>
      </w:r>
      <w:r>
        <w:rPr>
          <w:rFonts w:ascii="仿宋" w:hAnsi="仿宋" w:eastAsia="仿宋"/>
          <w:sz w:val="32"/>
          <w:szCs w:val="32"/>
        </w:rPr>
        <w:t>完善</w:t>
      </w:r>
      <w:r>
        <w:rPr>
          <w:rFonts w:hint="eastAsia" w:ascii="仿宋" w:hAnsi="仿宋" w:eastAsia="仿宋"/>
          <w:sz w:val="32"/>
          <w:szCs w:val="32"/>
        </w:rPr>
        <w:t>我校</w:t>
      </w:r>
      <w:r>
        <w:rPr>
          <w:rFonts w:ascii="仿宋" w:hAnsi="仿宋" w:eastAsia="仿宋"/>
          <w:sz w:val="32"/>
          <w:szCs w:val="32"/>
        </w:rPr>
        <w:t>教育基础设施，</w:t>
      </w:r>
      <w:r>
        <w:rPr>
          <w:rFonts w:hint="eastAsia" w:ascii="仿宋" w:hAnsi="仿宋" w:eastAsia="仿宋"/>
          <w:sz w:val="32"/>
          <w:szCs w:val="32"/>
        </w:rPr>
        <w:t>推进</w:t>
      </w:r>
      <w:r>
        <w:rPr>
          <w:rFonts w:ascii="仿宋" w:hAnsi="仿宋" w:eastAsia="仿宋"/>
          <w:sz w:val="32"/>
          <w:szCs w:val="32"/>
        </w:rPr>
        <w:t>学校建设</w:t>
      </w:r>
      <w:r>
        <w:rPr>
          <w:rFonts w:hint="eastAsia" w:ascii="仿宋" w:hAnsi="仿宋" w:eastAsia="仿宋"/>
          <w:sz w:val="32"/>
          <w:szCs w:val="32"/>
        </w:rPr>
        <w:t>，改善师生学习环境</w:t>
      </w:r>
      <w:r>
        <w:rPr>
          <w:rFonts w:ascii="仿宋" w:hAnsi="仿宋" w:eastAsia="仿宋"/>
          <w:sz w:val="32"/>
          <w:szCs w:val="32"/>
        </w:rPr>
        <w:t>；</w:t>
      </w:r>
      <w:r>
        <w:rPr>
          <w:rFonts w:hint="eastAsia" w:ascii="仿宋" w:hAnsi="仿宋" w:eastAsia="仿宋"/>
          <w:sz w:val="32"/>
          <w:szCs w:val="32"/>
        </w:rPr>
        <w:t>加强教师队伍建设，</w:t>
      </w:r>
      <w:r>
        <w:rPr>
          <w:rFonts w:ascii="仿宋" w:hAnsi="仿宋" w:eastAsia="仿宋"/>
          <w:sz w:val="32"/>
          <w:szCs w:val="32"/>
        </w:rPr>
        <w:t>提高</w:t>
      </w:r>
      <w:r>
        <w:rPr>
          <w:rFonts w:hint="eastAsia" w:ascii="仿宋" w:hAnsi="仿宋" w:eastAsia="仿宋"/>
          <w:sz w:val="32"/>
          <w:szCs w:val="32"/>
        </w:rPr>
        <w:t>教师</w:t>
      </w:r>
      <w:r>
        <w:rPr>
          <w:rFonts w:ascii="仿宋" w:hAnsi="仿宋" w:eastAsia="仿宋"/>
          <w:sz w:val="32"/>
          <w:szCs w:val="32"/>
        </w:rPr>
        <w:t>专业素质</w:t>
      </w:r>
      <w:r>
        <w:rPr>
          <w:rFonts w:hint="eastAsia" w:ascii="仿宋" w:hAnsi="仿宋" w:eastAsia="仿宋"/>
          <w:sz w:val="32"/>
          <w:szCs w:val="32"/>
        </w:rPr>
        <w:t>、学生综合素质、学生学习效率，提升教育教学水平；</w:t>
      </w:r>
      <w:r>
        <w:rPr>
          <w:rFonts w:ascii="仿宋" w:hAnsi="仿宋" w:eastAsia="仿宋"/>
          <w:sz w:val="32"/>
          <w:szCs w:val="32"/>
        </w:rPr>
        <w:t>全面加强党的建设，进一步落实从严管党治党要求，以习近平新时代中国特色社会主义思想统领教育系统党建工作，强化主体责任，在提升党建工作质量上下真功、用实劲、求实效。</w:t>
      </w:r>
    </w:p>
    <w:p>
      <w:pPr>
        <w:pStyle w:val="12"/>
        <w:numPr>
          <w:ilvl w:val="0"/>
          <w:numId w:val="1"/>
        </w:numPr>
        <w:spacing w:line="584" w:lineRule="exact"/>
        <w:ind w:firstLineChars="0"/>
        <w:rPr>
          <w:rFonts w:hint="eastAsia" w:ascii="楷体_GB2312" w:eastAsia="楷体_GB2312" w:cs="Times New Roman"/>
          <w:b/>
          <w:sz w:val="32"/>
          <w:szCs w:val="32"/>
        </w:rPr>
      </w:pPr>
      <w:r>
        <w:rPr>
          <w:rFonts w:hint="eastAsia" w:ascii="楷体_GB2312" w:eastAsia="楷体_GB2312" w:cs="Times New Roman"/>
          <w:b/>
          <w:sz w:val="32"/>
          <w:szCs w:val="32"/>
        </w:rPr>
        <w:t>分项绩效目标</w:t>
      </w:r>
    </w:p>
    <w:p>
      <w:pPr>
        <w:pStyle w:val="12"/>
        <w:numPr>
          <w:ilvl w:val="0"/>
          <w:numId w:val="2"/>
        </w:numPr>
        <w:spacing w:line="584" w:lineRule="exact"/>
        <w:ind w:firstLineChars="0"/>
        <w:rPr>
          <w:rFonts w:hint="eastAsia" w:ascii="仿宋" w:hAnsi="仿宋" w:eastAsia="仿宋" w:cs="Times New Roman"/>
          <w:sz w:val="32"/>
          <w:szCs w:val="32"/>
        </w:rPr>
      </w:pPr>
      <w:r>
        <w:rPr>
          <w:rFonts w:hint="eastAsia" w:ascii="仿宋" w:hAnsi="仿宋" w:eastAsia="仿宋" w:cs="Times New Roman"/>
          <w:sz w:val="32"/>
          <w:szCs w:val="32"/>
        </w:rPr>
        <w:t>提升教育教学水平，提高学生综合素质</w:t>
      </w:r>
    </w:p>
    <w:p>
      <w:pPr>
        <w:pStyle w:val="12"/>
        <w:spacing w:line="584" w:lineRule="exact"/>
        <w:ind w:left="1363" w:firstLine="0" w:firstLineChars="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绩效目标：深化教育教学改革创新，推行义务教育质量检测；完成</w:t>
      </w:r>
      <w:r>
        <w:rPr>
          <w:rFonts w:ascii="Times New Roman" w:hAnsi="Times New Roman" w:eastAsia="仿宋_GB2312" w:cs="Times New Roman"/>
          <w:sz w:val="32"/>
          <w:szCs w:val="32"/>
        </w:rPr>
        <w:t>学生文体活动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特色活动及学生奖励</w:t>
      </w:r>
      <w:r>
        <w:rPr>
          <w:rFonts w:hint="eastAsia" w:ascii="Times New Roman" w:hAnsi="Times New Roman" w:eastAsia="仿宋_GB2312" w:cs="Times New Roman"/>
          <w:sz w:val="32"/>
          <w:szCs w:val="32"/>
        </w:rPr>
        <w:t>等工作。</w:t>
      </w:r>
    </w:p>
    <w:p>
      <w:pPr>
        <w:autoSpaceDE w:val="0"/>
        <w:autoSpaceDN w:val="0"/>
        <w:adjustRightInd w:val="0"/>
        <w:spacing w:line="584" w:lineRule="exact"/>
        <w:ind w:left="197" w:leftChars="94" w:firstLine="1120" w:firstLineChars="3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绩效指标：各项工作完成情况达到100%；提升教师教学及备课质量，提高学生综合素质。</w:t>
      </w:r>
    </w:p>
    <w:p>
      <w:pPr>
        <w:pStyle w:val="12"/>
        <w:numPr>
          <w:ilvl w:val="0"/>
          <w:numId w:val="2"/>
        </w:numPr>
        <w:autoSpaceDE w:val="0"/>
        <w:autoSpaceDN w:val="0"/>
        <w:adjustRightInd w:val="0"/>
        <w:spacing w:line="584" w:lineRule="exact"/>
        <w:ind w:firstLineChars="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加强教师队伍建设</w:t>
      </w:r>
    </w:p>
    <w:p>
      <w:pPr>
        <w:pStyle w:val="12"/>
        <w:autoSpaceDE w:val="0"/>
        <w:autoSpaceDN w:val="0"/>
        <w:adjustRightInd w:val="0"/>
        <w:spacing w:line="590" w:lineRule="exact"/>
        <w:ind w:left="1363" w:firstLine="0" w:firstLineChars="0"/>
        <w:jc w:val="left"/>
        <w:rPr>
          <w:rFonts w:hint="eastAsia" w:ascii="仿宋" w:hAnsi="仿宋" w:eastAsia="仿宋" w:cs="Times New Roman"/>
          <w:sz w:val="30"/>
          <w:szCs w:val="30"/>
        </w:rPr>
      </w:pPr>
      <w:r>
        <w:rPr>
          <w:rFonts w:hint="eastAsia" w:ascii="仿宋" w:hAnsi="仿宋" w:eastAsia="仿宋" w:cs="Times New Roman"/>
          <w:sz w:val="30"/>
          <w:szCs w:val="30"/>
        </w:rPr>
        <w:t>绩效目标：提高教师培训质量，提升教师业务能力和水平，不断提高教学质量。</w:t>
      </w:r>
    </w:p>
    <w:p>
      <w:pPr>
        <w:spacing w:line="590" w:lineRule="exact"/>
        <w:ind w:firstLine="1350" w:firstLineChars="450"/>
        <w:jc w:val="left"/>
        <w:rPr>
          <w:rFonts w:hint="eastAsia" w:ascii="仿宋" w:hAnsi="仿宋" w:eastAsia="仿宋"/>
          <w:sz w:val="30"/>
          <w:szCs w:val="30"/>
        </w:rPr>
      </w:pPr>
      <w:r>
        <w:rPr>
          <w:rFonts w:hint="eastAsia" w:ascii="仿宋" w:hAnsi="仿宋" w:eastAsia="仿宋" w:cs="Times New Roman"/>
          <w:sz w:val="30"/>
          <w:szCs w:val="30"/>
        </w:rPr>
        <w:t>绩效指标：及时组织教师参加培训；教师培训合格率达到100%。</w:t>
      </w:r>
    </w:p>
    <w:p>
      <w:pPr>
        <w:pStyle w:val="12"/>
        <w:numPr>
          <w:ilvl w:val="0"/>
          <w:numId w:val="2"/>
        </w:numPr>
        <w:spacing w:line="590" w:lineRule="exact"/>
        <w:ind w:firstLineChars="0"/>
        <w:jc w:val="lef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加强学校安全工作</w:t>
      </w:r>
    </w:p>
    <w:p>
      <w:pPr>
        <w:pStyle w:val="12"/>
        <w:spacing w:line="590" w:lineRule="exact"/>
        <w:ind w:left="1361" w:firstLine="0" w:firstLineChars="0"/>
        <w:jc w:val="left"/>
        <w:rPr>
          <w:rFonts w:hint="eastAsia" w:ascii="仿宋" w:hAnsi="仿宋" w:eastAsia="仿宋"/>
          <w:color w:val="000000"/>
          <w:sz w:val="32"/>
          <w:szCs w:val="32"/>
        </w:rPr>
      </w:pPr>
      <w:r>
        <w:rPr>
          <w:rFonts w:hint="eastAsia" w:ascii="仿宋" w:hAnsi="仿宋" w:eastAsia="仿宋"/>
          <w:color w:val="000000"/>
          <w:sz w:val="32"/>
          <w:szCs w:val="32"/>
        </w:rPr>
        <w:t>绩效目标：防范化解学校安全风险，排查整改安全隐患，提高学生安全防范意识。</w:t>
      </w:r>
    </w:p>
    <w:p>
      <w:pPr>
        <w:pStyle w:val="12"/>
        <w:spacing w:line="590" w:lineRule="exact"/>
        <w:ind w:left="1361" w:firstLine="0" w:firstLineChars="0"/>
        <w:jc w:val="left"/>
        <w:rPr>
          <w:rFonts w:hint="eastAsia" w:ascii="Times New Roman" w:hAnsi="Times New Roman" w:eastAsia="仿宋_GB2312"/>
          <w:sz w:val="32"/>
          <w:szCs w:val="32"/>
        </w:rPr>
      </w:pPr>
      <w:r>
        <w:rPr>
          <w:rFonts w:hint="eastAsia" w:ascii="仿宋" w:hAnsi="仿宋" w:eastAsia="仿宋"/>
          <w:color w:val="000000"/>
          <w:sz w:val="32"/>
          <w:szCs w:val="32"/>
        </w:rPr>
        <w:t>绩效指标</w:t>
      </w:r>
      <w:r>
        <w:rPr>
          <w:rFonts w:hint="eastAsia" w:ascii="Times New Roman" w:hAnsi="Times New Roman" w:eastAsia="仿宋_GB2312"/>
          <w:sz w:val="32"/>
          <w:szCs w:val="32"/>
        </w:rPr>
        <w:t>通过项目的开展，提升学校安防级别；师生对项目的满意度达到95%。</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left="0" w:leftChars="0" w:firstLine="640" w:firstLineChars="200"/>
        <w:rPr>
          <w:rFonts w:hint="eastAsia" w:ascii="Times New Roman" w:hAnsi="Times New Roman" w:eastAsia="仿宋_GB2312" w:cs="Arial"/>
          <w:b w:val="0"/>
          <w:bCs/>
          <w:sz w:val="32"/>
          <w:szCs w:val="32"/>
        </w:rPr>
      </w:pPr>
      <w:r>
        <w:rPr>
          <w:rFonts w:hint="eastAsia" w:ascii="Times New Roman" w:hAnsi="Times New Roman" w:eastAsia="仿宋_GB2312" w:cs="Arial"/>
          <w:b w:val="0"/>
          <w:bCs/>
          <w:sz w:val="32"/>
          <w:szCs w:val="32"/>
        </w:rPr>
        <w:t>1、完善制度建设</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完善工作制度，制定完善预算绩效管理制度、资金管理办法等，为全年预算绩效目标的实现奠定坚实的基础。</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2、加强绩效运行监控</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按要求开展绩效运行监控，发现问题及时采取措施，确保绩效目标如期保质实现。</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3、做好绩效自评</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按要求做好预算绩效自评工作，加强对重点预算项目的自评工作，通过对评价中发现的问题进行整改，提高财政资金使用效益。</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4、规范财务资产管理</w:t>
      </w:r>
    </w:p>
    <w:p>
      <w:pPr>
        <w:spacing w:line="584" w:lineRule="exact"/>
        <w:ind w:firstLine="640" w:firstLineChars="200"/>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进一步完善财务管理制度，严格审批程序，规范审批流程，加强固定资产登记、使用和报废处置管理，做到支出合理，物尽其用。</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860"/>
        <w:gridCol w:w="1987"/>
        <w:gridCol w:w="2160"/>
        <w:gridCol w:w="2387"/>
        <w:gridCol w:w="1990"/>
        <w:gridCol w:w="709"/>
        <w:gridCol w:w="425"/>
        <w:gridCol w:w="56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8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98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38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9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701"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0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860" w:type="dxa"/>
            <w:vMerge w:val="continue"/>
            <w:tcBorders>
              <w:tl2br w:val="nil"/>
              <w:tr2bl w:val="nil"/>
            </w:tcBorders>
            <w:vAlign w:val="center"/>
          </w:tcPr>
          <w:p/>
        </w:tc>
        <w:tc>
          <w:tcPr>
            <w:tcW w:w="1987" w:type="dxa"/>
            <w:vMerge w:val="continue"/>
            <w:tcBorders>
              <w:tl2br w:val="nil"/>
              <w:tr2bl w:val="nil"/>
            </w:tcBorders>
            <w:vAlign w:val="center"/>
          </w:tcPr>
          <w:p/>
        </w:tc>
        <w:tc>
          <w:tcPr>
            <w:tcW w:w="2160" w:type="dxa"/>
            <w:vMerge w:val="continue"/>
            <w:tcBorders>
              <w:tl2br w:val="nil"/>
              <w:tr2bl w:val="nil"/>
            </w:tcBorders>
            <w:vAlign w:val="center"/>
          </w:tcPr>
          <w:p/>
        </w:tc>
        <w:tc>
          <w:tcPr>
            <w:tcW w:w="2387" w:type="dxa"/>
            <w:vMerge w:val="continue"/>
            <w:tcBorders>
              <w:tl2br w:val="nil"/>
              <w:tr2bl w:val="nil"/>
            </w:tcBorders>
            <w:vAlign w:val="center"/>
          </w:tcPr>
          <w:p/>
        </w:tc>
        <w:tc>
          <w:tcPr>
            <w:tcW w:w="1990" w:type="dxa"/>
            <w:vMerge w:val="continue"/>
            <w:tcBorders>
              <w:tl2br w:val="nil"/>
              <w:tr2bl w:val="nil"/>
            </w:tcBorders>
            <w:vAlign w:val="center"/>
          </w:tcPr>
          <w:p/>
        </w:tc>
        <w:tc>
          <w:tcPr>
            <w:tcW w:w="70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2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034"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60" w:type="dxa"/>
            <w:vMerge w:val="restart"/>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部门产出</w:t>
            </w:r>
          </w:p>
        </w:tc>
        <w:tc>
          <w:tcPr>
            <w:tcW w:w="1987"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数量</w:t>
            </w:r>
          </w:p>
        </w:tc>
        <w:tc>
          <w:tcPr>
            <w:tcW w:w="216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重点项目完成率</w:t>
            </w:r>
          </w:p>
        </w:tc>
        <w:tc>
          <w:tcPr>
            <w:tcW w:w="2387"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每降低5%扣除该项10%分数</w:t>
            </w:r>
          </w:p>
        </w:tc>
        <w:tc>
          <w:tcPr>
            <w:tcW w:w="199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反映本年度重点项目完成率</w:t>
            </w:r>
          </w:p>
        </w:tc>
        <w:tc>
          <w:tcPr>
            <w:tcW w:w="709"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42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100</w:t>
            </w:r>
          </w:p>
        </w:tc>
        <w:tc>
          <w:tcPr>
            <w:tcW w:w="56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1034"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60" w:type="dxa"/>
            <w:vMerge w:val="continue"/>
            <w:tcBorders>
              <w:tl2br w:val="nil"/>
              <w:tr2bl w:val="nil"/>
            </w:tcBorders>
            <w:vAlign w:val="center"/>
          </w:tcPr>
          <w:p>
            <w:pPr>
              <w:rPr>
                <w:rFonts w:ascii="仿宋" w:hAnsi="仿宋" w:eastAsia="仿宋"/>
              </w:rPr>
            </w:pPr>
          </w:p>
        </w:tc>
        <w:tc>
          <w:tcPr>
            <w:tcW w:w="1987"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质量</w:t>
            </w:r>
          </w:p>
        </w:tc>
        <w:tc>
          <w:tcPr>
            <w:tcW w:w="216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学生综合素质达标率</w:t>
            </w:r>
          </w:p>
        </w:tc>
        <w:tc>
          <w:tcPr>
            <w:tcW w:w="2387"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每降低1%扣除该项10%分数</w:t>
            </w:r>
          </w:p>
        </w:tc>
        <w:tc>
          <w:tcPr>
            <w:tcW w:w="199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学生综合素质达标率</w:t>
            </w:r>
          </w:p>
        </w:tc>
        <w:tc>
          <w:tcPr>
            <w:tcW w:w="709"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42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100</w:t>
            </w:r>
          </w:p>
        </w:tc>
        <w:tc>
          <w:tcPr>
            <w:tcW w:w="56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1034"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860" w:type="dxa"/>
            <w:vMerge w:val="continue"/>
            <w:tcBorders>
              <w:tl2br w:val="nil"/>
              <w:tr2bl w:val="nil"/>
            </w:tcBorders>
            <w:vAlign w:val="center"/>
          </w:tcPr>
          <w:p>
            <w:pPr>
              <w:rPr>
                <w:rFonts w:ascii="仿宋" w:hAnsi="仿宋" w:eastAsia="仿宋"/>
              </w:rPr>
            </w:pPr>
          </w:p>
        </w:tc>
        <w:tc>
          <w:tcPr>
            <w:tcW w:w="1987"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时效</w:t>
            </w:r>
          </w:p>
        </w:tc>
        <w:tc>
          <w:tcPr>
            <w:tcW w:w="216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项目完成</w:t>
            </w:r>
            <w:r>
              <w:rPr>
                <w:rFonts w:ascii="仿宋" w:hAnsi="仿宋" w:eastAsia="仿宋"/>
              </w:rPr>
              <w:t>及时性</w:t>
            </w:r>
          </w:p>
        </w:tc>
        <w:tc>
          <w:tcPr>
            <w:tcW w:w="2387"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未达到完成时限，减时效分值10%</w:t>
            </w:r>
          </w:p>
        </w:tc>
        <w:tc>
          <w:tcPr>
            <w:tcW w:w="1990"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反映项目</w:t>
            </w:r>
            <w:r>
              <w:rPr>
                <w:rFonts w:ascii="仿宋" w:hAnsi="仿宋" w:eastAsia="仿宋"/>
              </w:rPr>
              <w:t>完成及时性</w:t>
            </w:r>
          </w:p>
        </w:tc>
        <w:tc>
          <w:tcPr>
            <w:tcW w:w="709" w:type="dxa"/>
            <w:tcBorders>
              <w:tl2br w:val="nil"/>
              <w:tr2bl w:val="nil"/>
            </w:tcBorders>
            <w:vAlign w:val="center"/>
          </w:tcPr>
          <w:p>
            <w:pPr>
              <w:widowControl/>
              <w:adjustRightInd w:val="0"/>
              <w:snapToGrid w:val="0"/>
              <w:jc w:val="center"/>
              <w:rPr>
                <w:rFonts w:ascii="仿宋" w:hAnsi="仿宋" w:eastAsia="仿宋"/>
              </w:rPr>
            </w:pPr>
          </w:p>
        </w:tc>
        <w:tc>
          <w:tcPr>
            <w:tcW w:w="425"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及时</w:t>
            </w:r>
          </w:p>
        </w:tc>
        <w:tc>
          <w:tcPr>
            <w:tcW w:w="567" w:type="dxa"/>
            <w:tcBorders>
              <w:tl2br w:val="nil"/>
              <w:tr2bl w:val="nil"/>
            </w:tcBorders>
            <w:vAlign w:val="center"/>
          </w:tcPr>
          <w:p>
            <w:pPr>
              <w:widowControl/>
              <w:adjustRightInd w:val="0"/>
              <w:snapToGrid w:val="0"/>
              <w:jc w:val="center"/>
              <w:rPr>
                <w:rFonts w:ascii="仿宋" w:hAnsi="仿宋" w:eastAsia="仿宋"/>
              </w:rPr>
            </w:pPr>
          </w:p>
        </w:tc>
        <w:tc>
          <w:tcPr>
            <w:tcW w:w="1034"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60" w:type="dxa"/>
            <w:vMerge w:val="continue"/>
            <w:tcBorders>
              <w:tl2br w:val="nil"/>
              <w:tr2bl w:val="nil"/>
            </w:tcBorders>
            <w:vAlign w:val="center"/>
          </w:tcPr>
          <w:p>
            <w:pPr>
              <w:rPr>
                <w:rFonts w:ascii="仿宋" w:hAnsi="仿宋" w:eastAsia="仿宋"/>
              </w:rPr>
            </w:pPr>
          </w:p>
        </w:tc>
        <w:tc>
          <w:tcPr>
            <w:tcW w:w="1987"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成本</w:t>
            </w:r>
          </w:p>
        </w:tc>
        <w:tc>
          <w:tcPr>
            <w:tcW w:w="2160"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成本节约率</w:t>
            </w:r>
          </w:p>
        </w:tc>
        <w:tc>
          <w:tcPr>
            <w:tcW w:w="2387"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每超出成本5%，减成本分值10%，</w:t>
            </w:r>
          </w:p>
        </w:tc>
        <w:tc>
          <w:tcPr>
            <w:tcW w:w="1990" w:type="dxa"/>
            <w:tcBorders>
              <w:tl2br w:val="nil"/>
              <w:tr2bl w:val="nil"/>
            </w:tcBorders>
            <w:vAlign w:val="center"/>
          </w:tcPr>
          <w:p>
            <w:pPr>
              <w:widowControl/>
              <w:adjustRightInd w:val="0"/>
              <w:snapToGrid w:val="0"/>
              <w:jc w:val="left"/>
              <w:rPr>
                <w:rFonts w:ascii="仿宋" w:hAnsi="仿宋" w:eastAsia="仿宋"/>
              </w:rPr>
            </w:pPr>
            <w:r>
              <w:rPr>
                <w:rFonts w:ascii="仿宋" w:hAnsi="仿宋" w:eastAsia="仿宋"/>
              </w:rPr>
              <w:t>考察完成项目计划工作目标的实际节约成本与计划成本的比率</w:t>
            </w:r>
          </w:p>
        </w:tc>
        <w:tc>
          <w:tcPr>
            <w:tcW w:w="709"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w:t>
            </w:r>
          </w:p>
        </w:tc>
        <w:tc>
          <w:tcPr>
            <w:tcW w:w="425"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0</w:t>
            </w:r>
          </w:p>
        </w:tc>
        <w:tc>
          <w:tcPr>
            <w:tcW w:w="567"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w:t>
            </w:r>
          </w:p>
        </w:tc>
        <w:tc>
          <w:tcPr>
            <w:tcW w:w="1034"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60" w:type="dxa"/>
            <w:vMerge w:val="restart"/>
            <w:tcBorders>
              <w:tl2br w:val="nil"/>
              <w:tr2bl w:val="nil"/>
            </w:tcBorders>
            <w:vAlign w:val="center"/>
          </w:tcPr>
          <w:p>
            <w:pPr>
              <w:adjustRightInd w:val="0"/>
              <w:snapToGrid w:val="0"/>
              <w:jc w:val="center"/>
              <w:rPr>
                <w:rFonts w:ascii="仿宋" w:hAnsi="仿宋" w:eastAsia="仿宋"/>
              </w:rPr>
            </w:pPr>
            <w:r>
              <w:rPr>
                <w:rFonts w:ascii="仿宋" w:hAnsi="仿宋" w:eastAsia="仿宋"/>
              </w:rPr>
              <w:t>部门</w:t>
            </w:r>
            <w:r>
              <w:rPr>
                <w:rFonts w:hint="eastAsia" w:ascii="仿宋" w:hAnsi="仿宋" w:eastAsia="仿宋"/>
              </w:rPr>
              <w:t>效果</w:t>
            </w:r>
          </w:p>
        </w:tc>
        <w:tc>
          <w:tcPr>
            <w:tcW w:w="1987"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社会</w:t>
            </w:r>
          </w:p>
          <w:p>
            <w:pPr>
              <w:widowControl/>
              <w:adjustRightInd w:val="0"/>
              <w:snapToGrid w:val="0"/>
              <w:jc w:val="center"/>
              <w:rPr>
                <w:rFonts w:ascii="仿宋" w:hAnsi="仿宋" w:eastAsia="仿宋"/>
              </w:rPr>
            </w:pPr>
            <w:r>
              <w:rPr>
                <w:rFonts w:ascii="仿宋" w:hAnsi="仿宋" w:eastAsia="仿宋"/>
              </w:rPr>
              <w:t>效益</w:t>
            </w:r>
          </w:p>
        </w:tc>
        <w:tc>
          <w:tcPr>
            <w:tcW w:w="2160"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受益师生总人数</w:t>
            </w:r>
          </w:p>
        </w:tc>
        <w:tc>
          <w:tcPr>
            <w:tcW w:w="2387"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未达到所有学生受益，扣减10%分数</w:t>
            </w:r>
          </w:p>
        </w:tc>
        <w:tc>
          <w:tcPr>
            <w:tcW w:w="1990"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受益师生总人数</w:t>
            </w:r>
          </w:p>
        </w:tc>
        <w:tc>
          <w:tcPr>
            <w:tcW w:w="709"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w:t>
            </w:r>
          </w:p>
        </w:tc>
        <w:tc>
          <w:tcPr>
            <w:tcW w:w="42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1500</w:t>
            </w:r>
          </w:p>
        </w:tc>
        <w:tc>
          <w:tcPr>
            <w:tcW w:w="56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人</w:t>
            </w:r>
          </w:p>
        </w:tc>
        <w:tc>
          <w:tcPr>
            <w:tcW w:w="1034"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60" w:type="dxa"/>
            <w:vMerge w:val="continue"/>
            <w:tcBorders>
              <w:tl2br w:val="nil"/>
              <w:tr2bl w:val="nil"/>
            </w:tcBorders>
            <w:vAlign w:val="center"/>
          </w:tcPr>
          <w:p>
            <w:pPr>
              <w:rPr>
                <w:rFonts w:ascii="仿宋" w:hAnsi="仿宋" w:eastAsia="仿宋"/>
              </w:rPr>
            </w:pPr>
          </w:p>
        </w:tc>
        <w:tc>
          <w:tcPr>
            <w:tcW w:w="198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经济</w:t>
            </w:r>
          </w:p>
          <w:p>
            <w:pPr>
              <w:widowControl/>
              <w:adjustRightInd w:val="0"/>
              <w:snapToGrid w:val="0"/>
              <w:jc w:val="center"/>
              <w:rPr>
                <w:rFonts w:ascii="仿宋" w:hAnsi="仿宋" w:eastAsia="仿宋"/>
              </w:rPr>
            </w:pPr>
            <w:r>
              <w:rPr>
                <w:rFonts w:hint="eastAsia" w:ascii="仿宋" w:hAnsi="仿宋" w:eastAsia="仿宋"/>
              </w:rPr>
              <w:t>效益</w:t>
            </w:r>
          </w:p>
        </w:tc>
        <w:tc>
          <w:tcPr>
            <w:tcW w:w="2160" w:type="dxa"/>
            <w:tcBorders>
              <w:tl2br w:val="nil"/>
              <w:tr2bl w:val="nil"/>
            </w:tcBorders>
            <w:vAlign w:val="center"/>
          </w:tcPr>
          <w:p>
            <w:pPr>
              <w:widowControl/>
              <w:adjustRightInd w:val="0"/>
              <w:snapToGrid w:val="0"/>
              <w:rPr>
                <w:rFonts w:ascii="仿宋" w:hAnsi="仿宋" w:eastAsia="仿宋"/>
              </w:rPr>
            </w:pPr>
          </w:p>
        </w:tc>
        <w:tc>
          <w:tcPr>
            <w:tcW w:w="2387" w:type="dxa"/>
            <w:tcBorders>
              <w:tl2br w:val="nil"/>
              <w:tr2bl w:val="nil"/>
            </w:tcBorders>
            <w:vAlign w:val="center"/>
          </w:tcPr>
          <w:p>
            <w:pPr>
              <w:widowControl/>
              <w:adjustRightInd w:val="0"/>
              <w:snapToGrid w:val="0"/>
              <w:rPr>
                <w:rFonts w:ascii="仿宋" w:hAnsi="仿宋" w:eastAsia="仿宋"/>
              </w:rPr>
            </w:pPr>
          </w:p>
        </w:tc>
        <w:tc>
          <w:tcPr>
            <w:tcW w:w="1990" w:type="dxa"/>
            <w:tcBorders>
              <w:tl2br w:val="nil"/>
              <w:tr2bl w:val="nil"/>
            </w:tcBorders>
            <w:vAlign w:val="center"/>
          </w:tcPr>
          <w:p>
            <w:pPr>
              <w:widowControl/>
              <w:adjustRightInd w:val="0"/>
              <w:snapToGrid w:val="0"/>
              <w:rPr>
                <w:rFonts w:ascii="仿宋" w:hAnsi="仿宋" w:eastAsia="仿宋"/>
              </w:rPr>
            </w:pPr>
          </w:p>
        </w:tc>
        <w:tc>
          <w:tcPr>
            <w:tcW w:w="709" w:type="dxa"/>
            <w:tcBorders>
              <w:tl2br w:val="nil"/>
              <w:tr2bl w:val="nil"/>
            </w:tcBorders>
            <w:vAlign w:val="center"/>
          </w:tcPr>
          <w:p>
            <w:pPr>
              <w:widowControl/>
              <w:adjustRightInd w:val="0"/>
              <w:snapToGrid w:val="0"/>
              <w:rPr>
                <w:rFonts w:ascii="仿宋" w:hAnsi="仿宋" w:eastAsia="仿宋"/>
              </w:rPr>
            </w:pPr>
          </w:p>
        </w:tc>
        <w:tc>
          <w:tcPr>
            <w:tcW w:w="425" w:type="dxa"/>
            <w:tcBorders>
              <w:tl2br w:val="nil"/>
              <w:tr2bl w:val="nil"/>
            </w:tcBorders>
            <w:vAlign w:val="center"/>
          </w:tcPr>
          <w:p>
            <w:pPr>
              <w:widowControl/>
              <w:adjustRightInd w:val="0"/>
              <w:snapToGrid w:val="0"/>
              <w:rPr>
                <w:rFonts w:ascii="仿宋" w:hAnsi="仿宋" w:eastAsia="仿宋"/>
              </w:rPr>
            </w:pPr>
          </w:p>
        </w:tc>
        <w:tc>
          <w:tcPr>
            <w:tcW w:w="567" w:type="dxa"/>
            <w:tcBorders>
              <w:tl2br w:val="nil"/>
              <w:tr2bl w:val="nil"/>
            </w:tcBorders>
            <w:vAlign w:val="center"/>
          </w:tcPr>
          <w:p>
            <w:pPr>
              <w:widowControl/>
              <w:adjustRightInd w:val="0"/>
              <w:snapToGrid w:val="0"/>
              <w:rPr>
                <w:rFonts w:ascii="仿宋" w:hAnsi="仿宋" w:eastAsia="仿宋"/>
              </w:rPr>
            </w:pPr>
          </w:p>
        </w:tc>
        <w:tc>
          <w:tcPr>
            <w:tcW w:w="1034" w:type="dxa"/>
            <w:tcBorders>
              <w:tl2br w:val="nil"/>
              <w:tr2bl w:val="nil"/>
            </w:tcBorders>
            <w:vAlign w:val="center"/>
          </w:tcPr>
          <w:p>
            <w:pPr>
              <w:widowControl/>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60" w:type="dxa"/>
            <w:vMerge w:val="continue"/>
            <w:tcBorders>
              <w:tl2br w:val="nil"/>
              <w:tr2bl w:val="nil"/>
            </w:tcBorders>
            <w:vAlign w:val="center"/>
          </w:tcPr>
          <w:p/>
        </w:tc>
        <w:tc>
          <w:tcPr>
            <w:tcW w:w="198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生态</w:t>
            </w:r>
          </w:p>
          <w:p>
            <w:pPr>
              <w:widowControl/>
              <w:adjustRightInd w:val="0"/>
              <w:snapToGrid w:val="0"/>
              <w:jc w:val="center"/>
              <w:rPr>
                <w:rFonts w:ascii="仿宋" w:hAnsi="仿宋" w:eastAsia="仿宋"/>
              </w:rPr>
            </w:pPr>
            <w:r>
              <w:rPr>
                <w:rFonts w:hint="eastAsia" w:ascii="仿宋" w:hAnsi="仿宋" w:eastAsia="仿宋"/>
              </w:rPr>
              <w:t>效益</w:t>
            </w:r>
          </w:p>
        </w:tc>
        <w:tc>
          <w:tcPr>
            <w:tcW w:w="2160" w:type="dxa"/>
            <w:tcBorders>
              <w:tl2br w:val="nil"/>
              <w:tr2bl w:val="nil"/>
            </w:tcBorders>
            <w:vAlign w:val="center"/>
          </w:tcPr>
          <w:p>
            <w:pPr>
              <w:widowControl/>
              <w:adjustRightInd w:val="0"/>
              <w:snapToGrid w:val="0"/>
              <w:rPr>
                <w:rFonts w:ascii="仿宋" w:hAnsi="仿宋" w:eastAsia="仿宋"/>
              </w:rPr>
            </w:pPr>
          </w:p>
        </w:tc>
        <w:tc>
          <w:tcPr>
            <w:tcW w:w="2387" w:type="dxa"/>
            <w:tcBorders>
              <w:tl2br w:val="nil"/>
              <w:tr2bl w:val="nil"/>
            </w:tcBorders>
            <w:vAlign w:val="center"/>
          </w:tcPr>
          <w:p>
            <w:pPr>
              <w:widowControl/>
              <w:adjustRightInd w:val="0"/>
              <w:snapToGrid w:val="0"/>
              <w:rPr>
                <w:rFonts w:ascii="方正书宋_GBK" w:eastAsia="方正书宋_GBK"/>
              </w:rPr>
            </w:pPr>
          </w:p>
        </w:tc>
        <w:tc>
          <w:tcPr>
            <w:tcW w:w="1990" w:type="dxa"/>
            <w:tcBorders>
              <w:tl2br w:val="nil"/>
              <w:tr2bl w:val="nil"/>
            </w:tcBorders>
            <w:vAlign w:val="center"/>
          </w:tcPr>
          <w:p>
            <w:pPr>
              <w:widowControl/>
              <w:adjustRightInd w:val="0"/>
              <w:snapToGrid w:val="0"/>
              <w:rPr>
                <w:rFonts w:ascii="方正书宋_GBK" w:eastAsia="方正书宋_GBK"/>
              </w:rPr>
            </w:pPr>
          </w:p>
        </w:tc>
        <w:tc>
          <w:tcPr>
            <w:tcW w:w="709" w:type="dxa"/>
            <w:tcBorders>
              <w:tl2br w:val="nil"/>
              <w:tr2bl w:val="nil"/>
            </w:tcBorders>
            <w:vAlign w:val="center"/>
          </w:tcPr>
          <w:p>
            <w:pPr>
              <w:widowControl/>
              <w:adjustRightInd w:val="0"/>
              <w:snapToGrid w:val="0"/>
              <w:rPr>
                <w:rFonts w:ascii="方正书宋_GBK" w:eastAsia="方正书宋_GBK"/>
              </w:rPr>
            </w:pPr>
          </w:p>
        </w:tc>
        <w:tc>
          <w:tcPr>
            <w:tcW w:w="425" w:type="dxa"/>
            <w:tcBorders>
              <w:tl2br w:val="nil"/>
              <w:tr2bl w:val="nil"/>
            </w:tcBorders>
            <w:vAlign w:val="center"/>
          </w:tcPr>
          <w:p>
            <w:pPr>
              <w:widowControl/>
              <w:adjustRightInd w:val="0"/>
              <w:snapToGrid w:val="0"/>
              <w:rPr>
                <w:rFonts w:ascii="方正书宋_GBK" w:eastAsia="方正书宋_GBK"/>
              </w:rPr>
            </w:pPr>
          </w:p>
        </w:tc>
        <w:tc>
          <w:tcPr>
            <w:tcW w:w="567" w:type="dxa"/>
            <w:tcBorders>
              <w:tl2br w:val="nil"/>
              <w:tr2bl w:val="nil"/>
            </w:tcBorders>
            <w:vAlign w:val="center"/>
          </w:tcPr>
          <w:p>
            <w:pPr>
              <w:widowControl/>
              <w:adjustRightInd w:val="0"/>
              <w:snapToGrid w:val="0"/>
              <w:rPr>
                <w:rFonts w:ascii="方正书宋_GBK" w:eastAsia="方正书宋_GBK"/>
              </w:rPr>
            </w:pPr>
          </w:p>
        </w:tc>
        <w:tc>
          <w:tcPr>
            <w:tcW w:w="1034"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860" w:type="dxa"/>
            <w:vMerge w:val="continue"/>
            <w:tcBorders>
              <w:tl2br w:val="nil"/>
              <w:tr2bl w:val="nil"/>
            </w:tcBorders>
            <w:vAlign w:val="center"/>
          </w:tcPr>
          <w:p/>
        </w:tc>
        <w:tc>
          <w:tcPr>
            <w:tcW w:w="1987" w:type="dxa"/>
            <w:tcBorders>
              <w:tl2br w:val="nil"/>
              <w:tr2bl w:val="nil"/>
            </w:tcBorders>
            <w:vAlign w:val="center"/>
          </w:tcPr>
          <w:p>
            <w:pPr>
              <w:adjustRightInd w:val="0"/>
              <w:snapToGrid w:val="0"/>
              <w:jc w:val="center"/>
              <w:rPr>
                <w:rFonts w:ascii="仿宋" w:hAnsi="仿宋" w:eastAsia="仿宋"/>
              </w:rPr>
            </w:pPr>
            <w:r>
              <w:rPr>
                <w:rFonts w:hint="eastAsia" w:ascii="仿宋" w:hAnsi="仿宋" w:eastAsia="仿宋"/>
              </w:rPr>
              <w:t>可持续影响</w:t>
            </w:r>
          </w:p>
        </w:tc>
        <w:tc>
          <w:tcPr>
            <w:tcW w:w="2160" w:type="dxa"/>
            <w:tcBorders>
              <w:tl2br w:val="nil"/>
              <w:tr2bl w:val="nil"/>
            </w:tcBorders>
            <w:noWrap/>
            <w:vAlign w:val="center"/>
          </w:tcPr>
          <w:p>
            <w:pPr>
              <w:widowControl/>
              <w:adjustRightInd w:val="0"/>
              <w:snapToGrid w:val="0"/>
              <w:rPr>
                <w:rFonts w:ascii="仿宋" w:hAnsi="仿宋" w:eastAsia="仿宋"/>
              </w:rPr>
            </w:pPr>
          </w:p>
        </w:tc>
        <w:tc>
          <w:tcPr>
            <w:tcW w:w="2387" w:type="dxa"/>
            <w:tcBorders>
              <w:tl2br w:val="nil"/>
              <w:tr2bl w:val="nil"/>
            </w:tcBorders>
            <w:noWrap/>
            <w:vAlign w:val="center"/>
          </w:tcPr>
          <w:p>
            <w:pPr>
              <w:widowControl/>
              <w:adjustRightInd w:val="0"/>
              <w:snapToGrid w:val="0"/>
              <w:rPr>
                <w:rFonts w:ascii="仿宋" w:hAnsi="仿宋" w:eastAsia="仿宋"/>
              </w:rPr>
            </w:pPr>
          </w:p>
        </w:tc>
        <w:tc>
          <w:tcPr>
            <w:tcW w:w="1990" w:type="dxa"/>
            <w:tcBorders>
              <w:tl2br w:val="nil"/>
              <w:tr2bl w:val="nil"/>
            </w:tcBorders>
            <w:noWrap/>
            <w:vAlign w:val="center"/>
          </w:tcPr>
          <w:p>
            <w:pPr>
              <w:widowControl/>
              <w:adjustRightInd w:val="0"/>
              <w:snapToGrid w:val="0"/>
              <w:rPr>
                <w:rFonts w:ascii="仿宋" w:hAnsi="仿宋" w:eastAsia="仿宋"/>
              </w:rPr>
            </w:pPr>
          </w:p>
        </w:tc>
        <w:tc>
          <w:tcPr>
            <w:tcW w:w="709" w:type="dxa"/>
            <w:tcBorders>
              <w:tl2br w:val="nil"/>
              <w:tr2bl w:val="nil"/>
            </w:tcBorders>
            <w:vAlign w:val="center"/>
          </w:tcPr>
          <w:p>
            <w:pPr>
              <w:widowControl/>
              <w:adjustRightInd w:val="0"/>
              <w:snapToGrid w:val="0"/>
              <w:jc w:val="center"/>
              <w:rPr>
                <w:rFonts w:ascii="仿宋" w:hAnsi="仿宋" w:eastAsia="仿宋"/>
              </w:rPr>
            </w:pPr>
          </w:p>
        </w:tc>
        <w:tc>
          <w:tcPr>
            <w:tcW w:w="425" w:type="dxa"/>
            <w:tcBorders>
              <w:tl2br w:val="nil"/>
              <w:tr2bl w:val="nil"/>
            </w:tcBorders>
            <w:vAlign w:val="center"/>
          </w:tcPr>
          <w:p>
            <w:pPr>
              <w:widowControl/>
              <w:adjustRightInd w:val="0"/>
              <w:snapToGrid w:val="0"/>
              <w:jc w:val="center"/>
              <w:rPr>
                <w:rFonts w:ascii="仿宋" w:hAnsi="仿宋" w:eastAsia="仿宋"/>
              </w:rPr>
            </w:pPr>
          </w:p>
        </w:tc>
        <w:tc>
          <w:tcPr>
            <w:tcW w:w="567" w:type="dxa"/>
            <w:tcBorders>
              <w:tl2br w:val="nil"/>
              <w:tr2bl w:val="nil"/>
            </w:tcBorders>
            <w:vAlign w:val="center"/>
          </w:tcPr>
          <w:p>
            <w:pPr>
              <w:widowControl/>
              <w:adjustRightInd w:val="0"/>
              <w:snapToGrid w:val="0"/>
              <w:jc w:val="center"/>
              <w:rPr>
                <w:rFonts w:ascii="仿宋" w:hAnsi="仿宋" w:eastAsia="仿宋"/>
              </w:rPr>
            </w:pPr>
          </w:p>
        </w:tc>
        <w:tc>
          <w:tcPr>
            <w:tcW w:w="1034" w:type="dxa"/>
            <w:tcBorders>
              <w:tl2br w:val="nil"/>
              <w:tr2bl w:val="nil"/>
            </w:tcBorders>
            <w:vAlign w:val="center"/>
          </w:tcPr>
          <w:p>
            <w:pPr>
              <w:widowControl/>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860" w:type="dxa"/>
            <w:vMerge w:val="continue"/>
            <w:tcBorders>
              <w:tl2br w:val="nil"/>
              <w:tr2bl w:val="nil"/>
            </w:tcBorders>
            <w:vAlign w:val="center"/>
          </w:tcPr>
          <w:p/>
        </w:tc>
        <w:tc>
          <w:tcPr>
            <w:tcW w:w="198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满意度</w:t>
            </w:r>
          </w:p>
        </w:tc>
        <w:tc>
          <w:tcPr>
            <w:tcW w:w="2160" w:type="dxa"/>
            <w:tcBorders>
              <w:tl2br w:val="nil"/>
              <w:tr2bl w:val="nil"/>
            </w:tcBorders>
            <w:noWrap/>
            <w:vAlign w:val="center"/>
          </w:tcPr>
          <w:p>
            <w:pPr>
              <w:widowControl/>
              <w:adjustRightInd w:val="0"/>
              <w:snapToGrid w:val="0"/>
              <w:jc w:val="left"/>
              <w:rPr>
                <w:rFonts w:ascii="仿宋" w:hAnsi="仿宋" w:eastAsia="仿宋"/>
              </w:rPr>
            </w:pPr>
            <w:r>
              <w:rPr>
                <w:rFonts w:ascii="仿宋" w:hAnsi="仿宋" w:eastAsia="仿宋"/>
              </w:rPr>
              <w:t>师生满意度</w:t>
            </w:r>
          </w:p>
        </w:tc>
        <w:tc>
          <w:tcPr>
            <w:tcW w:w="2387" w:type="dxa"/>
            <w:tcBorders>
              <w:tl2br w:val="nil"/>
              <w:tr2bl w:val="nil"/>
            </w:tcBorders>
            <w:noWrap/>
            <w:vAlign w:val="center"/>
          </w:tcPr>
          <w:p>
            <w:pPr>
              <w:widowControl/>
              <w:adjustRightInd w:val="0"/>
              <w:snapToGrid w:val="0"/>
              <w:jc w:val="left"/>
              <w:rPr>
                <w:rFonts w:ascii="仿宋" w:hAnsi="仿宋" w:eastAsia="仿宋"/>
              </w:rPr>
            </w:pPr>
            <w:r>
              <w:rPr>
                <w:rFonts w:hint="eastAsia" w:ascii="仿宋" w:hAnsi="仿宋" w:eastAsia="仿宋"/>
              </w:rPr>
              <w:t>每降低5%满意度，减满意度分值10%</w:t>
            </w:r>
          </w:p>
        </w:tc>
        <w:tc>
          <w:tcPr>
            <w:tcW w:w="1990" w:type="dxa"/>
            <w:tcBorders>
              <w:tl2br w:val="nil"/>
              <w:tr2bl w:val="nil"/>
            </w:tcBorders>
            <w:noWrap/>
            <w:vAlign w:val="center"/>
          </w:tcPr>
          <w:p>
            <w:pPr>
              <w:widowControl/>
              <w:adjustRightInd w:val="0"/>
              <w:snapToGrid w:val="0"/>
              <w:jc w:val="left"/>
              <w:rPr>
                <w:rFonts w:ascii="仿宋" w:hAnsi="仿宋" w:eastAsia="仿宋"/>
              </w:rPr>
            </w:pPr>
            <w:r>
              <w:rPr>
                <w:rFonts w:ascii="仿宋" w:hAnsi="仿宋" w:eastAsia="仿宋"/>
              </w:rPr>
              <w:t>教师和学生对项目满意度</w:t>
            </w:r>
          </w:p>
        </w:tc>
        <w:tc>
          <w:tcPr>
            <w:tcW w:w="709"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w:t>
            </w:r>
          </w:p>
        </w:tc>
        <w:tc>
          <w:tcPr>
            <w:tcW w:w="42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95</w:t>
            </w:r>
          </w:p>
        </w:tc>
        <w:tc>
          <w:tcPr>
            <w:tcW w:w="56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1034"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城市区初中生均公用经费区级配套资金</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1、保障义务教育教学正常的进行；2、改善办公条件，提升教育环境；3、开展教师培训，提高教师队伍水平；4、开展文体活动，提高学生综合素质。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物资采购合格率</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合格的教学用品数量占购置用品总量的比例</w:t>
            </w:r>
          </w:p>
        </w:tc>
        <w:tc>
          <w:tcPr>
            <w:tcW w:w="1843" w:type="dxa"/>
            <w:shd w:val="clear" w:color="auto" w:fill="auto"/>
            <w:vAlign w:val="center"/>
          </w:tcPr>
          <w:p>
            <w:pPr>
              <w:spacing w:line="300" w:lineRule="exact"/>
              <w:jc w:val="center"/>
              <w:rPr>
                <w:rFonts w:ascii="仿宋" w:hAnsi="仿宋" w:eastAsia="仿宋" w:cs="Times New Roman"/>
              </w:rPr>
            </w:pPr>
            <w:r>
              <w:rPr>
                <w:rFonts w:ascii="仿宋" w:hAnsi="仿宋" w:eastAsia="仿宋"/>
              </w:rPr>
              <w:t>100%</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保安全</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保在校师生安全不出问题，无安全事故</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安全</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保正常运转</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日常教学器材及物资充裕</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正常运转</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上级下达的各项工作任务完成率</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保证完成上级下达学校的各项工作任务</w:t>
            </w:r>
          </w:p>
        </w:tc>
        <w:tc>
          <w:tcPr>
            <w:tcW w:w="1843" w:type="dxa"/>
            <w:shd w:val="clear" w:color="auto" w:fill="auto"/>
            <w:vAlign w:val="center"/>
          </w:tcPr>
          <w:p>
            <w:pPr>
              <w:spacing w:line="300" w:lineRule="exact"/>
              <w:jc w:val="center"/>
              <w:rPr>
                <w:rFonts w:ascii="仿宋" w:hAnsi="仿宋" w:eastAsia="仿宋" w:cs="Times New Roman"/>
              </w:rPr>
            </w:pPr>
            <w:r>
              <w:rPr>
                <w:rFonts w:ascii="仿宋" w:hAnsi="仿宋" w:eastAsia="仿宋"/>
              </w:rPr>
              <w:t>100%</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是否按时保质保量的完成</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及时提供的教学用品、保障教学设施、设备正常运行</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及时</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初中生均公用经费含</w:t>
            </w:r>
            <w:r>
              <w:rPr>
                <w:rFonts w:ascii="仿宋" w:hAnsi="仿宋" w:eastAsia="仿宋"/>
              </w:rPr>
              <w:t>85</w:t>
            </w:r>
            <w:r>
              <w:rPr>
                <w:rFonts w:hint="eastAsia" w:ascii="仿宋" w:hAnsi="仿宋" w:eastAsia="仿宋"/>
              </w:rPr>
              <w:t>取暖费</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义务教育阶段初中生均公用经费标准含</w:t>
            </w:r>
            <w:r>
              <w:rPr>
                <w:rFonts w:ascii="仿宋" w:hAnsi="仿宋" w:eastAsia="仿宋"/>
              </w:rPr>
              <w:t>85</w:t>
            </w:r>
            <w:r>
              <w:rPr>
                <w:rFonts w:hint="eastAsia" w:ascii="仿宋" w:hAnsi="仿宋" w:eastAsia="仿宋"/>
              </w:rPr>
              <w:t>取暖费</w:t>
            </w:r>
          </w:p>
        </w:tc>
        <w:tc>
          <w:tcPr>
            <w:tcW w:w="1843" w:type="dxa"/>
            <w:shd w:val="clear" w:color="auto" w:fill="auto"/>
            <w:vAlign w:val="center"/>
          </w:tcPr>
          <w:p>
            <w:pPr>
              <w:spacing w:line="300" w:lineRule="exact"/>
              <w:jc w:val="center"/>
              <w:rPr>
                <w:rFonts w:ascii="仿宋" w:hAnsi="仿宋" w:eastAsia="仿宋" w:cs="Times New Roman"/>
              </w:rPr>
            </w:pPr>
            <w:r>
              <w:rPr>
                <w:rFonts w:ascii="仿宋" w:hAnsi="仿宋" w:eastAsia="仿宋"/>
              </w:rPr>
              <w:t>935</w:t>
            </w:r>
            <w:r>
              <w:rPr>
                <w:rFonts w:hint="eastAsia" w:ascii="仿宋" w:hAnsi="仿宋" w:eastAsia="仿宋"/>
              </w:rPr>
              <w:t>元</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廊财教【</w:t>
            </w:r>
            <w:r>
              <w:rPr>
                <w:rFonts w:ascii="仿宋" w:hAnsi="仿宋" w:eastAsia="仿宋"/>
              </w:rPr>
              <w:t>2020</w:t>
            </w:r>
            <w:r>
              <w:rPr>
                <w:rFonts w:hint="eastAsia" w:ascii="仿宋" w:hAnsi="仿宋" w:eastAsia="仿宋"/>
              </w:rPr>
              <w:t>】</w:t>
            </w:r>
            <w:r>
              <w:rPr>
                <w:rFonts w:ascii="仿宋" w:hAnsi="仿宋" w:eastAsia="仿宋"/>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社会效益指标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提高人口素质</w:t>
            </w:r>
          </w:p>
        </w:tc>
        <w:tc>
          <w:tcPr>
            <w:tcW w:w="3402" w:type="dxa"/>
            <w:shd w:val="clear" w:color="auto" w:fill="auto"/>
            <w:vAlign w:val="center"/>
          </w:tcPr>
          <w:p>
            <w:pPr>
              <w:spacing w:line="300" w:lineRule="exact"/>
              <w:jc w:val="center"/>
              <w:rPr>
                <w:rFonts w:ascii="仿宋" w:hAnsi="仿宋" w:eastAsia="仿宋"/>
              </w:rPr>
            </w:pPr>
            <w:r>
              <w:rPr>
                <w:rFonts w:hint="eastAsia" w:ascii="仿宋" w:hAnsi="仿宋" w:eastAsia="仿宋"/>
              </w:rPr>
              <w:t>促进在校生德智体美劳全面发展、促进全民素质的提高</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提高</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可持续影响指标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推动义务教育从数量向质量转变</w:t>
            </w:r>
          </w:p>
        </w:tc>
        <w:tc>
          <w:tcPr>
            <w:tcW w:w="3402" w:type="dxa"/>
            <w:shd w:val="clear" w:color="auto" w:fill="auto"/>
            <w:vAlign w:val="center"/>
          </w:tcPr>
          <w:p>
            <w:pPr>
              <w:spacing w:line="300" w:lineRule="exact"/>
              <w:jc w:val="center"/>
              <w:rPr>
                <w:rFonts w:ascii="仿宋" w:hAnsi="仿宋" w:eastAsia="仿宋"/>
              </w:rPr>
            </w:pPr>
            <w:r>
              <w:rPr>
                <w:rFonts w:hint="eastAsia" w:ascii="仿宋" w:hAnsi="仿宋" w:eastAsia="仿宋"/>
              </w:rPr>
              <w:t>推动义务教育从数量扩张向质量提高转变</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提升</w:t>
            </w:r>
          </w:p>
        </w:tc>
        <w:tc>
          <w:tcPr>
            <w:tcW w:w="2155" w:type="dxa"/>
            <w:shd w:val="clear" w:color="auto" w:fill="auto"/>
            <w:vAlign w:val="center"/>
          </w:tcPr>
          <w:p>
            <w:pPr>
              <w:spacing w:line="300" w:lineRule="exact"/>
              <w:jc w:val="center"/>
              <w:rPr>
                <w:rFonts w:ascii="仿宋" w:hAnsi="仿宋" w:eastAsia="仿宋"/>
              </w:rPr>
            </w:pPr>
            <w:r>
              <w:rPr>
                <w:rFonts w:hint="eastAsia" w:ascii="仿宋" w:hAnsi="仿宋" w:eastAsia="仿宋"/>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服务对象满意度指标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接受义务教育学生家长满意度</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满意家长数量</w:t>
            </w:r>
            <w:r>
              <w:rPr>
                <w:rFonts w:ascii="仿宋" w:hAnsi="仿宋" w:eastAsia="仿宋"/>
              </w:rPr>
              <w:t>/</w:t>
            </w:r>
            <w:r>
              <w:rPr>
                <w:rFonts w:hint="eastAsia" w:ascii="仿宋" w:hAnsi="仿宋" w:eastAsia="仿宋"/>
              </w:rPr>
              <w:t>总数</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w:t>
            </w:r>
            <w:r>
              <w:rPr>
                <w:rFonts w:ascii="仿宋" w:hAnsi="仿宋" w:eastAsia="仿宋"/>
              </w:rPr>
              <w:t>90%</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调查问卷</w:t>
            </w:r>
          </w:p>
        </w:tc>
      </w:tr>
    </w:tbl>
    <w:p>
      <w:pPr>
        <w:jc w:val="left"/>
        <w:outlineLvl w:val="1"/>
        <w:rPr>
          <w:rFonts w:hint="eastAsia" w:ascii="Times New Roman" w:hAnsi="Times New Roman" w:eastAsia="仿宋_GB2312" w:cs="Times New Roman"/>
          <w:sz w:val="28"/>
        </w:rPr>
      </w:pPr>
    </w:p>
    <w:p>
      <w:pPr>
        <w:jc w:val="left"/>
        <w:outlineLvl w:val="1"/>
        <w:rPr>
          <w:rFonts w:ascii="Times New Roman" w:hAnsi="Times New Roman" w:eastAsia="仿宋_GB2312" w:cs="Times New Roman"/>
          <w:sz w:val="28"/>
        </w:rPr>
      </w:pPr>
    </w:p>
    <w:p>
      <w:pPr>
        <w:jc w:val="left"/>
        <w:outlineLvl w:val="1"/>
        <w:rPr>
          <w:rFonts w:ascii="Times New Roman" w:hAnsi="Times New Roman" w:eastAsia="仿宋_GB2312" w:cs="Times New Roman"/>
          <w:sz w:val="28"/>
        </w:rPr>
      </w:pPr>
    </w:p>
    <w:p>
      <w:pPr>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城市区中学生均公用经费市级配套资金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1、保障义务教育教学正常的进行；2、改善办公条件，提升教育环境；3、开展教师培训，提高教师队伍水平；4、开展文体活动，提高学生综合素质。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物资采购合格率</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合格的教学用品数量占购置用品总量的比例</w:t>
            </w:r>
          </w:p>
        </w:tc>
        <w:tc>
          <w:tcPr>
            <w:tcW w:w="1843" w:type="dxa"/>
            <w:shd w:val="clear" w:color="auto" w:fill="auto"/>
            <w:vAlign w:val="center"/>
          </w:tcPr>
          <w:p>
            <w:pPr>
              <w:spacing w:line="300" w:lineRule="exact"/>
              <w:jc w:val="center"/>
              <w:rPr>
                <w:rFonts w:ascii="仿宋" w:hAnsi="仿宋" w:eastAsia="仿宋" w:cs="Times New Roman"/>
              </w:rPr>
            </w:pPr>
            <w:r>
              <w:rPr>
                <w:rFonts w:ascii="仿宋" w:hAnsi="仿宋" w:eastAsia="仿宋"/>
              </w:rPr>
              <w:t>100%</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保安全</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保在校师生安全不出问题，无安全事故</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安全</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保正常运转</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日常教学器材及物资充裕</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正常运转</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上级下达的各项工作任务完成率</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保证完成上级下达学校的各项工作任务</w:t>
            </w:r>
          </w:p>
        </w:tc>
        <w:tc>
          <w:tcPr>
            <w:tcW w:w="1843" w:type="dxa"/>
            <w:shd w:val="clear" w:color="auto" w:fill="auto"/>
            <w:vAlign w:val="center"/>
          </w:tcPr>
          <w:p>
            <w:pPr>
              <w:spacing w:line="300" w:lineRule="exact"/>
              <w:jc w:val="center"/>
              <w:rPr>
                <w:rFonts w:ascii="仿宋" w:hAnsi="仿宋" w:eastAsia="仿宋" w:cs="Times New Roman"/>
              </w:rPr>
            </w:pPr>
            <w:r>
              <w:rPr>
                <w:rFonts w:ascii="仿宋" w:hAnsi="仿宋" w:eastAsia="仿宋"/>
              </w:rPr>
              <w:t>100%</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是否按时保质保量的完成</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及时提供的教学用品、保障教学设施、设备正常运行</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及时</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初中生均公用经费含</w:t>
            </w:r>
            <w:r>
              <w:rPr>
                <w:rFonts w:ascii="仿宋" w:hAnsi="仿宋" w:eastAsia="仿宋"/>
              </w:rPr>
              <w:t>85</w:t>
            </w:r>
            <w:r>
              <w:rPr>
                <w:rFonts w:hint="eastAsia" w:ascii="仿宋" w:hAnsi="仿宋" w:eastAsia="仿宋"/>
              </w:rPr>
              <w:t>取暖费</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义务教育阶段初中生均公用经费标准含</w:t>
            </w:r>
            <w:r>
              <w:rPr>
                <w:rFonts w:ascii="仿宋" w:hAnsi="仿宋" w:eastAsia="仿宋"/>
              </w:rPr>
              <w:t>85</w:t>
            </w:r>
            <w:r>
              <w:rPr>
                <w:rFonts w:hint="eastAsia" w:ascii="仿宋" w:hAnsi="仿宋" w:eastAsia="仿宋"/>
              </w:rPr>
              <w:t>取暖费</w:t>
            </w:r>
          </w:p>
        </w:tc>
        <w:tc>
          <w:tcPr>
            <w:tcW w:w="1843" w:type="dxa"/>
            <w:shd w:val="clear" w:color="auto" w:fill="auto"/>
            <w:vAlign w:val="center"/>
          </w:tcPr>
          <w:p>
            <w:pPr>
              <w:spacing w:line="300" w:lineRule="exact"/>
              <w:jc w:val="center"/>
              <w:rPr>
                <w:rFonts w:ascii="仿宋" w:hAnsi="仿宋" w:eastAsia="仿宋" w:cs="Times New Roman"/>
              </w:rPr>
            </w:pPr>
            <w:r>
              <w:rPr>
                <w:rFonts w:ascii="仿宋" w:hAnsi="仿宋" w:eastAsia="仿宋"/>
              </w:rPr>
              <w:t>935</w:t>
            </w:r>
            <w:r>
              <w:rPr>
                <w:rFonts w:hint="eastAsia" w:ascii="仿宋" w:hAnsi="仿宋" w:eastAsia="仿宋"/>
              </w:rPr>
              <w:t>元</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廊财教【</w:t>
            </w:r>
            <w:r>
              <w:rPr>
                <w:rFonts w:ascii="仿宋" w:hAnsi="仿宋" w:eastAsia="仿宋"/>
              </w:rPr>
              <w:t>2020</w:t>
            </w:r>
            <w:r>
              <w:rPr>
                <w:rFonts w:hint="eastAsia" w:ascii="仿宋" w:hAnsi="仿宋" w:eastAsia="仿宋"/>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社会效益指标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提高人口素质</w:t>
            </w:r>
          </w:p>
        </w:tc>
        <w:tc>
          <w:tcPr>
            <w:tcW w:w="3402" w:type="dxa"/>
            <w:shd w:val="clear" w:color="auto" w:fill="auto"/>
            <w:vAlign w:val="center"/>
          </w:tcPr>
          <w:p>
            <w:pPr>
              <w:spacing w:line="300" w:lineRule="exact"/>
              <w:jc w:val="center"/>
              <w:rPr>
                <w:rFonts w:ascii="仿宋" w:hAnsi="仿宋" w:eastAsia="仿宋"/>
              </w:rPr>
            </w:pPr>
            <w:r>
              <w:rPr>
                <w:rFonts w:hint="eastAsia" w:ascii="仿宋" w:hAnsi="仿宋" w:eastAsia="仿宋"/>
              </w:rPr>
              <w:t>促进在校生德智体美劳全面发展、促进全民素质的提高</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提高</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可持续影响指标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推动义务教育从数量向质量转变</w:t>
            </w:r>
          </w:p>
        </w:tc>
        <w:tc>
          <w:tcPr>
            <w:tcW w:w="3402" w:type="dxa"/>
            <w:shd w:val="clear" w:color="auto" w:fill="auto"/>
            <w:vAlign w:val="center"/>
          </w:tcPr>
          <w:p>
            <w:pPr>
              <w:spacing w:line="300" w:lineRule="exact"/>
              <w:jc w:val="center"/>
              <w:rPr>
                <w:rFonts w:ascii="仿宋" w:hAnsi="仿宋" w:eastAsia="仿宋"/>
              </w:rPr>
            </w:pPr>
            <w:r>
              <w:rPr>
                <w:rFonts w:hint="eastAsia" w:ascii="仿宋" w:hAnsi="仿宋" w:eastAsia="仿宋"/>
              </w:rPr>
              <w:t>推动义务教育从数量扩张向质量提高转变</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提升</w:t>
            </w:r>
          </w:p>
        </w:tc>
        <w:tc>
          <w:tcPr>
            <w:tcW w:w="2155" w:type="dxa"/>
            <w:shd w:val="clear" w:color="auto" w:fill="auto"/>
            <w:vAlign w:val="center"/>
          </w:tcPr>
          <w:p>
            <w:pPr>
              <w:spacing w:line="300" w:lineRule="exact"/>
              <w:jc w:val="center"/>
              <w:rPr>
                <w:rFonts w:ascii="仿宋" w:hAnsi="仿宋" w:eastAsia="仿宋"/>
              </w:rPr>
            </w:pPr>
            <w:r>
              <w:rPr>
                <w:rFonts w:hint="eastAsia" w:ascii="仿宋" w:hAnsi="仿宋" w:eastAsia="仿宋"/>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服务对象满意度指标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接受义务教育学生家长满意度</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满意家长数量</w:t>
            </w:r>
            <w:r>
              <w:rPr>
                <w:rFonts w:ascii="仿宋" w:hAnsi="仿宋" w:eastAsia="仿宋"/>
              </w:rPr>
              <w:t>/</w:t>
            </w:r>
            <w:r>
              <w:rPr>
                <w:rFonts w:hint="eastAsia" w:ascii="仿宋" w:hAnsi="仿宋" w:eastAsia="仿宋"/>
              </w:rPr>
              <w:t>总数</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w:t>
            </w:r>
            <w:r>
              <w:rPr>
                <w:rFonts w:ascii="仿宋" w:hAnsi="仿宋" w:eastAsia="仿宋"/>
              </w:rPr>
              <w:t>90%</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调查问卷</w:t>
            </w:r>
          </w:p>
        </w:tc>
      </w:tr>
    </w:tbl>
    <w:p>
      <w:pPr>
        <w:autoSpaceDE w:val="0"/>
        <w:autoSpaceDN w:val="0"/>
        <w:adjustRightInd w:val="0"/>
        <w:spacing w:line="584" w:lineRule="exact"/>
        <w:ind w:firstLine="880" w:firstLineChars="200"/>
        <w:jc w:val="left"/>
        <w:rPr>
          <w:rFonts w:hint="eastAsia"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hint="eastAsia"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bookmarkEnd w:id="1"/>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lang w:val="en-US" w:eastAsia="zh-CN"/>
              </w:rPr>
              <w:t>[</w:t>
            </w:r>
            <w:r>
              <w:rPr>
                <w:rFonts w:hint="eastAsia" w:ascii="方正小标宋_GBK" w:eastAsia="方正小标宋_GBK"/>
                <w:sz w:val="24"/>
              </w:rPr>
              <w:t>430018</w:t>
            </w:r>
            <w:r>
              <w:rPr>
                <w:rFonts w:hint="eastAsia" w:ascii="方正小标宋_GBK" w:eastAsia="方正小标宋_GBK"/>
                <w:sz w:val="24"/>
                <w:lang w:val="en-US" w:eastAsia="zh-CN"/>
              </w:rPr>
              <w:t>]</w:t>
            </w:r>
            <w:r>
              <w:rPr>
                <w:rFonts w:hint="eastAsia" w:ascii="方正小标宋_GBK" w:eastAsia="方正小标宋_GBK"/>
                <w:sz w:val="24"/>
              </w:rPr>
              <w:t>廊坊市第九中学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第九中学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3222.48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仿宋" w:hAnsi="仿宋" w:eastAsia="仿宋" w:cs="Times New Roman"/>
          <w:color w:val="000000" w:themeColor="text1"/>
          <w:sz w:val="32"/>
          <w:szCs w:val="32"/>
          <w14:textFill>
            <w14:solidFill>
              <w14:schemeClr w14:val="tx1"/>
            </w14:solidFill>
          </w14:textFill>
        </w:rPr>
        <w:t>本年度我部门无拟购置固定资产。</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val="en-US" w:eastAsia="zh-CN"/>
              </w:rPr>
              <w:t>第九中学</w:t>
            </w:r>
            <w:r>
              <w:rPr>
                <w:rFonts w:hint="eastAsia" w:ascii="Times New Roman" w:hAnsi="Times New Roman" w:eastAsia="仿宋_GB2312" w:cs="Times New Roman"/>
                <w:b/>
                <w:bCs/>
                <w:kern w:val="0"/>
                <w:sz w:val="32"/>
                <w:szCs w:val="32"/>
              </w:rPr>
              <w:t>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第九中学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3222.48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15080.65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2119.46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14085.00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2017.46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1103.02</w:t>
            </w: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A576D"/>
    <w:multiLevelType w:val="multilevel"/>
    <w:tmpl w:val="6DBA576D"/>
    <w:lvl w:ilvl="0" w:tentative="0">
      <w:start w:val="1"/>
      <w:numFmt w:val="decimal"/>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72B54CE4"/>
    <w:multiLevelType w:val="multilevel"/>
    <w:tmpl w:val="72B54CE4"/>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5644"/>
    <w:rsid w:val="000143DD"/>
    <w:rsid w:val="0004143F"/>
    <w:rsid w:val="00076307"/>
    <w:rsid w:val="00084BD7"/>
    <w:rsid w:val="000D0C70"/>
    <w:rsid w:val="00136B71"/>
    <w:rsid w:val="00154555"/>
    <w:rsid w:val="00177080"/>
    <w:rsid w:val="00181C45"/>
    <w:rsid w:val="0019144F"/>
    <w:rsid w:val="001B1402"/>
    <w:rsid w:val="001D07FB"/>
    <w:rsid w:val="001D5297"/>
    <w:rsid w:val="0022634F"/>
    <w:rsid w:val="002336D1"/>
    <w:rsid w:val="002624D3"/>
    <w:rsid w:val="00262C39"/>
    <w:rsid w:val="00301F9F"/>
    <w:rsid w:val="00307AC2"/>
    <w:rsid w:val="003465FC"/>
    <w:rsid w:val="00356683"/>
    <w:rsid w:val="00374967"/>
    <w:rsid w:val="00376D9E"/>
    <w:rsid w:val="003D642D"/>
    <w:rsid w:val="00417E51"/>
    <w:rsid w:val="00423DE2"/>
    <w:rsid w:val="004352A5"/>
    <w:rsid w:val="004630DF"/>
    <w:rsid w:val="00476FB0"/>
    <w:rsid w:val="004829A2"/>
    <w:rsid w:val="00485D7F"/>
    <w:rsid w:val="004A39A5"/>
    <w:rsid w:val="004A54AA"/>
    <w:rsid w:val="004A56E0"/>
    <w:rsid w:val="004C6AF0"/>
    <w:rsid w:val="00534E0E"/>
    <w:rsid w:val="005652DA"/>
    <w:rsid w:val="005B6B9B"/>
    <w:rsid w:val="005D37A3"/>
    <w:rsid w:val="00636240"/>
    <w:rsid w:val="00645D60"/>
    <w:rsid w:val="00652F56"/>
    <w:rsid w:val="00667773"/>
    <w:rsid w:val="00690A03"/>
    <w:rsid w:val="006D28F3"/>
    <w:rsid w:val="00746C99"/>
    <w:rsid w:val="00790755"/>
    <w:rsid w:val="00807A76"/>
    <w:rsid w:val="00840E4B"/>
    <w:rsid w:val="0085205F"/>
    <w:rsid w:val="00874D2E"/>
    <w:rsid w:val="008E16FA"/>
    <w:rsid w:val="008F0EB4"/>
    <w:rsid w:val="00935329"/>
    <w:rsid w:val="0093614C"/>
    <w:rsid w:val="009477CB"/>
    <w:rsid w:val="0095336D"/>
    <w:rsid w:val="00966582"/>
    <w:rsid w:val="00981357"/>
    <w:rsid w:val="009B021A"/>
    <w:rsid w:val="009C26AF"/>
    <w:rsid w:val="009F55D3"/>
    <w:rsid w:val="00A218C6"/>
    <w:rsid w:val="00A30420"/>
    <w:rsid w:val="00A436F2"/>
    <w:rsid w:val="00A52F39"/>
    <w:rsid w:val="00A84F5E"/>
    <w:rsid w:val="00AD4A00"/>
    <w:rsid w:val="00B00BD5"/>
    <w:rsid w:val="00B00FC0"/>
    <w:rsid w:val="00B04875"/>
    <w:rsid w:val="00B17B32"/>
    <w:rsid w:val="00B21278"/>
    <w:rsid w:val="00B35250"/>
    <w:rsid w:val="00B447FB"/>
    <w:rsid w:val="00B6584E"/>
    <w:rsid w:val="00B75D23"/>
    <w:rsid w:val="00B80935"/>
    <w:rsid w:val="00B93DE3"/>
    <w:rsid w:val="00BB3BD3"/>
    <w:rsid w:val="00BD2486"/>
    <w:rsid w:val="00BD5F05"/>
    <w:rsid w:val="00C02308"/>
    <w:rsid w:val="00C12E8D"/>
    <w:rsid w:val="00C32532"/>
    <w:rsid w:val="00C44615"/>
    <w:rsid w:val="00CE3BAF"/>
    <w:rsid w:val="00D14025"/>
    <w:rsid w:val="00D225AE"/>
    <w:rsid w:val="00D347CC"/>
    <w:rsid w:val="00D567AB"/>
    <w:rsid w:val="00D77134"/>
    <w:rsid w:val="00D862C9"/>
    <w:rsid w:val="00DD25E0"/>
    <w:rsid w:val="00DF1ABF"/>
    <w:rsid w:val="00DF293D"/>
    <w:rsid w:val="00DF2E98"/>
    <w:rsid w:val="00E07D04"/>
    <w:rsid w:val="00E132B6"/>
    <w:rsid w:val="00E27CE3"/>
    <w:rsid w:val="00E36BE6"/>
    <w:rsid w:val="00E63DB8"/>
    <w:rsid w:val="00E75691"/>
    <w:rsid w:val="00E83DF9"/>
    <w:rsid w:val="00EE3492"/>
    <w:rsid w:val="00EF0374"/>
    <w:rsid w:val="00F10D1F"/>
    <w:rsid w:val="00F3523A"/>
    <w:rsid w:val="00F353FA"/>
    <w:rsid w:val="00F36011"/>
    <w:rsid w:val="00F52E6C"/>
    <w:rsid w:val="00F90121"/>
    <w:rsid w:val="00F91EEC"/>
    <w:rsid w:val="00F9356C"/>
    <w:rsid w:val="051C7E29"/>
    <w:rsid w:val="1A164574"/>
    <w:rsid w:val="1DF22B11"/>
    <w:rsid w:val="207D6F91"/>
    <w:rsid w:val="312D4105"/>
    <w:rsid w:val="4AFE2F79"/>
    <w:rsid w:val="4DE92B49"/>
    <w:rsid w:val="584969F1"/>
    <w:rsid w:val="5A9C3471"/>
    <w:rsid w:val="693149DF"/>
    <w:rsid w:val="6CD31960"/>
    <w:rsid w:val="6EFD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983E8-4020-4805-A648-5CBF55B02C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724</Words>
  <Characters>4127</Characters>
  <Lines>34</Lines>
  <Paragraphs>9</Paragraphs>
  <TotalTime>0</TotalTime>
  <ScaleCrop>false</ScaleCrop>
  <LinksUpToDate>false</LinksUpToDate>
  <CharactersWithSpaces>4842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2024-08-16T08:22:19Z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59935703F8CD4D0490153B9767F1DFE5</vt:lpwstr>
  </property>
</Properties>
</file>