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第五幼儿园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广阳区第五幼儿园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1440" w:firstLineChars="450"/>
        <w:rPr>
          <w:rFonts w:ascii="Times New Roman" w:hAnsi="Times New Roman" w:eastAsia="仿宋_GB2312" w:cs="Times New Roman"/>
          <w:sz w:val="32"/>
          <w:szCs w:val="32"/>
        </w:rPr>
      </w:pPr>
      <w:r>
        <w:rPr>
          <w:rFonts w:hint="eastAsia" w:ascii="仿宋_GB2312" w:eastAsia="仿宋_GB2312"/>
          <w:sz w:val="32"/>
          <w:szCs w:val="32"/>
        </w:rPr>
        <w:t>贯彻执行党和国家的教育方针、政策、法律法规，对3周岁以上幼儿进行保育和教育。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1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31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3311"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廊坊市广阳区第五幼儿园</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全额事业</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股级</w:t>
            </w:r>
          </w:p>
        </w:tc>
        <w:tc>
          <w:tcPr>
            <w:tcW w:w="3311"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rPr>
              <w:t>财政性资金基本保证</w:t>
            </w:r>
            <w:r>
              <w:rPr>
                <w:rFonts w:hint="eastAsia" w:ascii="Times New Roman" w:hAnsi="Times New Roman" w:eastAsia="仿宋_GB2312" w:cs="Times New Roman"/>
                <w:b/>
                <w:lang w:eastAsia="zh-CN"/>
              </w:rPr>
              <w:t>（</w:t>
            </w:r>
            <w:r>
              <w:rPr>
                <w:rFonts w:hint="eastAsia" w:ascii="Times New Roman" w:hAnsi="Times New Roman" w:eastAsia="仿宋_GB2312" w:cs="Times New Roman"/>
                <w:b/>
                <w:lang w:val="en-US" w:eastAsia="zh-CN"/>
              </w:rPr>
              <w:t>全额事业</w:t>
            </w:r>
            <w:r>
              <w:rPr>
                <w:rFonts w:hint="eastAsia" w:ascii="Times New Roman" w:hAnsi="Times New Roman" w:eastAsia="仿宋_GB2312" w:cs="Times New Roman"/>
                <w:b/>
                <w:lang w:eastAsia="zh-CN"/>
              </w:rPr>
              <w:t>）</w:t>
            </w:r>
          </w:p>
        </w:tc>
      </w:tr>
    </w:tbl>
    <w:p>
      <w:pPr>
        <w:spacing w:line="584" w:lineRule="exact"/>
        <w:ind w:firstLine="640" w:firstLineChars="200"/>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广阳区第五幼儿园</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128.07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128.07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广阳区第五幼儿园</w:t>
      </w:r>
      <w:r>
        <w:rPr>
          <w:rFonts w:hint="eastAsia" w:ascii="Times New Roman" w:hAnsi="Times New Roman" w:eastAsia="仿宋_GB2312" w:cs="Times New Roman"/>
          <w:sz w:val="32"/>
          <w:szCs w:val="32"/>
          <w:lang w:val="en-US" w:eastAsia="zh-CN"/>
        </w:rPr>
        <w:t>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128.07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115.39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115.39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12.68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幼儿日常教学经费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128.07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减少152.75</w:t>
      </w:r>
      <w:r>
        <w:rPr>
          <w:rFonts w:ascii="Times New Roman" w:hAnsi="Times New Roman" w:eastAsia="仿宋_GB2312" w:cs="Times New Roman"/>
          <w:sz w:val="32"/>
          <w:szCs w:val="32"/>
        </w:rPr>
        <w:t>万元，其中：</w:t>
      </w:r>
      <w:r>
        <w:rPr>
          <w:rFonts w:hint="eastAsia" w:ascii="Times New Roman" w:hAnsi="Times New Roman" w:eastAsia="仿宋_GB2312" w:cs="Times New Roman"/>
          <w:sz w:val="32"/>
          <w:szCs w:val="32"/>
          <w:lang w:val="en-US" w:eastAsia="zh-CN"/>
        </w:rPr>
        <w:t>人员类项目</w:t>
      </w:r>
      <w:r>
        <w:rPr>
          <w:rFonts w:hint="eastAsia" w:ascii="Times New Roman" w:hAnsi="Times New Roman" w:eastAsia="仿宋_GB2312" w:cs="Times New Roman"/>
          <w:sz w:val="32"/>
          <w:szCs w:val="32"/>
        </w:rPr>
        <w:t>减少151.52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原因是在职人员工资关系转移到广阳区第一幼儿园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日常公用经费减少1.23万元</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无变化</w:t>
      </w:r>
      <w:r>
        <w:rPr>
          <w:rFonts w:ascii="Times New Roman" w:hAnsi="Times New Roman" w:eastAsia="仿宋_GB2312" w:cs="Times New Roman"/>
          <w:sz w:val="32"/>
          <w:szCs w:val="32"/>
        </w:rPr>
        <w:t>。</w:t>
      </w:r>
    </w:p>
    <w:p>
      <w:pPr>
        <w:autoSpaceDE w:val="0"/>
        <w:autoSpaceDN w:val="0"/>
        <w:adjustRightInd w:val="0"/>
        <w:spacing w:line="584" w:lineRule="exact"/>
        <w:ind w:left="197" w:leftChars="94"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leftChars="0"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园机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lang w:val="en-US" w:eastAsia="zh-CN"/>
        </w:rPr>
        <w:t>115.39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主要用于单位正常运行支出</w:t>
      </w:r>
      <w:r>
        <w:rPr>
          <w:rFonts w:ascii="Times New Roman" w:hAnsi="Times New Roman" w:eastAsia="仿宋_GB2312" w:cs="Times New Roman"/>
          <w:sz w:val="32"/>
          <w:szCs w:val="32"/>
        </w:rPr>
        <w:t>。</w:t>
      </w:r>
    </w:p>
    <w:p>
      <w:pPr>
        <w:autoSpaceDE w:val="0"/>
        <w:autoSpaceDN w:val="0"/>
        <w:adjustRightInd w:val="0"/>
        <w:spacing w:line="584" w:lineRule="exact"/>
        <w:ind w:left="197" w:leftChars="94"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园</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1.改善办公条件，提升教育环境，开展教师培训，提高教师队伍水平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2.降低幼儿辍学率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3.改善办园条件，促进学前教育健康发展，办好人民满意的教育</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1.正常开展教育教学活动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w:t>
      </w:r>
      <w:r>
        <w:rPr>
          <w:rFonts w:hint="eastAsia"/>
        </w:rPr>
        <w:t xml:space="preserve"> </w:t>
      </w:r>
      <w:r>
        <w:rPr>
          <w:rFonts w:hint="eastAsia" w:ascii="仿宋_GB2312" w:eastAsia="仿宋_GB2312" w:cs="Times New Roman"/>
          <w:sz w:val="32"/>
          <w:szCs w:val="32"/>
        </w:rPr>
        <w:t>购买的物资、玩教具符合国家质检标准</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3.降低辍学幼儿占幼儿总数的比例</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4.提升幼儿和家长对学校教育保育活动的满意度</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成立园领导班子、教研组长、后勤人员的规划领导小组，负责规划的制定和实施，保障资金依法依规使用。</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281"/>
        <w:gridCol w:w="1453"/>
        <w:gridCol w:w="1960"/>
        <w:gridCol w:w="2600"/>
        <w:gridCol w:w="2319"/>
        <w:gridCol w:w="543"/>
        <w:gridCol w:w="488"/>
        <w:gridCol w:w="573"/>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28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45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9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60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31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66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281" w:type="dxa"/>
            <w:vMerge w:val="continue"/>
            <w:tcBorders>
              <w:tl2br w:val="nil"/>
              <w:tr2bl w:val="nil"/>
            </w:tcBorders>
            <w:vAlign w:val="center"/>
          </w:tcPr>
          <w:p/>
        </w:tc>
        <w:tc>
          <w:tcPr>
            <w:tcW w:w="1453" w:type="dxa"/>
            <w:vMerge w:val="continue"/>
            <w:tcBorders>
              <w:tl2br w:val="nil"/>
              <w:tr2bl w:val="nil"/>
            </w:tcBorders>
            <w:vAlign w:val="center"/>
          </w:tcPr>
          <w:p/>
        </w:tc>
        <w:tc>
          <w:tcPr>
            <w:tcW w:w="1960" w:type="dxa"/>
            <w:vMerge w:val="continue"/>
            <w:tcBorders>
              <w:tl2br w:val="nil"/>
              <w:tr2bl w:val="nil"/>
            </w:tcBorders>
            <w:vAlign w:val="center"/>
          </w:tcPr>
          <w:p/>
        </w:tc>
        <w:tc>
          <w:tcPr>
            <w:tcW w:w="2600" w:type="dxa"/>
            <w:vMerge w:val="continue"/>
            <w:tcBorders>
              <w:tl2br w:val="nil"/>
              <w:tr2bl w:val="nil"/>
            </w:tcBorders>
            <w:vAlign w:val="center"/>
          </w:tcPr>
          <w:p/>
        </w:tc>
        <w:tc>
          <w:tcPr>
            <w:tcW w:w="2319"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664"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281"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45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96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保教活动天数</w:t>
            </w:r>
          </w:p>
        </w:tc>
        <w:tc>
          <w:tcPr>
            <w:tcW w:w="260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每少10</w:t>
            </w:r>
            <w:r>
              <w:rPr>
                <w:rFonts w:hint="eastAsia" w:ascii="方正书宋_GBK" w:eastAsia="方正书宋_GBK"/>
                <w:lang w:val="en-US" w:eastAsia="zh-CN"/>
              </w:rPr>
              <w:t>天</w:t>
            </w:r>
            <w:r>
              <w:rPr>
                <w:rFonts w:hint="eastAsia" w:ascii="方正书宋_GBK" w:eastAsia="方正书宋_GBK"/>
              </w:rPr>
              <w:t>扣权重分值的10%</w:t>
            </w:r>
          </w:p>
        </w:tc>
        <w:tc>
          <w:tcPr>
            <w:tcW w:w="2319"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开展教学活动天数</w:t>
            </w:r>
          </w:p>
        </w:tc>
        <w:tc>
          <w:tcPr>
            <w:tcW w:w="543"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hint="default" w:ascii="方正书宋_GBK" w:hAnsi="Calibri" w:eastAsia="方正书宋_GBK" w:cs="Arial"/>
                <w:kern w:val="2"/>
                <w:sz w:val="21"/>
                <w:szCs w:val="22"/>
                <w:lang w:val="en-US" w:eastAsia="zh-CN" w:bidi="ar-SA"/>
              </w:rPr>
            </w:pPr>
            <w:r>
              <w:rPr>
                <w:rFonts w:hint="eastAsia" w:ascii="方正书宋_GBK" w:eastAsia="方正书宋_GBK"/>
                <w:lang w:val="en-US" w:eastAsia="zh-CN"/>
              </w:rPr>
              <w:t>200</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天</w:t>
            </w:r>
          </w:p>
        </w:tc>
        <w:tc>
          <w:tcPr>
            <w:tcW w:w="1664"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教学计划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81" w:type="dxa"/>
            <w:vMerge w:val="continue"/>
            <w:tcBorders>
              <w:tl2br w:val="nil"/>
              <w:tr2bl w:val="nil"/>
            </w:tcBorders>
            <w:vAlign w:val="center"/>
          </w:tcPr>
          <w:p/>
        </w:tc>
        <w:tc>
          <w:tcPr>
            <w:tcW w:w="145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96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质量合格率</w:t>
            </w:r>
          </w:p>
        </w:tc>
        <w:tc>
          <w:tcPr>
            <w:tcW w:w="2600" w:type="dxa"/>
            <w:tcBorders>
              <w:tl2br w:val="nil"/>
              <w:tr2bl w:val="nil"/>
            </w:tcBorders>
            <w:vAlign w:val="center"/>
          </w:tcPr>
          <w:p>
            <w:pPr>
              <w:widowControl/>
              <w:adjustRightInd w:val="0"/>
              <w:snapToGrid w:val="0"/>
              <w:ind w:firstLine="105" w:firstLineChars="50"/>
              <w:rPr>
                <w:rFonts w:ascii="方正书宋_GBK" w:hAnsi="Calibri" w:eastAsia="方正书宋_GBK" w:cs="Arial"/>
                <w:kern w:val="2"/>
                <w:sz w:val="21"/>
                <w:szCs w:val="22"/>
                <w:lang w:val="en-US" w:eastAsia="zh-CN" w:bidi="ar-SA"/>
              </w:rPr>
            </w:pPr>
            <w:r>
              <w:rPr>
                <w:rFonts w:hint="eastAsia" w:ascii="方正书宋_GBK" w:eastAsia="方正书宋_GBK"/>
              </w:rPr>
              <w:t>每少10%扣权重分值的10%</w:t>
            </w:r>
          </w:p>
        </w:tc>
        <w:tc>
          <w:tcPr>
            <w:tcW w:w="2319" w:type="dxa"/>
            <w:tcBorders>
              <w:tl2br w:val="nil"/>
              <w:tr2bl w:val="nil"/>
            </w:tcBorders>
            <w:vAlign w:val="center"/>
          </w:tcPr>
          <w:p>
            <w:pPr>
              <w:spacing w:line="300" w:lineRule="exact"/>
              <w:jc w:val="left"/>
              <w:rPr>
                <w:rFonts w:ascii="方正书宋_GBK" w:hAnsi="Calibri" w:eastAsia="方正书宋_GBK" w:cs="Arial"/>
                <w:kern w:val="2"/>
                <w:sz w:val="21"/>
                <w:szCs w:val="22"/>
                <w:lang w:val="en-US" w:eastAsia="zh-CN" w:bidi="ar-SA"/>
              </w:rPr>
            </w:pPr>
            <w:r>
              <w:rPr>
                <w:rFonts w:ascii="方正书宋_GBK" w:eastAsia="方正书宋_GBK"/>
              </w:rPr>
              <w:t>考察购置教学材料质量合格情况</w:t>
            </w:r>
          </w:p>
        </w:tc>
        <w:tc>
          <w:tcPr>
            <w:tcW w:w="543"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w:t>
            </w:r>
          </w:p>
        </w:tc>
        <w:tc>
          <w:tcPr>
            <w:tcW w:w="1664" w:type="dxa"/>
            <w:tcBorders>
              <w:tl2br w:val="nil"/>
              <w:tr2bl w:val="nil"/>
            </w:tcBorders>
            <w:vAlign w:val="center"/>
          </w:tcPr>
          <w:p>
            <w:pPr>
              <w:spacing w:line="300" w:lineRule="exact"/>
              <w:jc w:val="left"/>
              <w:rPr>
                <w:rFonts w:ascii="方正书宋_GBK" w:hAnsi="Calibri" w:eastAsia="方正书宋_GBK" w:cs="Arial"/>
                <w:kern w:val="2"/>
                <w:sz w:val="21"/>
                <w:szCs w:val="22"/>
                <w:lang w:val="en-US" w:eastAsia="zh-CN" w:bidi="ar-SA"/>
              </w:rPr>
            </w:pPr>
            <w:r>
              <w:rPr>
                <w:rFonts w:ascii="方正书宋_GBK" w:eastAsia="方正书宋_GBK"/>
              </w:rPr>
              <w:t>行业标准《幼儿园教育指导纲要》、《3-6岁幼儿学习与发展指南》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281" w:type="dxa"/>
            <w:vMerge w:val="continue"/>
            <w:tcBorders>
              <w:tl2br w:val="nil"/>
              <w:tr2bl w:val="nil"/>
            </w:tcBorders>
            <w:vAlign w:val="center"/>
          </w:tcPr>
          <w:p/>
        </w:tc>
        <w:tc>
          <w:tcPr>
            <w:tcW w:w="1453"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960"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教师培训项目按计划完成程度</w:t>
            </w:r>
          </w:p>
        </w:tc>
        <w:tc>
          <w:tcPr>
            <w:tcW w:w="260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每少10%扣权重分值的10%</w:t>
            </w:r>
          </w:p>
        </w:tc>
        <w:tc>
          <w:tcPr>
            <w:tcW w:w="2319"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考察教师培训项目按计划完成情况</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66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行业标准《幼儿园教育指导纲要》、《3-6岁幼儿学习与发展指南》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281" w:type="dxa"/>
            <w:vMerge w:val="continue"/>
            <w:tcBorders>
              <w:tl2br w:val="nil"/>
              <w:tr2bl w:val="nil"/>
            </w:tcBorders>
            <w:vAlign w:val="center"/>
          </w:tcPr>
          <w:p/>
        </w:tc>
        <w:tc>
          <w:tcPr>
            <w:tcW w:w="1453"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960" w:type="dxa"/>
            <w:tcBorders>
              <w:tl2br w:val="nil"/>
              <w:tr2bl w:val="nil"/>
            </w:tcBorders>
            <w:vAlign w:val="center"/>
          </w:tcPr>
          <w:p>
            <w:pPr>
              <w:spacing w:line="300" w:lineRule="exact"/>
              <w:jc w:val="left"/>
              <w:rPr>
                <w:rFonts w:ascii="方正书宋_GBK" w:hAnsi="Calibri" w:eastAsia="方正书宋_GBK" w:cs="Arial"/>
                <w:kern w:val="2"/>
                <w:sz w:val="21"/>
                <w:szCs w:val="22"/>
                <w:lang w:val="en-US" w:eastAsia="zh-CN" w:bidi="ar-SA"/>
              </w:rPr>
            </w:pPr>
            <w:r>
              <w:rPr>
                <w:rFonts w:ascii="方正书宋_GBK" w:eastAsia="方正书宋_GBK"/>
              </w:rPr>
              <w:t>设备维修及时率</w:t>
            </w:r>
          </w:p>
        </w:tc>
        <w:tc>
          <w:tcPr>
            <w:tcW w:w="2600" w:type="dxa"/>
            <w:tcBorders>
              <w:tl2br w:val="nil"/>
              <w:tr2bl w:val="nil"/>
            </w:tcBorders>
            <w:vAlign w:val="center"/>
          </w:tcPr>
          <w:p>
            <w:pPr>
              <w:widowControl/>
              <w:adjustRightInd w:val="0"/>
              <w:snapToGrid w:val="0"/>
              <w:rPr>
                <w:rFonts w:hint="eastAsia" w:ascii="方正书宋_GBK" w:hAnsi="Calibri" w:eastAsia="方正书宋_GBK" w:cs="Arial"/>
                <w:kern w:val="2"/>
                <w:sz w:val="21"/>
                <w:szCs w:val="22"/>
                <w:lang w:val="en-US" w:eastAsia="zh-CN" w:bidi="ar-SA"/>
              </w:rPr>
            </w:pPr>
            <w:r>
              <w:rPr>
                <w:rFonts w:hint="eastAsia" w:ascii="方正书宋_GBK" w:eastAsia="方正书宋_GBK"/>
              </w:rPr>
              <w:t>每少10%扣权重分值的10%</w:t>
            </w:r>
          </w:p>
        </w:tc>
        <w:tc>
          <w:tcPr>
            <w:tcW w:w="2319" w:type="dxa"/>
            <w:tcBorders>
              <w:tl2br w:val="nil"/>
              <w:tr2bl w:val="nil"/>
            </w:tcBorders>
            <w:vAlign w:val="center"/>
          </w:tcPr>
          <w:p>
            <w:pPr>
              <w:spacing w:line="300" w:lineRule="exact"/>
              <w:jc w:val="left"/>
              <w:rPr>
                <w:rFonts w:ascii="方正书宋_GBK" w:hAnsi="Calibri" w:eastAsia="方正书宋_GBK" w:cs="Arial"/>
                <w:kern w:val="2"/>
                <w:sz w:val="21"/>
                <w:szCs w:val="22"/>
                <w:lang w:val="en-US" w:eastAsia="zh-CN" w:bidi="ar-SA"/>
              </w:rPr>
            </w:pPr>
            <w:r>
              <w:rPr>
                <w:rFonts w:ascii="方正书宋_GBK" w:eastAsia="方正书宋_GBK"/>
              </w:rPr>
              <w:t>考察设备报修以后，维修及时程度</w:t>
            </w:r>
          </w:p>
        </w:tc>
        <w:tc>
          <w:tcPr>
            <w:tcW w:w="543" w:type="dxa"/>
            <w:tcBorders>
              <w:tl2br w:val="nil"/>
              <w:tr2bl w:val="nil"/>
            </w:tcBorders>
            <w:vAlign w:val="center"/>
          </w:tcPr>
          <w:p>
            <w:pPr>
              <w:widowControl/>
              <w:adjustRightInd w:val="0"/>
              <w:snapToGrid w:val="0"/>
              <w:jc w:val="center"/>
              <w:rPr>
                <w:rFonts w:hint="eastAsia" w:ascii="方正书宋_GBK" w:hAnsi="Calibri" w:eastAsia="方正书宋_GBK" w:cs="Arial"/>
                <w:kern w:val="2"/>
                <w:sz w:val="21"/>
                <w:szCs w:val="22"/>
                <w:lang w:val="en-US" w:eastAsia="zh-CN" w:bidi="ar-SA"/>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hint="eastAsia" w:ascii="方正书宋_GBK" w:hAnsi="Calibri" w:eastAsia="方正书宋_GBK" w:cs="Arial"/>
                <w:kern w:val="2"/>
                <w:sz w:val="21"/>
                <w:szCs w:val="22"/>
                <w:lang w:val="en-US" w:eastAsia="zh-CN" w:bidi="ar-SA"/>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w:t>
            </w:r>
          </w:p>
        </w:tc>
        <w:tc>
          <w:tcPr>
            <w:tcW w:w="1664" w:type="dxa"/>
            <w:tcBorders>
              <w:tl2br w:val="nil"/>
              <w:tr2bl w:val="nil"/>
            </w:tcBorders>
            <w:vAlign w:val="center"/>
          </w:tcPr>
          <w:p>
            <w:pPr>
              <w:spacing w:line="300" w:lineRule="exact"/>
              <w:jc w:val="left"/>
              <w:rPr>
                <w:rFonts w:ascii="方正书宋_GBK" w:hAnsi="Calibri" w:eastAsia="方正书宋_GBK" w:cs="Arial"/>
                <w:kern w:val="2"/>
                <w:sz w:val="21"/>
                <w:szCs w:val="22"/>
                <w:lang w:val="en-US" w:eastAsia="zh-CN" w:bidi="ar-SA"/>
              </w:rPr>
            </w:pPr>
            <w:r>
              <w:rPr>
                <w:rFonts w:ascii="方正书宋_GBK" w:eastAsia="方正书宋_GBK"/>
              </w:rPr>
              <w:t>《幼儿园工作规程》行业标准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81" w:type="dxa"/>
            <w:vMerge w:val="continue"/>
            <w:tcBorders>
              <w:tl2br w:val="nil"/>
              <w:tr2bl w:val="nil"/>
            </w:tcBorders>
            <w:vAlign w:val="center"/>
          </w:tcPr>
          <w:p/>
        </w:tc>
        <w:tc>
          <w:tcPr>
            <w:tcW w:w="145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96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幼儿生均经费标准</w:t>
            </w:r>
          </w:p>
        </w:tc>
        <w:tc>
          <w:tcPr>
            <w:tcW w:w="260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每多10%，扣权重分值的15%</w:t>
            </w:r>
          </w:p>
        </w:tc>
        <w:tc>
          <w:tcPr>
            <w:tcW w:w="231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幼儿生均经费标准</w:t>
            </w:r>
          </w:p>
        </w:tc>
        <w:tc>
          <w:tcPr>
            <w:tcW w:w="543" w:type="dxa"/>
            <w:tcBorders>
              <w:tl2br w:val="nil"/>
              <w:tr2bl w:val="nil"/>
            </w:tcBorders>
            <w:vAlign w:val="center"/>
          </w:tcPr>
          <w:p>
            <w:pPr>
              <w:widowControl/>
              <w:tabs>
                <w:tab w:val="left" w:pos="255"/>
              </w:tabs>
              <w:adjustRightInd w:val="0"/>
              <w:snapToGrid w:val="0"/>
              <w:jc w:val="left"/>
              <w:rPr>
                <w:rFonts w:hint="default" w:ascii="方正书宋_GBK" w:hAnsi="Calibri" w:eastAsia="方正书宋_GBK" w:cs="Arial"/>
                <w:kern w:val="2"/>
                <w:sz w:val="21"/>
                <w:szCs w:val="22"/>
                <w:lang w:val="en-US" w:eastAsia="zh-CN" w:bidi="ar-SA"/>
              </w:rPr>
            </w:pPr>
            <w:r>
              <w:rPr>
                <w:rFonts w:hint="eastAsia" w:ascii="方正书宋_GBK" w:eastAsia="方正书宋_GBK"/>
                <w:lang w:eastAsia="zh-CN"/>
              </w:rPr>
              <w:tab/>
            </w:r>
            <w:r>
              <w:rPr>
                <w:rFonts w:hint="eastAsia" w:ascii="方正书宋_GBK" w:eastAsia="方正书宋_GBK"/>
                <w:lang w:val="en-US" w:eastAsia="zh-CN"/>
              </w:rPr>
              <w:t>=</w:t>
            </w:r>
          </w:p>
        </w:tc>
        <w:tc>
          <w:tcPr>
            <w:tcW w:w="488" w:type="dxa"/>
            <w:tcBorders>
              <w:tl2br w:val="nil"/>
              <w:tr2bl w:val="nil"/>
            </w:tcBorders>
            <w:vAlign w:val="center"/>
          </w:tcPr>
          <w:p>
            <w:pPr>
              <w:widowControl/>
              <w:adjustRightInd w:val="0"/>
              <w:snapToGrid w:val="0"/>
              <w:jc w:val="center"/>
              <w:rPr>
                <w:rFonts w:hint="default" w:ascii="方正书宋_GBK" w:hAnsi="Calibri" w:eastAsia="方正书宋_GBK" w:cs="Arial"/>
                <w:kern w:val="2"/>
                <w:sz w:val="21"/>
                <w:szCs w:val="22"/>
                <w:lang w:val="en-US" w:eastAsia="zh-CN" w:bidi="ar-SA"/>
              </w:rPr>
            </w:pPr>
            <w:r>
              <w:rPr>
                <w:rFonts w:hint="eastAsia" w:ascii="方正书宋_GBK" w:eastAsia="方正书宋_GBK"/>
                <w:lang w:val="en-US" w:eastAsia="zh-CN"/>
              </w:rPr>
              <w:t>400</w:t>
            </w:r>
          </w:p>
        </w:tc>
        <w:tc>
          <w:tcPr>
            <w:tcW w:w="573" w:type="dxa"/>
            <w:tcBorders>
              <w:tl2br w:val="nil"/>
              <w:tr2bl w:val="nil"/>
            </w:tcBorders>
            <w:vAlign w:val="center"/>
          </w:tcPr>
          <w:p>
            <w:pPr>
              <w:widowControl/>
              <w:adjustRightInd w:val="0"/>
              <w:snapToGrid w:val="0"/>
              <w:jc w:val="center"/>
              <w:rPr>
                <w:rFonts w:hint="eastAsia" w:ascii="方正书宋_GBK" w:hAnsi="Calibri" w:eastAsia="方正书宋_GBK" w:cs="Arial"/>
                <w:kern w:val="2"/>
                <w:sz w:val="21"/>
                <w:szCs w:val="22"/>
                <w:lang w:val="en-US" w:eastAsia="zh-CN" w:bidi="ar-SA"/>
              </w:rPr>
            </w:pPr>
            <w:r>
              <w:rPr>
                <w:rFonts w:hint="eastAsia" w:ascii="方正书宋_GBK" w:eastAsia="方正书宋_GBK"/>
                <w:lang w:val="en-US" w:eastAsia="zh-CN"/>
              </w:rPr>
              <w:t>元</w:t>
            </w:r>
          </w:p>
        </w:tc>
        <w:tc>
          <w:tcPr>
            <w:tcW w:w="166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冀财教【</w:t>
            </w:r>
            <w:r>
              <w:rPr>
                <w:rFonts w:ascii="方正书宋_GBK" w:eastAsia="方正书宋_GBK"/>
              </w:rPr>
              <w:t>2018</w:t>
            </w:r>
            <w:r>
              <w:rPr>
                <w:rFonts w:hint="eastAsia" w:ascii="方正书宋_GBK" w:eastAsia="方正书宋_GBK"/>
              </w:rPr>
              <w:t>】</w:t>
            </w:r>
            <w:r>
              <w:rPr>
                <w:rFonts w:ascii="方正书宋_GBK" w:eastAsia="方正书宋_GBK"/>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81"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45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96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幼儿辍学率</w:t>
            </w:r>
          </w:p>
        </w:tc>
        <w:tc>
          <w:tcPr>
            <w:tcW w:w="2600"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rPr>
              <w:t>每多10%，扣权重分值的</w:t>
            </w:r>
            <w:r>
              <w:rPr>
                <w:rFonts w:hint="eastAsia" w:ascii="方正书宋_GBK" w:eastAsia="方正书宋_GBK"/>
                <w:lang w:val="en-US" w:eastAsia="zh-CN"/>
              </w:rPr>
              <w:t>10%</w:t>
            </w:r>
          </w:p>
        </w:tc>
        <w:tc>
          <w:tcPr>
            <w:tcW w:w="231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辍学幼儿占幼儿总数的比</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w:t>
            </w:r>
          </w:p>
        </w:tc>
        <w:tc>
          <w:tcPr>
            <w:tcW w:w="488"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2</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w:t>
            </w:r>
          </w:p>
        </w:tc>
        <w:tc>
          <w:tcPr>
            <w:tcW w:w="166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冀财教【</w:t>
            </w:r>
            <w:r>
              <w:rPr>
                <w:rFonts w:ascii="方正书宋_GBK" w:eastAsia="方正书宋_GBK"/>
              </w:rPr>
              <w:t>2018</w:t>
            </w:r>
            <w:r>
              <w:rPr>
                <w:rFonts w:hint="eastAsia" w:ascii="方正书宋_GBK" w:eastAsia="方正书宋_GBK"/>
              </w:rPr>
              <w:t>】</w:t>
            </w:r>
            <w:r>
              <w:rPr>
                <w:rFonts w:ascii="方正书宋_GBK" w:eastAsia="方正书宋_GBK"/>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81" w:type="dxa"/>
            <w:vMerge w:val="continue"/>
            <w:tcBorders>
              <w:tl2br w:val="nil"/>
              <w:tr2bl w:val="nil"/>
            </w:tcBorders>
            <w:vAlign w:val="center"/>
          </w:tcPr>
          <w:p/>
        </w:tc>
        <w:tc>
          <w:tcPr>
            <w:tcW w:w="145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960" w:type="dxa"/>
            <w:tcBorders>
              <w:tl2br w:val="nil"/>
              <w:tr2bl w:val="nil"/>
            </w:tcBorders>
            <w:vAlign w:val="center"/>
          </w:tcPr>
          <w:p>
            <w:pPr>
              <w:widowControl/>
              <w:adjustRightInd w:val="0"/>
              <w:snapToGrid w:val="0"/>
              <w:rPr>
                <w:rFonts w:ascii="方正书宋_GBK" w:eastAsia="方正书宋_GBK"/>
              </w:rPr>
            </w:pPr>
          </w:p>
        </w:tc>
        <w:tc>
          <w:tcPr>
            <w:tcW w:w="2600" w:type="dxa"/>
            <w:tcBorders>
              <w:tl2br w:val="nil"/>
              <w:tr2bl w:val="nil"/>
            </w:tcBorders>
            <w:vAlign w:val="center"/>
          </w:tcPr>
          <w:p>
            <w:pPr>
              <w:widowControl/>
              <w:adjustRightInd w:val="0"/>
              <w:snapToGrid w:val="0"/>
              <w:rPr>
                <w:rFonts w:ascii="方正书宋_GBK" w:eastAsia="方正书宋_GBK"/>
              </w:rPr>
            </w:pPr>
          </w:p>
        </w:tc>
        <w:tc>
          <w:tcPr>
            <w:tcW w:w="2319"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664"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81" w:type="dxa"/>
            <w:vMerge w:val="continue"/>
            <w:tcBorders>
              <w:tl2br w:val="nil"/>
              <w:tr2bl w:val="nil"/>
            </w:tcBorders>
            <w:vAlign w:val="center"/>
          </w:tcPr>
          <w:p/>
        </w:tc>
        <w:tc>
          <w:tcPr>
            <w:tcW w:w="145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960" w:type="dxa"/>
            <w:tcBorders>
              <w:tl2br w:val="nil"/>
              <w:tr2bl w:val="nil"/>
            </w:tcBorders>
            <w:vAlign w:val="center"/>
          </w:tcPr>
          <w:p>
            <w:pPr>
              <w:widowControl/>
              <w:adjustRightInd w:val="0"/>
              <w:snapToGrid w:val="0"/>
              <w:rPr>
                <w:rFonts w:ascii="方正书宋_GBK" w:eastAsia="方正书宋_GBK"/>
              </w:rPr>
            </w:pPr>
          </w:p>
        </w:tc>
        <w:tc>
          <w:tcPr>
            <w:tcW w:w="2600" w:type="dxa"/>
            <w:tcBorders>
              <w:tl2br w:val="nil"/>
              <w:tr2bl w:val="nil"/>
            </w:tcBorders>
            <w:vAlign w:val="center"/>
          </w:tcPr>
          <w:p>
            <w:pPr>
              <w:widowControl/>
              <w:adjustRightInd w:val="0"/>
              <w:snapToGrid w:val="0"/>
              <w:rPr>
                <w:rFonts w:ascii="方正书宋_GBK" w:eastAsia="方正书宋_GBK"/>
              </w:rPr>
            </w:pPr>
          </w:p>
        </w:tc>
        <w:tc>
          <w:tcPr>
            <w:tcW w:w="2319"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664"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281" w:type="dxa"/>
            <w:vMerge w:val="continue"/>
            <w:tcBorders>
              <w:tl2br w:val="nil"/>
              <w:tr2bl w:val="nil"/>
            </w:tcBorders>
            <w:vAlign w:val="center"/>
          </w:tcPr>
          <w:p/>
        </w:tc>
        <w:tc>
          <w:tcPr>
            <w:tcW w:w="1453"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960" w:type="dxa"/>
            <w:tcBorders>
              <w:tl2br w:val="nil"/>
              <w:tr2bl w:val="nil"/>
            </w:tcBorders>
            <w:noWrap/>
            <w:vAlign w:val="center"/>
          </w:tcPr>
          <w:p>
            <w:pPr>
              <w:widowControl/>
              <w:adjustRightInd w:val="0"/>
              <w:snapToGrid w:val="0"/>
              <w:rPr>
                <w:rFonts w:ascii="方正书宋_GBK" w:eastAsia="方正书宋_GBK"/>
              </w:rPr>
            </w:pPr>
          </w:p>
        </w:tc>
        <w:tc>
          <w:tcPr>
            <w:tcW w:w="2600" w:type="dxa"/>
            <w:tcBorders>
              <w:tl2br w:val="nil"/>
              <w:tr2bl w:val="nil"/>
            </w:tcBorders>
            <w:noWrap/>
            <w:vAlign w:val="center"/>
          </w:tcPr>
          <w:p>
            <w:pPr>
              <w:widowControl/>
              <w:adjustRightInd w:val="0"/>
              <w:snapToGrid w:val="0"/>
              <w:rPr>
                <w:rFonts w:ascii="方正书宋_GBK" w:eastAsia="方正书宋_GBK"/>
              </w:rPr>
            </w:pPr>
          </w:p>
        </w:tc>
        <w:tc>
          <w:tcPr>
            <w:tcW w:w="2319" w:type="dxa"/>
            <w:tcBorders>
              <w:tl2br w:val="nil"/>
              <w:tr2bl w:val="nil"/>
            </w:tcBorders>
            <w:noWrap/>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664"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281" w:type="dxa"/>
            <w:vMerge w:val="continue"/>
            <w:tcBorders>
              <w:tl2br w:val="nil"/>
              <w:tr2bl w:val="nil"/>
            </w:tcBorders>
            <w:vAlign w:val="center"/>
          </w:tcPr>
          <w:p/>
        </w:tc>
        <w:tc>
          <w:tcPr>
            <w:tcW w:w="145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96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幼儿和家长的满意度</w:t>
            </w:r>
          </w:p>
        </w:tc>
        <w:tc>
          <w:tcPr>
            <w:tcW w:w="260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满意度≥</w:t>
            </w:r>
            <w:r>
              <w:rPr>
                <w:rFonts w:hint="eastAsia" w:ascii="方正书宋_GBK" w:eastAsia="方正书宋_GBK"/>
                <w:lang w:val="en-US" w:eastAsia="zh-CN"/>
              </w:rPr>
              <w:t>80</w:t>
            </w:r>
            <w:r>
              <w:rPr>
                <w:rFonts w:hint="eastAsia" w:ascii="方正书宋_GBK" w:eastAsia="方正书宋_GBK"/>
              </w:rPr>
              <w:t>%得满分，≤60%不得分</w:t>
            </w:r>
          </w:p>
        </w:tc>
        <w:tc>
          <w:tcPr>
            <w:tcW w:w="2319" w:type="dxa"/>
            <w:tcBorders>
              <w:tl2br w:val="nil"/>
              <w:tr2bl w:val="nil"/>
            </w:tcBorders>
            <w:noWrap/>
            <w:vAlign w:val="center"/>
          </w:tcPr>
          <w:p>
            <w:pPr>
              <w:spacing w:line="300" w:lineRule="exact"/>
              <w:jc w:val="left"/>
              <w:rPr>
                <w:rFonts w:ascii="方正书宋_GBK" w:hAnsi="Calibri" w:eastAsia="方正书宋_GBK" w:cs="Arial"/>
                <w:kern w:val="2"/>
                <w:sz w:val="21"/>
                <w:szCs w:val="22"/>
                <w:lang w:val="en-US" w:eastAsia="zh-CN" w:bidi="ar-SA"/>
              </w:rPr>
            </w:pPr>
            <w:r>
              <w:rPr>
                <w:rFonts w:ascii="方正书宋_GBK" w:eastAsia="方正书宋_GBK"/>
              </w:rPr>
              <w:t>调查对学校满意和较满意的家长</w:t>
            </w:r>
            <w:r>
              <w:rPr>
                <w:rFonts w:hint="eastAsia" w:ascii="方正书宋_GBK" w:eastAsia="方正书宋_GBK"/>
                <w:lang w:val="en-US" w:eastAsia="zh-CN"/>
              </w:rPr>
              <w:t>和幼儿数</w:t>
            </w:r>
            <w:r>
              <w:rPr>
                <w:rFonts w:ascii="方正书宋_GBK" w:eastAsia="方正书宋_GBK"/>
              </w:rPr>
              <w:t>数占调查总人数的比率</w:t>
            </w:r>
          </w:p>
        </w:tc>
        <w:tc>
          <w:tcPr>
            <w:tcW w:w="543" w:type="dxa"/>
            <w:tcBorders>
              <w:tl2br w:val="nil"/>
              <w:tr2bl w:val="nil"/>
            </w:tcBorders>
            <w:vAlign w:val="center"/>
          </w:tcPr>
          <w:p>
            <w:pPr>
              <w:widowControl/>
              <w:adjustRightInd w:val="0"/>
              <w:snapToGrid w:val="0"/>
              <w:rPr>
                <w:rFonts w:ascii="方正书宋_GBK" w:hAnsi="Calibri" w:eastAsia="方正书宋_GBK" w:cs="Arial"/>
                <w:kern w:val="2"/>
                <w:sz w:val="21"/>
                <w:szCs w:val="22"/>
                <w:lang w:val="en-US" w:eastAsia="zh-CN" w:bidi="ar-SA"/>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hint="default" w:ascii="方正书宋_GBK" w:hAnsi="Calibri" w:eastAsia="方正书宋_GBK" w:cs="Arial"/>
                <w:kern w:val="2"/>
                <w:sz w:val="21"/>
                <w:szCs w:val="22"/>
                <w:lang w:val="en-US" w:eastAsia="zh-CN" w:bidi="ar-SA"/>
              </w:rPr>
            </w:pPr>
            <w:r>
              <w:rPr>
                <w:rFonts w:hint="eastAsia" w:ascii="方正书宋_GBK" w:eastAsia="方正书宋_GBK"/>
                <w:lang w:val="en-US" w:eastAsia="zh-CN"/>
              </w:rPr>
              <w:t>80</w:t>
            </w:r>
          </w:p>
        </w:tc>
        <w:tc>
          <w:tcPr>
            <w:tcW w:w="573" w:type="dxa"/>
            <w:tcBorders>
              <w:tl2br w:val="nil"/>
              <w:tr2bl w:val="nil"/>
            </w:tcBorders>
            <w:vAlign w:val="center"/>
          </w:tcPr>
          <w:p>
            <w:pPr>
              <w:widowControl/>
              <w:adjustRightInd w:val="0"/>
              <w:snapToGrid w:val="0"/>
              <w:rPr>
                <w:rFonts w:ascii="方正书宋_GBK" w:hAnsi="Calibri" w:eastAsia="方正书宋_GBK" w:cs="Arial"/>
                <w:kern w:val="2"/>
                <w:sz w:val="21"/>
                <w:szCs w:val="22"/>
                <w:lang w:val="en-US" w:eastAsia="zh-CN" w:bidi="ar-SA"/>
              </w:rPr>
            </w:pPr>
            <w:r>
              <w:rPr>
                <w:rFonts w:hint="eastAsia" w:ascii="方正书宋_GBK" w:eastAsia="方正书宋_GBK"/>
              </w:rPr>
              <w:t>％</w:t>
            </w:r>
          </w:p>
        </w:tc>
        <w:tc>
          <w:tcPr>
            <w:tcW w:w="1664" w:type="dxa"/>
            <w:tcBorders>
              <w:tl2br w:val="nil"/>
              <w:tr2bl w:val="nil"/>
            </w:tcBorders>
            <w:vAlign w:val="center"/>
          </w:tcPr>
          <w:p>
            <w:pPr>
              <w:spacing w:line="300" w:lineRule="exact"/>
              <w:jc w:val="left"/>
              <w:rPr>
                <w:rFonts w:ascii="方正书宋_GBK" w:hAnsi="Calibri" w:eastAsia="方正书宋_GBK" w:cs="Arial"/>
                <w:kern w:val="2"/>
                <w:sz w:val="21"/>
                <w:szCs w:val="22"/>
                <w:lang w:val="en-US" w:eastAsia="zh-CN" w:bidi="ar-SA"/>
              </w:rPr>
            </w:pPr>
            <w:r>
              <w:rPr>
                <w:rFonts w:hint="eastAsia" w:ascii="方正书宋_GBK" w:eastAsia="方正书宋_GBK"/>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rPr>
        <w:t xml:space="preserve"> </w:t>
      </w:r>
      <w:r>
        <w:rPr>
          <w:rFonts w:hint="eastAsia" w:ascii="Times New Roman" w:hAnsi="Times New Roman" w:eastAsia="仿宋_GB2312" w:cs="Times New Roman"/>
          <w:sz w:val="28"/>
        </w:rPr>
        <w:t>城市幼儿园生均经费区级资金</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 xml:space="preserve">改善办公条件，提升教育环境，开展教师培训，提高教师队伍水平     </w:t>
            </w:r>
            <w:r>
              <w:rPr>
                <w:rFonts w:ascii="方正书宋_GBK" w:eastAsia="方正书宋_GBK"/>
              </w:rPr>
              <w:t>2.</w:t>
            </w:r>
            <w:r>
              <w:rPr>
                <w:rFonts w:hint="eastAsia" w:ascii="方正书宋_GBK" w:eastAsia="方正书宋_GBK"/>
              </w:rPr>
              <w:t>降低幼儿辍学率</w:t>
            </w:r>
          </w:p>
          <w:p>
            <w:pPr>
              <w:spacing w:line="300" w:lineRule="exact"/>
              <w:rPr>
                <w:rFonts w:ascii="Times New Roman" w:hAnsi="Times New Roman" w:eastAsia="仿宋_GB2312" w:cs="Times New Roman"/>
                <w:b/>
              </w:rPr>
            </w:pPr>
            <w:r>
              <w:rPr>
                <w:rFonts w:ascii="方正书宋_GBK" w:eastAsia="方正书宋_GBK"/>
              </w:rPr>
              <w:t>3.</w:t>
            </w:r>
            <w:r>
              <w:rPr>
                <w:rFonts w:hint="eastAsia" w:ascii="方正书宋_GBK" w:eastAsia="方正书宋_GBK"/>
              </w:rPr>
              <w:t>改善办园条件，促进学前教育健康发展，办好人民满意的教育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保教活动天数</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正常开展教育教学活动</w:t>
            </w:r>
          </w:p>
        </w:tc>
        <w:tc>
          <w:tcPr>
            <w:tcW w:w="18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天</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购买的物资、玩教具符合国家质检标准</w:t>
            </w:r>
          </w:p>
        </w:tc>
        <w:tc>
          <w:tcPr>
            <w:tcW w:w="1843"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商品质量保证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幼儿生均经费标准</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幼儿生均经费标准</w:t>
            </w:r>
          </w:p>
        </w:tc>
        <w:tc>
          <w:tcPr>
            <w:tcW w:w="1843" w:type="dxa"/>
            <w:shd w:val="clear" w:color="auto" w:fill="auto"/>
            <w:vAlign w:val="center"/>
          </w:tcPr>
          <w:p>
            <w:pPr>
              <w:spacing w:line="300" w:lineRule="exact"/>
              <w:jc w:val="left"/>
              <w:rPr>
                <w:rFonts w:ascii="方正书宋_GBK" w:eastAsia="方正书宋_GBK"/>
              </w:rPr>
            </w:pPr>
            <w:r>
              <w:rPr>
                <w:rFonts w:ascii="方正书宋_GBK" w:eastAsia="方正书宋_GBK"/>
              </w:rPr>
              <w:t>400</w:t>
            </w:r>
            <w:r>
              <w:rPr>
                <w:rFonts w:hint="eastAsia" w:ascii="方正书宋_GBK" w:eastAsia="方正书宋_GBK"/>
              </w:rPr>
              <w:t>元</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幼儿辍学率</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辍学幼儿占幼儿总数的比例</w:t>
            </w:r>
          </w:p>
        </w:tc>
        <w:tc>
          <w:tcPr>
            <w:tcW w:w="18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幼儿和家长的满意度</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幼儿和家长对学校教育保育活动的满意度</w:t>
            </w:r>
          </w:p>
        </w:tc>
        <w:tc>
          <w:tcPr>
            <w:tcW w:w="18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jc w:val="left"/>
        <w:outlineLvl w:val="0"/>
        <w:rPr>
          <w:rFonts w:ascii="Times New Roman" w:hAnsi="Times New Roman" w:eastAsia="仿宋_GB2312" w:cs="Times New Roman"/>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bookmarkEnd w:id="1"/>
    </w:p>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小标宋_GBK" w:eastAsia="方正小标宋_GBK" w:cs="Times New Roman"/>
                <w:sz w:val="24"/>
                <w:lang w:val="en-US" w:eastAsia="zh-CN"/>
              </w:rPr>
            </w:pPr>
            <w:r>
              <w:rPr>
                <w:rFonts w:hint="eastAsia" w:ascii="方正小标宋_GBK" w:eastAsia="方正小标宋_GBK"/>
                <w:sz w:val="24"/>
                <w:lang w:val="en-US" w:eastAsia="zh-CN"/>
              </w:rPr>
              <w:t>[430027]廊坊市广阳区第五幼儿园</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廊坊市</w:t>
      </w:r>
      <w:r>
        <w:rPr>
          <w:rFonts w:hint="eastAsia" w:ascii="Times New Roman" w:hAnsi="Times New Roman" w:eastAsia="仿宋_GB2312" w:cs="Times New Roman"/>
          <w:sz w:val="32"/>
          <w:szCs w:val="32"/>
          <w:highlight w:val="none"/>
        </w:rPr>
        <w:t>广阳区第</w:t>
      </w:r>
      <w:r>
        <w:rPr>
          <w:rFonts w:hint="eastAsia" w:ascii="Times New Roman" w:hAnsi="Times New Roman" w:eastAsia="仿宋_GB2312" w:cs="Times New Roman"/>
          <w:sz w:val="32"/>
          <w:szCs w:val="32"/>
          <w:highlight w:val="none"/>
          <w:lang w:val="en-US" w:eastAsia="zh-CN"/>
        </w:rPr>
        <w:t>五</w:t>
      </w:r>
      <w:r>
        <w:rPr>
          <w:rFonts w:hint="eastAsia" w:ascii="Times New Roman" w:hAnsi="Times New Roman" w:eastAsia="仿宋_GB2312" w:cs="Times New Roman"/>
          <w:sz w:val="32"/>
          <w:szCs w:val="32"/>
          <w:highlight w:val="none"/>
        </w:rPr>
        <w:t>幼儿园</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含所属单位</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上年末固定资产金额0万元（详见下表）</w:t>
      </w:r>
      <w:r>
        <w:rPr>
          <w:rFonts w:hint="eastAsia" w:ascii="Times New Roman" w:hAnsi="Times New Roman" w:eastAsia="仿宋_GB2312" w:cs="Times New Roman"/>
          <w:sz w:val="32"/>
          <w:szCs w:val="32"/>
          <w:highlight w:val="none"/>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广阳区第五幼儿园</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广阳区第五幼儿园</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29.857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2520.12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106.4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44739"/>
    <w:rsid w:val="00084002"/>
    <w:rsid w:val="00113ADF"/>
    <w:rsid w:val="00180206"/>
    <w:rsid w:val="00216A0B"/>
    <w:rsid w:val="002A3042"/>
    <w:rsid w:val="002C539E"/>
    <w:rsid w:val="002D08CF"/>
    <w:rsid w:val="002F6ADD"/>
    <w:rsid w:val="00301F9F"/>
    <w:rsid w:val="00356683"/>
    <w:rsid w:val="00363BAF"/>
    <w:rsid w:val="004A54AA"/>
    <w:rsid w:val="005750D6"/>
    <w:rsid w:val="005F5E50"/>
    <w:rsid w:val="007424D5"/>
    <w:rsid w:val="00807A76"/>
    <w:rsid w:val="008378B6"/>
    <w:rsid w:val="008C2331"/>
    <w:rsid w:val="008F0EB4"/>
    <w:rsid w:val="00A218C6"/>
    <w:rsid w:val="00B17B32"/>
    <w:rsid w:val="00B61883"/>
    <w:rsid w:val="00B80935"/>
    <w:rsid w:val="00C40ABB"/>
    <w:rsid w:val="00C573A0"/>
    <w:rsid w:val="00CA0981"/>
    <w:rsid w:val="00D347CC"/>
    <w:rsid w:val="00DC7E76"/>
    <w:rsid w:val="00E27CE3"/>
    <w:rsid w:val="00F95348"/>
    <w:rsid w:val="01A15A41"/>
    <w:rsid w:val="1C82109D"/>
    <w:rsid w:val="47FD7BCE"/>
    <w:rsid w:val="493331A5"/>
    <w:rsid w:val="4A9D7697"/>
    <w:rsid w:val="594579BF"/>
    <w:rsid w:val="5DFB701C"/>
    <w:rsid w:val="6C917537"/>
    <w:rsid w:val="73E43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457</Words>
  <Characters>2611</Characters>
  <Lines>21</Lines>
  <Paragraphs>6</Paragraphs>
  <TotalTime>3</TotalTime>
  <ScaleCrop>false</ScaleCrop>
  <LinksUpToDate>false</LinksUpToDate>
  <CharactersWithSpaces>3062</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2022-07-08T07:42:07Z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5B6E069D70A449ECA72437D9A09DFBF3</vt:lpwstr>
  </property>
</Properties>
</file>