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11"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eastAsia="zh-CN"/>
        </w:rPr>
        <w:t>文化广电和旅游局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本级</w:t>
      </w:r>
      <w:r>
        <w:rPr>
          <w:rFonts w:ascii="Times New Roman" w:hAnsi="Times New Roman" w:eastAsia="方正小标宋简体" w:cs="Times New Roman"/>
          <w:sz w:val="44"/>
          <w:szCs w:val="44"/>
        </w:rPr>
        <w:t>预算信息公开</w:t>
      </w:r>
      <w:bookmarkEnd w:id="11"/>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本级</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（一）贯彻执行党和国家文化、广电、旅游和文物工作方针政策和法律法规。研究拟订全区文化、广电、旅游和文物政策措施。</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（二）拟订全区文化事业、旅游产业、广播电视、文物领域发展规划并组织实施，加快文化和旅游融合发展，推进文化、广电、旅游和文物体制机制改革。</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（三）管理全区性重大文化活动。指导全区重点文化设施建设，组织广阳旅游整体形象推广，促进文化和旅游产业对外合作和国际市场推广，制定全区旅游市场开发营销战略并组织实施，指导推进全域旅游。</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（四）指导、管理全区文艺事业。指导艺术创作生产，扶持体现社会主义核心价值观、具有导向性代表性示范性的文艺作品，推动全区各门类艺术、各艺术品种发展。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（五）负责全区公共文化事业发展。推进全区文化、旅游和广播电视公共服务体系建设；深入实施文化惠民工程，统筹推进全区基本公共文化服务标准化、均等化。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（六）指导推进全区文化、旅游行业信息化、标准化建设，推进广播电视科技创新发展。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（七）负责全区非物质文化遗产保护，推动非物质文化遗产的保护、传承、普及、弘扬和振兴。</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（八）统筹规划全区文化产业和旅游产业。组织实施文化和旅游资源普查、挖掘、保护和利用工作，促进文化产业和旅游产业发展。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（九）指导全区文化、广电和旅游市场发展。对文化、旅游和广播电视市场经营进行行业监管，推进全市文化、旅游和广播电视行业信用体系建设，依法规范文化、旅游和广播电视市场。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指导协调广播电视全区性重大宣传活动。负责对全区各类广播电视机构进行业务指导和行业监管，监管全区广播电视节目、网络视听节目和公共视听载体播放的视听节目，会同有关部门对全区网络视听节目服务机构进行管理，指导、监管全区广播电视广告播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指导和监管全区广播电视重点基础设施建设。指导、推进全区广播电视领域体制机制改革。组织实施全区广播电视公共服务重大公益工程和公益活动，负责推进广播电视与新媒体新技术新业态融合发展，推进广电网与电信网、互联网三网融合，促进智慧广电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（十二）负责对全区广播电视节目传输覆盖、监听、监看、监测的监管，推进全区应急广播体系建设，监管协调调度全区广播电视安全播出。负责全区广播电视统计工作。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（十三）指导全区文化市场综合执法。指导查处全区性文化、文物、广播电视、旅游市场以及文物保护领域的违法行为，做好案件查办工作，维护市场秩序。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指导、管理全区文化、旅游、广播电视、文物领域对外交流、合作和宣传、推广工作。代表区政府签订对外文化和旅游合作协定，组织大型文化和旅游对外及对港澳台交流活动，推动中华文化和廊坊特色文化走出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（十五）负责全区文物资源的调查、勘探、发掘工作；组织、协调全区文物保护和考古项目的实施工作；组织指导文物保护宣传工作；拟订文物保护制度和办法并负责督促检查；协调和指导文物保护工作。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（十六）完成区委、区政府交办的其他任务。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24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73"/>
        <w:gridCol w:w="2032"/>
        <w:gridCol w:w="1920"/>
        <w:gridCol w:w="3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单位名称</w:t>
            </w:r>
          </w:p>
        </w:tc>
        <w:tc>
          <w:tcPr>
            <w:tcW w:w="2032"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单位性质</w:t>
            </w:r>
          </w:p>
        </w:tc>
        <w:tc>
          <w:tcPr>
            <w:tcW w:w="1920"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单位规格</w:t>
            </w:r>
          </w:p>
        </w:tc>
        <w:tc>
          <w:tcPr>
            <w:tcW w:w="3615" w:type="dxa"/>
            <w:vMerge w:val="restart"/>
            <w:shd w:val="clear" w:color="auto" w:fill="auto"/>
            <w:vAlign w:val="center"/>
          </w:tcPr>
          <w:p>
            <w:pPr>
              <w:spacing w:line="584" w:lineRule="exact"/>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7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3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92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3615"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73" w:type="dxa"/>
            <w:shd w:val="clear" w:color="auto" w:fill="auto"/>
            <w:vAlign w:val="center"/>
          </w:tcPr>
          <w:p>
            <w:pPr>
              <w:widowControl/>
              <w:spacing w:line="570" w:lineRule="exact"/>
              <w:jc w:val="center"/>
              <w:rPr>
                <w:rFonts w:hint="eastAsia" w:ascii="仿宋" w:eastAsia="仿宋" w:cs="仿宋" w:hAnsiTheme="minorHAnsi"/>
                <w:kern w:val="0"/>
                <w:sz w:val="32"/>
                <w:szCs w:val="32"/>
                <w:lang w:val="en-US" w:eastAsia="zh-CN" w:bidi="ar-SA"/>
              </w:rPr>
            </w:pPr>
            <w:r>
              <w:rPr>
                <w:rFonts w:hint="eastAsia" w:ascii="仿宋" w:eastAsia="仿宋" w:cs="仿宋"/>
                <w:kern w:val="0"/>
                <w:sz w:val="32"/>
                <w:szCs w:val="32"/>
                <w:lang w:bidi="ar-SA"/>
              </w:rPr>
              <w:t>廊坊市广阳区</w:t>
            </w:r>
            <w:r>
              <w:rPr>
                <w:rFonts w:hint="eastAsia" w:ascii="仿宋" w:eastAsia="仿宋" w:cs="仿宋"/>
                <w:kern w:val="0"/>
                <w:sz w:val="32"/>
                <w:szCs w:val="32"/>
                <w:lang w:eastAsia="zh-CN" w:bidi="ar-SA"/>
              </w:rPr>
              <w:t>文化广电和旅游局</w:t>
            </w:r>
          </w:p>
        </w:tc>
        <w:tc>
          <w:tcPr>
            <w:tcW w:w="2032" w:type="dxa"/>
            <w:shd w:val="clear" w:color="auto" w:fill="auto"/>
            <w:vAlign w:val="center"/>
          </w:tcPr>
          <w:p>
            <w:pPr>
              <w:widowControl/>
              <w:spacing w:line="570" w:lineRule="exact"/>
              <w:jc w:val="center"/>
              <w:rPr>
                <w:rFonts w:hint="eastAsia" w:ascii="仿宋" w:eastAsia="仿宋" w:cs="仿宋" w:hAnsiTheme="minorHAnsi"/>
                <w:kern w:val="0"/>
                <w:sz w:val="32"/>
                <w:szCs w:val="32"/>
                <w:lang w:val="en-US" w:eastAsia="zh-CN" w:bidi="ar-SA"/>
              </w:rPr>
            </w:pPr>
            <w:r>
              <w:rPr>
                <w:rFonts w:hint="eastAsia" w:ascii="仿宋" w:eastAsia="仿宋" w:cs="仿宋"/>
                <w:kern w:val="0"/>
                <w:sz w:val="32"/>
                <w:szCs w:val="32"/>
                <w:highlight w:val="none"/>
                <w:shd w:val="clear" w:color="auto" w:fill="auto"/>
                <w:lang w:eastAsia="zh-CN" w:bidi="ar-SA"/>
              </w:rPr>
              <w:t>行政</w:t>
            </w:r>
          </w:p>
        </w:tc>
        <w:tc>
          <w:tcPr>
            <w:tcW w:w="1920" w:type="dxa"/>
            <w:shd w:val="clear" w:color="auto" w:fill="auto"/>
            <w:vAlign w:val="center"/>
          </w:tcPr>
          <w:p>
            <w:pPr>
              <w:widowControl/>
              <w:spacing w:line="570" w:lineRule="exact"/>
              <w:jc w:val="center"/>
              <w:rPr>
                <w:rFonts w:hint="eastAsia" w:ascii="仿宋" w:eastAsia="仿宋" w:cs="仿宋" w:hAnsiTheme="minorHAnsi"/>
                <w:kern w:val="0"/>
                <w:sz w:val="32"/>
                <w:szCs w:val="32"/>
                <w:lang w:val="en-US" w:eastAsia="zh-CN" w:bidi="ar-SA"/>
              </w:rPr>
            </w:pPr>
            <w:r>
              <w:rPr>
                <w:rFonts w:hint="eastAsia" w:ascii="仿宋" w:eastAsia="仿宋" w:cs="仿宋"/>
                <w:kern w:val="0"/>
                <w:sz w:val="32"/>
                <w:szCs w:val="32"/>
                <w:lang w:eastAsia="zh-CN" w:bidi="ar-SA"/>
              </w:rPr>
              <w:t>正科级</w:t>
            </w:r>
          </w:p>
        </w:tc>
        <w:tc>
          <w:tcPr>
            <w:tcW w:w="3615" w:type="dxa"/>
            <w:shd w:val="clear" w:color="auto" w:fill="auto"/>
            <w:vAlign w:val="center"/>
          </w:tcPr>
          <w:p>
            <w:pPr>
              <w:widowControl/>
              <w:spacing w:line="570" w:lineRule="exact"/>
              <w:jc w:val="center"/>
              <w:rPr>
                <w:rFonts w:hint="default" w:ascii="仿宋" w:eastAsia="仿宋" w:cs="仿宋" w:hAnsiTheme="minorHAnsi"/>
                <w:kern w:val="0"/>
                <w:sz w:val="32"/>
                <w:szCs w:val="32"/>
                <w:lang w:val="en-US" w:eastAsia="zh-CN" w:bidi="ar-SA"/>
              </w:rPr>
            </w:pPr>
            <w:r>
              <w:rPr>
                <w:rFonts w:hint="eastAsia" w:ascii="仿宋" w:eastAsia="仿宋" w:cs="仿宋"/>
                <w:kern w:val="0"/>
                <w:sz w:val="32"/>
                <w:szCs w:val="32"/>
                <w:lang w:val="en-US" w:eastAsia="zh-CN" w:bidi="ar-SA"/>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文化广电和旅游局本级</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级</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800.88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800.88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800.88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539.41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506.43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32.98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261.47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省级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4.5万元、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6.75万元、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w:t>
      </w:r>
      <w:r>
        <w:rPr>
          <w:rFonts w:hint="eastAsia" w:ascii="Times New Roman" w:hAnsi="Times New Roman" w:eastAsia="仿宋_GB2312" w:cs="Times New Roman"/>
          <w:sz w:val="32"/>
          <w:szCs w:val="32"/>
          <w:lang w:eastAsia="zh-CN"/>
        </w:rPr>
        <w:t>中央</w:t>
      </w:r>
      <w:r>
        <w:rPr>
          <w:rFonts w:hint="eastAsia" w:ascii="Times New Roman" w:hAnsi="Times New Roman" w:eastAsia="仿宋_GB2312" w:cs="Times New Roman"/>
          <w:sz w:val="32"/>
          <w:szCs w:val="32"/>
        </w:rPr>
        <w:t>资金</w:t>
      </w:r>
      <w:r>
        <w:rPr>
          <w:rFonts w:hint="eastAsia" w:ascii="Times New Roman" w:hAnsi="Times New Roman" w:eastAsia="仿宋_GB2312" w:cs="Times New Roman"/>
          <w:sz w:val="32"/>
          <w:szCs w:val="32"/>
          <w:lang w:val="en-US" w:eastAsia="zh-CN"/>
        </w:rPr>
        <w:t>27万元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2021年公共文化服务体系建设（含农村文化建设）市级资金8.3万元、2021年公共文化服务体系建设（含农村文化建设）中央资金132.99万元、</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三馆一站</w:t>
      </w:r>
      <w:r>
        <w:rPr>
          <w:rFonts w:hint="cs" w:ascii="Times New Roman" w:hAnsi="Times New Roman" w:eastAsia="仿宋_GB2312" w:cs="Times New Roman"/>
          <w:sz w:val="32"/>
          <w:szCs w:val="32"/>
        </w:rPr>
        <w:t>”</w:t>
      </w:r>
      <w:r>
        <w:rPr>
          <w:rFonts w:hint="eastAsia" w:ascii="Times New Roman" w:hAnsi="Times New Roman" w:eastAsia="仿宋_GB2312" w:cs="Times New Roman"/>
          <w:sz w:val="32"/>
          <w:szCs w:val="32"/>
        </w:rPr>
        <w:t>免费开放区级资金</w:t>
      </w:r>
      <w:r>
        <w:rPr>
          <w:rFonts w:hint="eastAsia" w:ascii="Times New Roman" w:hAnsi="Times New Roman" w:eastAsia="仿宋_GB2312" w:cs="Times New Roman"/>
          <w:sz w:val="32"/>
          <w:szCs w:val="32"/>
          <w:lang w:val="en-US" w:eastAsia="zh-CN"/>
        </w:rPr>
        <w:t>6.75万元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电影公司职工</w:t>
      </w:r>
      <w:r>
        <w:rPr>
          <w:rFonts w:hint="eastAsia" w:ascii="Times New Roman" w:hAnsi="Times New Roman" w:eastAsia="仿宋_GB2312" w:cs="Times New Roman"/>
          <w:sz w:val="32"/>
          <w:szCs w:val="32"/>
          <w:lang w:eastAsia="zh-CN"/>
        </w:rPr>
        <w:t>经费</w:t>
      </w:r>
      <w:r>
        <w:rPr>
          <w:rFonts w:hint="eastAsia" w:ascii="Times New Roman" w:hAnsi="Times New Roman" w:eastAsia="仿宋_GB2312" w:cs="Times New Roman"/>
          <w:sz w:val="32"/>
          <w:szCs w:val="32"/>
          <w:lang w:val="en-US" w:eastAsia="zh-CN"/>
        </w:rPr>
        <w:t>60万元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公共文化服务体系建设（农村文化建设）区级资金15.18万元。</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800.88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减少了</w:t>
      </w:r>
      <w:r>
        <w:rPr>
          <w:rFonts w:hint="eastAsia" w:ascii="Times New Roman" w:hAnsi="Times New Roman" w:eastAsia="仿宋_GB2312" w:cs="Times New Roman"/>
          <w:sz w:val="32"/>
          <w:szCs w:val="32"/>
          <w:lang w:val="en-US" w:eastAsia="zh-CN"/>
        </w:rPr>
        <w:t>26.83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减少了</w:t>
      </w:r>
      <w:r>
        <w:rPr>
          <w:rFonts w:hint="eastAsia" w:ascii="Times New Roman" w:hAnsi="Times New Roman" w:eastAsia="仿宋_GB2312" w:cs="Times New Roman"/>
          <w:sz w:val="32"/>
          <w:szCs w:val="32"/>
          <w:lang w:val="en-US" w:eastAsia="zh-CN"/>
        </w:rPr>
        <w:t>32.84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人员工资福利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highlight w:val="none"/>
          <w:lang w:val="en-US" w:eastAsia="zh-CN"/>
        </w:rPr>
        <w:t>6.01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上级一般公共预算安排转移支付的</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32.98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购置办公用品、</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w:t>
      </w:r>
      <w:r>
        <w:rPr>
          <w:rFonts w:hint="eastAsia" w:ascii="Times New Roman" w:hAnsi="Times New Roman" w:eastAsia="仿宋_GB2312" w:cs="Times New Roman"/>
          <w:sz w:val="32"/>
          <w:szCs w:val="32"/>
          <w:lang w:eastAsia="zh-CN"/>
        </w:rPr>
        <w:t>护</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文化方面</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完善公共文服务体系，做好示范区后续建设。持续推动国家公共文化服务体系示范区后续建设，推动地方政策落实主体责任。坚持问题导向，吃透标准，认真查找和梳理存在的差距、问题和不足。切实把短板补齐、补到位，确保验收工作顺利完成。为更好的提高和完善广阳区公共文化服务建设，广阳区采取典型示范作用，加强业务指导及督导，使用利用好公共文化专项资金，加强绩效管理，不断提升基层文化服务供给、服务质量、服务效能，逐步提高广阳基层公共文化服务建设水平。同时，加强区群艺馆总分馆之间联合互动，实现公共文化资源共享，2021年10月前完成总分馆建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强化阅读载体，丰富图书馆阵地活动。在疫情防控暂未解除之前，继续采取线上与线下相结合的方式，大力举办丰富多彩的阅读推广活动，尤其在传统节日和纪念日推出各类主题活动，助力全民阅读的深入开展。春秋季节，广泛开展流动图书车下乡和进社区活动，将图书馆工作延伸到最基层，全年流动服务不少于30次。继续深入推进总分馆建设，在初步建立我区的公共图书馆服务体系的基础上，进一步完善各项总分馆制度建设，重新录入分馆图书资源，实现总分馆之间通借通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推进“七进”惠民演出，丰富群众文化生活。继续按省、市民心工程工作安排，开展广阳区“进企业、进农村、进机关、进校园、进社区、进网站、进军营”文化惠民演出活动。文化惠民演出的形式根据群众的文化需求安排戏曲专场、综艺演出，专业演出团队和群众文化队伍相结合，从而调动群众文化队伍和基层文艺骨干的积极性，创作出更多更好的民间文艺作品，提高群众文化队伍的文化素质和艺术水平。2021年9月底前完成文化惠民演出60场，全年不少于84场。2021年6月前，完成基层文化人才队伍建设，6—12月，每月集中培训一次，并编辑电子刊物或纸质内刊。2021年6月前，建成广阳区文化阵地——广阳区曲艺社，为广大曲艺爱好提供活动平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旅游方面</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区合作举办2021年文化旅游季系列活动。一是指导和推进新朝阳文旅综合体、伊尔假日汤泉创建A级旅游景区。二是充分发挥我区乡村旅游示范创建的带头作用，发动指导旅游基础条件好的工（农）业企业和村落积极参加申报创建市级工（农）业旅游示范点和市级乡村旅游示范村。三是按照《河北省旅游厕所建设管理新三年行动计划（2018-2020）》要求，根据全区旅游厕所建设管理三年行动计划，我局按照工作任务开展旅游厕所建设管理行动，2020年计划建设旅游厕所10座，争取省、市级旅游公共服务设施资金支持，着力解决“找厕难”问题，确保将“厕所革命”引向深入、落到实处。四是召开2020年广阳区文化旅游产业发展大会。在成功举办2019广阳区首届文旅产业发展大会的基础上，召开2020年广阳区文化旅游产业发展大会，以乡村振兴和产业结构调整为立足点，实现以会促建，以会促产，以会促品，推动文化和旅游产业深度融合，扩大广阳在京津冀的区域影响力，推动实现创新发展、绿色发展、</w:t>
      </w:r>
      <w:r>
        <w:rPr>
          <w:rFonts w:hint="eastAsia" w:ascii="Times New Roman" w:hAnsi="Times New Roman" w:eastAsia="仿宋_GB2312" w:cs="Times New Roman"/>
          <w:sz w:val="32"/>
          <w:szCs w:val="32"/>
          <w:lang w:eastAsia="zh-CN"/>
        </w:rPr>
        <w:t>高质量发展</w:t>
      </w:r>
      <w:r>
        <w:rPr>
          <w:rFonts w:ascii="Times New Roman" w:hAnsi="Times New Roman" w:eastAsia="仿宋_GB2312" w:cs="Times New Roman"/>
          <w:sz w:val="32"/>
          <w:szCs w:val="32"/>
        </w:rPr>
        <w:t>，为建设经济强区做出新贡献。</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2、依托重点文旅项目资源打造区域经济圈。</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随着机场临空区的全面启动和城市经济的提质提速，区委、区政府提出“一核两区五带”总体发展框架，文化产业的发展也进入了快车道。依托旧州组团，打造文化旅游高端产业聚集区，重点抓好三五中国梦之城、远景企鹅生态村等重大文旅产业项目建成落地，以大型文旅项目带动劳动就业、经济增长；依托九州南汉宫廷艺术小镇特色文旅项目，打造特色产业园区，进一步加强规划引领，加大文旅扶持力度，预留文旅特色产业园区，充分发挥南汉非遗小镇的辐射带动作用，把非遗文化和田园生态资源转变成发展硬核，通过高端规划、深度开发，形成特色鲜明、产业突出、辐射效应明显的特色文旅小镇。在城市的核心区，依托现有商务楼宇，紧扣“文旅+”发展模式，大力推动城市布局和功能融合发展，注重加快文化旅游与科技的深度整合，让大数据、人工智能等科技在文旅领域广泛应用，打造一批特色“文旅+”城市综合体，培育广阳经济新的增长点。为进一步助推我区旅游产业发展，计划开展乡村旅游购物系列季和文化旅游创意大赛两项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文化市场管理方面</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对文化市场加大日常监管力度，重点排查辖区网吧、歌舞、游艺娱乐等公众聚集文化经营场所，查找场所在经营管理、消防安全等方面的死角和漏洞。及时预防并排除苗头性、倾向性问题，并将有关信息上报市文化市场综合执法局，防止发生重大安全责任事故。每年至少召开一次文广旅系统的安全生产培训会，并传达相关部门的文件及工作要求，督导企业制定实施。深入推进本行业安全生产“双控”机制建设，在生产经营单位全面建立制度健全、职责明晰、运行规范、管控有效的“双控”机制，全面提升生产经营单位安全生产管理水平，确保全区安全生产形势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廊坊市广阳区文化广电和旅游局职责分为：文化艺术管理、文化旅游宣传交流、文化保护、文化政务管理、广电管理和产业发展、旅游发展规划。</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文化艺术管理主要是管理和指导全区文化建设，推进文化发展环境能力建设，提供公共文化服务、文化艺术资源建设和文化艺术生产，使文化发展环境健康向上，文化发展能力不断增强，文化艺术资源丰富，公共文化服务和文化艺术生产水平不断提高，河北文化影响力日益扩大。主要通过送公益流动文化服务进基层完成率、公共文化场馆免费率、文化设施达标率、补助资金到位率和受益群众对免费开放场馆（站）服务的满意度五项绩效指标，使公共文化设施达标，机构和队伍健全，实现公共文化资源共享，形成城乡一体公共文化服务网络；公共文化产品生产和服务能力提高，基本公共文化服务标准化、均等化水平不断提高。全年送公益流动文化服务进基层完成率优秀达到100%；公共文化场馆免费率优秀达到100%；文化设施达标率优秀大于等于90%；补助资金到位率优秀优秀达到100%；受益群众对免费开放场馆（站）服务的满意度优秀大于等于90%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文化旅游宣传交流是指导、组织区优秀文化产品、服务和品牌活动宣传推介；组织全县对外文化交流活动。使对外文化交流档次和水平提升，对外文化贸易不断发展，我省文化国内国际影响力扩大。主要通过实际组织推介申报占应申报推介的比重、推介和获奖项目媒体宣传率和推介成功率和获奖率三项绩效指标，推动更多文化项目入选世界、国家名录和扶持项目；推动更多文化项目取得大赛名次和被认知；提高县文化的影响力。全年实际组织推介申报占应申报推介的比重、推介和获奖项目媒体宣传率和推介成功率和获奖率三项绩效指标优秀达到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文化保护和旅游发展规划是指导、组织开展文化保护工作；组织实施优秀民族文化的传承普及工作；维护国家文化安全。策划、推广全区旅游产品及旅游线路，开展国内外旅游市场促销工作，指导支持旅游市场开发工作。构建健全的文化保护体系，文化保护工作得到全面加强，优秀文化得到传承和发扬。通过旅游市场开发推广及交流合作，有效提高知名度、美誉度和影响力，吸引更多游客来旅游。主要通过项目完工率、展示和传承优秀项目占比率、濒危和重点项目有效保护覆盖率、工程完工率、工程验收合格率、综合利用率、新建和改建旅游厕所质量达标率、受益群体满意度等绩效指标，使得珍贵、濒危的非物质文化遗产得到有效抢救和保护，优秀特色文化得到传承和发扬。对全区旅游公共服务设施建设考察、验收，有效提高全区旅游规划目标，对省、市旅游专项资金进行合理分配、发放，完成其他旅游领域发展目标，提高游客满意度。全年项目完工率优秀大于等于85%；展示和传承优秀项目占比率优秀率大于等于60%；濒危和重点项目有效保护覆盖率优秀大于等于90%；工程完工率优秀达到100%；工程验收合格率优秀达到100%；综合利用率优秀大于等于90%；、新建和改建旅游厕所质量达标率优秀达到100%；、受益群体满意度大于等于90%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文化政务管理是负责系统综合业务管理和机关综合事务管理。确保各项业务工作谋划到位、顺利开展。保障机关工作正常高效运转。主要通过综合业务管理工作完成率、市场秩序状况达标率、违规违法查处案件完成率、行政管理工作目标达标率、综合事务管理工作完成率和专项业务工作组织管理目标达标率这几项绩效指标，拟定全区文化艺术方面有关发展规划、政策制度，开展调查研究，履行文化市场监管职责，开展文化宣传、保护等业务管理工作。改善文化管理和发展硬件、软件水平；加强文化队伍和艺术教育建设；加快文化科研和信息化建设，保障机关运转。确保各项业务工作谋划到位、顺利开展。保障机关工作正常高效运转。全年综合业务管理工作完成率、市场秩序状况达标率、违规违法查处案件完成率、行政管理工作目标达标率、综合事务管理工作完成率和专项业务工作组织管理目标达标率这几项绩效指标优秀达到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广电管理和产业发展拟订全区文化产业政策和发展规划并组织实施；指导、促进文化产业相关门类及新型业态发展；推动全区文化产业投融资体系建设；指导全区文化产业园区、基地建设。指导文化产业科研工作及成果推广；组织协调全区文化行业信息化、标准化工作；指导全区文化产业装备技术提升。负责全区“文化+”相关工作，促进文化与旅游等相关产业融合发展；承担全区文化产业调研与统计工作。拟订全区广播电视传输覆盖网和监测监管网的规划并推进建设；指导协调广播电视重大宣传活动及重大突发事件报道和应急播报；指导、监管全区广播电视安全播出工作和设施保护工作；指导推进全区应急广播体系建设；指导、监督电视动画片的制作与播出；指导、监督管理广播电视广告播放及影视文艺节目统一供片工作；对广播电视公益广告创作、制作、播出进行管理；协调推进三网融合，推进广播电视与新媒体技术新业态创新融合发展；协调推进广播电视公共服务均等化和城乡一体化发展，组织监督全区广播电视“户户通”工程；对信息网络和公共载体传播的视听节目进行监管，承担节目应急处置工作；负责全区广播电视统计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旅游管理拟订全区旅游公共服务政策及公共旅游事业发展规划并组织实施；拟订全区旅游公共服务标准并监督实施；拟订全区旅游产业政策和发展规划并组织实施。指导、促进旅游产业相关门类及新型业态发展；推动全区旅游产业投融资体系建设；促进旅游、文化与相关产业融合发展；指导全区旅游产业项目建设；组织协调全区旅游行业信息化、标准化工作；指导全区旅游装备技术提升；指导全区旅游行业职业教育工作。承担全区旅游资源普查、规划、开发和保护；负责全区乡村旅游发展工作；指导、推进全区全域旅游示范区、旅游度假区创建工作；指导全区重点旅游区域、目的地、线路的规划工作；指导全区旅游产品创新及开发体系建设。指导文化公园建设；承担红色旅游相关工作。指导、管理、协调、组织旅游对外宣传、交流、合作。负责全区性旅游统计工作。工程完工率优秀达到100%；工程验收合格率优秀达到100%；综合利用率优秀大于等于90%；新建和改建旅游厕所质量达标率优秀达到100%；受益群体满意度优秀大于等于90%。</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加强组织领导。强化领导班子和文广旅局内部各部门之间的分工合作，加大对全区文化、广电、旅游工作的统筹和指导力度。建立健全局党组统一领导、部门单位分工负责的工作机制，从而形成合力，共同推动各项工作的实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落实投入资金。充分发挥政府在公共文化建设中的主导作用，建立公共文化、广电、旅游设施建设的刚性投入机制，为文化设施建设和文化活动开展提供财力保障。将公共文化、广电、旅游基础设施的建设以及维护、管理资金，列入基本建设投资计划和财政预算，对各建设项目进行分解，明确责任主体、落实建设经费。</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3、建立反馈机制。建立以群众需求为导向的动态评价和反馈机制，使公共文化围绕群众需要提供服务、根据</w:t>
      </w:r>
      <w:bookmarkStart w:id="0" w:name="baidusnap4"/>
      <w:bookmarkEnd w:id="0"/>
      <w:r>
        <w:rPr>
          <w:rFonts w:ascii="Times New Roman" w:hAnsi="Times New Roman" w:eastAsia="仿宋_GB2312" w:cs="Times New Roman"/>
          <w:sz w:val="32"/>
          <w:szCs w:val="32"/>
        </w:rPr>
        <w:t>群众评价改进服务，从而不断提升公共文化服务的针对性、吸引力和满意度，最大限度地发挥其公共文化服务职能。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强化目标考核。将文化、广电、旅游工作的总体任务进行分解并纳入年度目标考核，使各部门进一步落实工作责任，明确工作任务、进度时间，确保按计划、按目标完成各项工作。对于完成较好、提前完成并通过检查验收的给予奖励，对于工作推动落实不力的，予以通报。 </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5、支持产业发展。找准广阳文化、广电、旅游产业定位和发展方向，主动接受和吸收京津产业的辐射和转移，发挥自身优势，借力首都资源，形成既具有广阳特色又具有现代水准的产业发展格局。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6、加强队伍建设。一是建立和完善奖励激励机制，调动文体旅游工作者的积极性，二是在各类工程建设中注重引进人才来广阳创业，三是加强文化辅导和培训，建设一支懂经营、会管理的复合型人才队伍。</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7、营造良好氛围。积极采取专项治理、行业自治、社会监督等有效措施，加大文化市场整顿规范工作的力度，促进其健康有序发展，营造良好的社会文化环境。</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1192"/>
        <w:gridCol w:w="4522"/>
        <w:gridCol w:w="600"/>
        <w:gridCol w:w="720"/>
        <w:gridCol w:w="636"/>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1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452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95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1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1192" w:type="dxa"/>
            <w:vMerge w:val="continue"/>
            <w:tcBorders>
              <w:tl2br w:val="nil"/>
              <w:tr2bl w:val="nil"/>
            </w:tcBorders>
            <w:vAlign w:val="center"/>
          </w:tcPr>
          <w:p/>
        </w:tc>
        <w:tc>
          <w:tcPr>
            <w:tcW w:w="4522" w:type="dxa"/>
            <w:vMerge w:val="continue"/>
            <w:tcBorders>
              <w:tl2br w:val="nil"/>
              <w:tr2bl w:val="nil"/>
            </w:tcBorders>
            <w:vAlign w:val="center"/>
          </w:tcPr>
          <w:p/>
        </w:tc>
        <w:tc>
          <w:tcPr>
            <w:tcW w:w="60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2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3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19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送公益流动文化服务进基层完成率</w:t>
            </w:r>
          </w:p>
        </w:tc>
        <w:tc>
          <w:tcPr>
            <w:tcW w:w="1192"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20</w:t>
            </w:r>
          </w:p>
        </w:tc>
        <w:tc>
          <w:tcPr>
            <w:tcW w:w="452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年度内送公益文艺展览、演出的实际场次数占计划场次数的比率</w:t>
            </w:r>
          </w:p>
        </w:tc>
        <w:tc>
          <w:tcPr>
            <w:tcW w:w="6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&gt;=</w:t>
            </w:r>
          </w:p>
        </w:tc>
        <w:tc>
          <w:tcPr>
            <w:tcW w:w="720"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90</w:t>
            </w:r>
          </w:p>
        </w:tc>
        <w:tc>
          <w:tcPr>
            <w:tcW w:w="636"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百分比</w:t>
            </w:r>
          </w:p>
        </w:tc>
        <w:tc>
          <w:tcPr>
            <w:tcW w:w="119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公共文化场馆免费开放率</w:t>
            </w:r>
          </w:p>
        </w:tc>
        <w:tc>
          <w:tcPr>
            <w:tcW w:w="1192"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20</w:t>
            </w:r>
          </w:p>
        </w:tc>
        <w:tc>
          <w:tcPr>
            <w:tcW w:w="452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实施公共图书馆、美术馆、文化馆、综合文化站免费开放的数量占公共文化场馆总量的比例</w:t>
            </w:r>
          </w:p>
        </w:tc>
        <w:tc>
          <w:tcPr>
            <w:tcW w:w="600"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720"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636" w:type="dxa"/>
            <w:tcBorders>
              <w:tl2br w:val="nil"/>
              <w:tr2bl w:val="nil"/>
            </w:tcBorders>
            <w:vAlign w:val="center"/>
          </w:tcPr>
          <w:p>
            <w:pPr>
              <w:widowControl/>
              <w:adjustRightInd w:val="0"/>
              <w:snapToGrid w:val="0"/>
              <w:jc w:val="center"/>
              <w:rPr>
                <w:rFonts w:ascii="方正书宋_GBK" w:eastAsia="方正书宋_GBK"/>
              </w:rPr>
            </w:pPr>
          </w:p>
        </w:tc>
        <w:tc>
          <w:tcPr>
            <w:tcW w:w="119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文化设施达标率</w:t>
            </w:r>
          </w:p>
        </w:tc>
        <w:tc>
          <w:tcPr>
            <w:tcW w:w="1192"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452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区内实际文化设施达标数量占文化设施总数的比率</w:t>
            </w:r>
          </w:p>
        </w:tc>
        <w:tc>
          <w:tcPr>
            <w:tcW w:w="600"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720"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636" w:type="dxa"/>
            <w:tcBorders>
              <w:tl2br w:val="nil"/>
              <w:tr2bl w:val="nil"/>
            </w:tcBorders>
            <w:vAlign w:val="center"/>
          </w:tcPr>
          <w:p>
            <w:pPr>
              <w:widowControl/>
              <w:adjustRightInd w:val="0"/>
              <w:snapToGrid w:val="0"/>
              <w:jc w:val="center"/>
              <w:rPr>
                <w:rFonts w:ascii="方正书宋_GBK" w:eastAsia="方正书宋_GBK"/>
              </w:rPr>
            </w:pPr>
          </w:p>
        </w:tc>
        <w:tc>
          <w:tcPr>
            <w:tcW w:w="119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完成率</w:t>
            </w:r>
          </w:p>
        </w:tc>
        <w:tc>
          <w:tcPr>
            <w:tcW w:w="1192"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10</w:t>
            </w:r>
          </w:p>
        </w:tc>
        <w:tc>
          <w:tcPr>
            <w:tcW w:w="452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 xml:space="preserve">年度内实际开展的文化服务活动次数占计划总数的比率 </w:t>
            </w:r>
          </w:p>
        </w:tc>
        <w:tc>
          <w:tcPr>
            <w:tcW w:w="600"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&gt;=</w:t>
            </w:r>
          </w:p>
        </w:tc>
        <w:tc>
          <w:tcPr>
            <w:tcW w:w="720"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90</w:t>
            </w:r>
          </w:p>
        </w:tc>
        <w:tc>
          <w:tcPr>
            <w:tcW w:w="636" w:type="dxa"/>
            <w:tcBorders>
              <w:tl2br w:val="nil"/>
              <w:tr2bl w:val="nil"/>
            </w:tcBorders>
            <w:vAlign w:val="center"/>
          </w:tcPr>
          <w:p>
            <w:pPr>
              <w:widowControl/>
              <w:adjustRightInd w:val="0"/>
              <w:snapToGrid w:val="0"/>
              <w:jc w:val="center"/>
              <w:rPr>
                <w:rFonts w:ascii="方正书宋_GBK" w:eastAsia="方正书宋_GBK"/>
              </w:rPr>
            </w:pPr>
          </w:p>
        </w:tc>
        <w:tc>
          <w:tcPr>
            <w:tcW w:w="119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免费开放服务水平稳步提升</w:t>
            </w:r>
          </w:p>
        </w:tc>
        <w:tc>
          <w:tcPr>
            <w:tcW w:w="1192"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20</w:t>
            </w:r>
          </w:p>
        </w:tc>
        <w:tc>
          <w:tcPr>
            <w:tcW w:w="452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当年较前一年的文化服务水平</w:t>
            </w:r>
          </w:p>
        </w:tc>
        <w:tc>
          <w:tcPr>
            <w:tcW w:w="6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20" w:type="dxa"/>
            <w:tcBorders>
              <w:tl2br w:val="nil"/>
              <w:tr2bl w:val="nil"/>
            </w:tcBorders>
            <w:vAlign w:val="center"/>
          </w:tcPr>
          <w:p>
            <w:pPr>
              <w:widowControl/>
              <w:adjustRightInd w:val="0"/>
              <w:snapToGrid w:val="0"/>
              <w:jc w:val="center"/>
              <w:rPr>
                <w:rFonts w:ascii="方正书宋_GBK" w:eastAsia="方正书宋_GBK"/>
              </w:rPr>
            </w:pPr>
          </w:p>
        </w:tc>
        <w:tc>
          <w:tcPr>
            <w:tcW w:w="63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逐步增长</w:t>
            </w:r>
          </w:p>
        </w:tc>
        <w:tc>
          <w:tcPr>
            <w:tcW w:w="119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1192" w:type="dxa"/>
            <w:tcBorders>
              <w:tl2br w:val="nil"/>
              <w:tr2bl w:val="nil"/>
            </w:tcBorders>
            <w:vAlign w:val="center"/>
          </w:tcPr>
          <w:p>
            <w:pPr>
              <w:widowControl/>
              <w:adjustRightInd w:val="0"/>
              <w:snapToGrid w:val="0"/>
              <w:jc w:val="center"/>
              <w:rPr>
                <w:rFonts w:ascii="方正书宋_GBK" w:eastAsia="方正书宋_GBK"/>
              </w:rPr>
            </w:pPr>
          </w:p>
        </w:tc>
        <w:tc>
          <w:tcPr>
            <w:tcW w:w="4522" w:type="dxa"/>
            <w:tcBorders>
              <w:tl2br w:val="nil"/>
              <w:tr2bl w:val="nil"/>
            </w:tcBorders>
            <w:vAlign w:val="center"/>
          </w:tcPr>
          <w:p>
            <w:pPr>
              <w:widowControl/>
              <w:adjustRightInd w:val="0"/>
              <w:snapToGrid w:val="0"/>
              <w:rPr>
                <w:rFonts w:ascii="方正书宋_GBK" w:eastAsia="方正书宋_GBK"/>
              </w:rPr>
            </w:pPr>
          </w:p>
        </w:tc>
        <w:tc>
          <w:tcPr>
            <w:tcW w:w="600" w:type="dxa"/>
            <w:tcBorders>
              <w:tl2br w:val="nil"/>
              <w:tr2bl w:val="nil"/>
            </w:tcBorders>
            <w:vAlign w:val="center"/>
          </w:tcPr>
          <w:p>
            <w:pPr>
              <w:widowControl/>
              <w:adjustRightInd w:val="0"/>
              <w:snapToGrid w:val="0"/>
              <w:rPr>
                <w:rFonts w:ascii="方正书宋_GBK" w:eastAsia="方正书宋_GBK"/>
              </w:rPr>
            </w:pPr>
          </w:p>
        </w:tc>
        <w:tc>
          <w:tcPr>
            <w:tcW w:w="720" w:type="dxa"/>
            <w:tcBorders>
              <w:tl2br w:val="nil"/>
              <w:tr2bl w:val="nil"/>
            </w:tcBorders>
            <w:vAlign w:val="center"/>
          </w:tcPr>
          <w:p>
            <w:pPr>
              <w:widowControl/>
              <w:adjustRightInd w:val="0"/>
              <w:snapToGrid w:val="0"/>
              <w:rPr>
                <w:rFonts w:ascii="方正书宋_GBK" w:eastAsia="方正书宋_GBK"/>
              </w:rPr>
            </w:pPr>
          </w:p>
        </w:tc>
        <w:tc>
          <w:tcPr>
            <w:tcW w:w="636" w:type="dxa"/>
            <w:tcBorders>
              <w:tl2br w:val="nil"/>
              <w:tr2bl w:val="nil"/>
            </w:tcBorders>
            <w:vAlign w:val="center"/>
          </w:tcPr>
          <w:p>
            <w:pPr>
              <w:widowControl/>
              <w:adjustRightInd w:val="0"/>
              <w:snapToGrid w:val="0"/>
              <w:rPr>
                <w:rFonts w:ascii="方正书宋_GBK" w:eastAsia="方正书宋_GBK"/>
              </w:rPr>
            </w:pPr>
          </w:p>
        </w:tc>
        <w:tc>
          <w:tcPr>
            <w:tcW w:w="119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1192" w:type="dxa"/>
            <w:tcBorders>
              <w:tl2br w:val="nil"/>
              <w:tr2bl w:val="nil"/>
            </w:tcBorders>
            <w:vAlign w:val="center"/>
          </w:tcPr>
          <w:p>
            <w:pPr>
              <w:widowControl/>
              <w:adjustRightInd w:val="0"/>
              <w:snapToGrid w:val="0"/>
              <w:jc w:val="center"/>
              <w:rPr>
                <w:rFonts w:ascii="方正书宋_GBK" w:eastAsia="方正书宋_GBK"/>
              </w:rPr>
            </w:pPr>
          </w:p>
        </w:tc>
        <w:tc>
          <w:tcPr>
            <w:tcW w:w="4522" w:type="dxa"/>
            <w:tcBorders>
              <w:tl2br w:val="nil"/>
              <w:tr2bl w:val="nil"/>
            </w:tcBorders>
            <w:vAlign w:val="center"/>
          </w:tcPr>
          <w:p>
            <w:pPr>
              <w:widowControl/>
              <w:adjustRightInd w:val="0"/>
              <w:snapToGrid w:val="0"/>
              <w:rPr>
                <w:rFonts w:ascii="方正书宋_GBK" w:eastAsia="方正书宋_GBK"/>
              </w:rPr>
            </w:pPr>
          </w:p>
        </w:tc>
        <w:tc>
          <w:tcPr>
            <w:tcW w:w="600" w:type="dxa"/>
            <w:tcBorders>
              <w:tl2br w:val="nil"/>
              <w:tr2bl w:val="nil"/>
            </w:tcBorders>
            <w:vAlign w:val="center"/>
          </w:tcPr>
          <w:p>
            <w:pPr>
              <w:widowControl/>
              <w:adjustRightInd w:val="0"/>
              <w:snapToGrid w:val="0"/>
              <w:rPr>
                <w:rFonts w:ascii="方正书宋_GBK" w:eastAsia="方正书宋_GBK"/>
              </w:rPr>
            </w:pPr>
          </w:p>
        </w:tc>
        <w:tc>
          <w:tcPr>
            <w:tcW w:w="720" w:type="dxa"/>
            <w:tcBorders>
              <w:tl2br w:val="nil"/>
              <w:tr2bl w:val="nil"/>
            </w:tcBorders>
            <w:vAlign w:val="center"/>
          </w:tcPr>
          <w:p>
            <w:pPr>
              <w:widowControl/>
              <w:adjustRightInd w:val="0"/>
              <w:snapToGrid w:val="0"/>
              <w:rPr>
                <w:rFonts w:ascii="方正书宋_GBK" w:eastAsia="方正书宋_GBK"/>
              </w:rPr>
            </w:pPr>
          </w:p>
        </w:tc>
        <w:tc>
          <w:tcPr>
            <w:tcW w:w="636" w:type="dxa"/>
            <w:tcBorders>
              <w:tl2br w:val="nil"/>
              <w:tr2bl w:val="nil"/>
            </w:tcBorders>
            <w:vAlign w:val="center"/>
          </w:tcPr>
          <w:p>
            <w:pPr>
              <w:widowControl/>
              <w:adjustRightInd w:val="0"/>
              <w:snapToGrid w:val="0"/>
              <w:rPr>
                <w:rFonts w:ascii="方正书宋_GBK" w:eastAsia="方正书宋_GBK"/>
              </w:rPr>
            </w:pPr>
          </w:p>
        </w:tc>
        <w:tc>
          <w:tcPr>
            <w:tcW w:w="119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长期使用性</w:t>
            </w:r>
          </w:p>
        </w:tc>
        <w:tc>
          <w:tcPr>
            <w:tcW w:w="1192" w:type="dxa"/>
            <w:tcBorders>
              <w:tl2br w:val="nil"/>
              <w:tr2bl w:val="nil"/>
            </w:tcBorders>
            <w:noWrap/>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452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长期较好地开展展演、展映、展播、展示，长期满足人民群众对精神文化的要求</w:t>
            </w:r>
          </w:p>
        </w:tc>
        <w:tc>
          <w:tcPr>
            <w:tcW w:w="6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720" w:type="dxa"/>
            <w:tcBorders>
              <w:tl2br w:val="nil"/>
              <w:tr2bl w:val="nil"/>
            </w:tcBorders>
            <w:vAlign w:val="center"/>
          </w:tcPr>
          <w:p>
            <w:pPr>
              <w:widowControl/>
              <w:adjustRightInd w:val="0"/>
              <w:snapToGrid w:val="0"/>
              <w:jc w:val="center"/>
              <w:rPr>
                <w:rFonts w:ascii="方正书宋_GBK" w:eastAsia="方正书宋_GBK"/>
              </w:rPr>
            </w:pPr>
          </w:p>
        </w:tc>
        <w:tc>
          <w:tcPr>
            <w:tcW w:w="63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长期</w:t>
            </w:r>
          </w:p>
        </w:tc>
        <w:tc>
          <w:tcPr>
            <w:tcW w:w="119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受益群众满意度</w:t>
            </w:r>
          </w:p>
        </w:tc>
        <w:tc>
          <w:tcPr>
            <w:tcW w:w="1192" w:type="dxa"/>
            <w:tcBorders>
              <w:tl2br w:val="nil"/>
              <w:tr2bl w:val="nil"/>
            </w:tcBorders>
            <w:noWrap/>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10</w:t>
            </w:r>
          </w:p>
        </w:tc>
        <w:tc>
          <w:tcPr>
            <w:tcW w:w="452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参加活动满意人数占所有参与活动总人数的比率</w:t>
            </w:r>
          </w:p>
        </w:tc>
        <w:tc>
          <w:tcPr>
            <w:tcW w:w="60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&gt;=</w:t>
            </w:r>
          </w:p>
        </w:tc>
        <w:tc>
          <w:tcPr>
            <w:tcW w:w="720"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90</w:t>
            </w:r>
          </w:p>
        </w:tc>
        <w:tc>
          <w:tcPr>
            <w:tcW w:w="636"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百分比</w:t>
            </w:r>
          </w:p>
        </w:tc>
        <w:tc>
          <w:tcPr>
            <w:tcW w:w="119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2" w:firstLineChars="200"/>
        <w:jc w:val="left"/>
        <w:outlineLvl w:val="3"/>
        <w:rPr>
          <w:rFonts w:ascii="Times New Roman" w:hAnsi="宋体"/>
          <w:b/>
          <w:sz w:val="28"/>
        </w:rPr>
      </w:pPr>
      <w:bookmarkStart w:id="1" w:name="_Toc67181539"/>
      <w:r>
        <w:rPr>
          <w:rFonts w:hint="eastAsia" w:ascii="方正仿宋_GBK" w:eastAsia="方正仿宋_GBK"/>
          <w:b/>
          <w:sz w:val="28"/>
        </w:rPr>
        <w:t>1.2021年“三馆一站”免费开放省级资金绩效目标表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1、2021年\“三馆一站\”免费开放省级资金绩效目标表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通过免费开放补助资金的足额拨付，保障辖区</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不断提升广阳区公共文化服务质量和水平，达到每周免费开放时长标准，促进基本公共文化服务标准化、均等化。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省级转移支付资金金额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省级转移支付资金金额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4.5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号、廊政办发（</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受益群众对免费开放服务的满意度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受益群众对免费开放服务的满意度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81540"/>
      <w:r>
        <w:rPr>
          <w:rFonts w:hint="eastAsia" w:ascii="方正仿宋_GBK" w:eastAsia="方正仿宋_GBK"/>
          <w:b/>
          <w:sz w:val="28"/>
        </w:rPr>
        <w:t>2.“三馆一站”免费开放区级资金绩效目标表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2、\“三馆一站\”免费开放区级资金绩效目标表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通过文化站免费开放区级配套资金的足额拨付，保障辖区内</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不断提升全区公共文化服务质量和水平，达到文化站每周免费开放</w:t>
            </w:r>
            <w:r>
              <w:rPr>
                <w:rFonts w:ascii="方正书宋_GBK" w:eastAsia="方正书宋_GBK"/>
              </w:rPr>
              <w:t>42</w:t>
            </w:r>
            <w:r>
              <w:rPr>
                <w:rFonts w:hint="eastAsia" w:ascii="方正书宋_GBK" w:eastAsia="方正书宋_GBK"/>
              </w:rPr>
              <w:t>小时的标准，促进基本公共文化服务标准化、均等化。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文化站向公众免费提供服务的时间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文化站每周执行对外免费开放的总时长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参加文化站活动满意人数占所有参与活动总人数的比率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上级绩效目标要求</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181541"/>
      <w:r>
        <w:rPr>
          <w:rFonts w:hint="eastAsia" w:ascii="方正仿宋_GBK" w:eastAsia="方正仿宋_GBK"/>
          <w:b/>
          <w:sz w:val="28"/>
        </w:rPr>
        <w:t>3.2021年“三馆一站”免费开放市级资金绩效目标表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3、2021年\“三馆一站\”免费开放市级资金绩效目标表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通过免费开放补助资金的足额拨付，保障辖区</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不断提升广阳区公共文化服务质量和水平，达到每周免费开放时长标准，促进基本公共文化服务标准化、均等化。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市级转移支付资金金额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6.75</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号、廊政办发（</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受益群众对免费开放服务的满意度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受益群众对免费开放服务的满意度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181542"/>
      <w:r>
        <w:rPr>
          <w:rFonts w:hint="eastAsia" w:ascii="方正仿宋_GBK" w:eastAsia="方正仿宋_GBK"/>
          <w:b/>
          <w:sz w:val="28"/>
        </w:rPr>
        <w:t>4.2021年“三馆一站”免费开放中央资金绩效目标表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4、2021年\“三馆一站\”免费开放中央资金绩效目标表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通过免费开放补助资金的足额拨付，保障辖区</w:t>
            </w:r>
            <w:r>
              <w:rPr>
                <w:rFonts w:ascii="方正书宋_GBK" w:eastAsia="方正书宋_GBK"/>
              </w:rPr>
              <w:t>9</w:t>
            </w:r>
            <w:r>
              <w:rPr>
                <w:rFonts w:hint="eastAsia" w:ascii="方正书宋_GBK" w:eastAsia="方正书宋_GBK"/>
              </w:rPr>
              <w:t>个文化站全部免费向社会公众开展基本公共文化服务。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不断提升广阳区公共文化服务质量和水平，达到每周免费开放时长标准，促进基本公共文化服务标准化、均等化。</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补助文化站数量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专项资金拨付文化站数量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受补贴文化站开放率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实际免费开放的文化站数占全部文化站数量的比率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中央转移支付资金金额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27</w:t>
            </w:r>
            <w:r>
              <w:rPr>
                <w:rFonts w:hint="eastAsia" w:ascii="方正书宋_GBK" w:eastAsia="方正书宋_GBK"/>
              </w:rPr>
              <w:t>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号、廊政办发（</w:t>
            </w:r>
            <w:r>
              <w:rPr>
                <w:rFonts w:ascii="方正书宋_GBK" w:eastAsia="方正书宋_GBK"/>
              </w:rPr>
              <w:t>2020</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免费开放服务水平稳步提升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受益群众对免费开放服务的满意度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受益群众对免费开放服务的满意度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181543"/>
      <w:r>
        <w:rPr>
          <w:rFonts w:hint="eastAsia" w:ascii="方正仿宋_GBK" w:eastAsia="方正仿宋_GBK"/>
          <w:b/>
          <w:sz w:val="28"/>
        </w:rPr>
        <w:t>5.2021年公共文化服务体系建设（含农村文化建设）中央资金绩效目标表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5、2021年公共文化服务体系建设（含农村文化建设）中央资金绩效目标表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通过中央补助公共文化建设资金的拨付</w:t>
            </w:r>
            <w:r>
              <w:rPr>
                <w:rFonts w:ascii="方正书宋_GBK" w:eastAsia="方正书宋_GBK"/>
              </w:rPr>
              <w:t>,</w:t>
            </w:r>
            <w:r>
              <w:rPr>
                <w:rFonts w:hint="eastAsia" w:ascii="方正书宋_GBK" w:eastAsia="方正书宋_GBK"/>
              </w:rPr>
              <w:t>进一步促进基层公共文化服务供给</w:t>
            </w:r>
            <w:r>
              <w:rPr>
                <w:rFonts w:ascii="方正书宋_GBK" w:eastAsia="方正书宋_GBK"/>
              </w:rPr>
              <w:t>,</w:t>
            </w:r>
            <w:r>
              <w:rPr>
                <w:rFonts w:hint="eastAsia" w:ascii="方正书宋_GBK" w:eastAsia="方正书宋_GBK"/>
              </w:rPr>
              <w:t>促进基本公共文化服务标准化、均等化。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确保辖区广大居民能够享受到公共文化服务、文化活动等基本文化权益。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文化活动按年度完成及时率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文化活动按年度完成及时率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中央转移支付资金金额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中央转移支付资金金额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132.99</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基本公共文化服务水平逐步提升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基本公共文化服务水平逐步提升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受益群众对公共文化服务的满意度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受益群众对公共文化服务的满意度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181544"/>
      <w:r>
        <w:rPr>
          <w:rFonts w:hint="eastAsia" w:ascii="方正仿宋_GBK" w:eastAsia="方正仿宋_GBK"/>
          <w:b/>
          <w:sz w:val="28"/>
        </w:rPr>
        <w:t>6.公共文化服务体系建设（农村文化建设）区级资金绩效目标表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6、公共文化服务体系建设（农村文化建设）区级资金绩效目标表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通过补助扶持农村文化建设，促进基本公共文化服务标准化、均等化。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确保广大农村居民能够享受到公共文化服务、农村文化活动等基本文化权益。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补助农村文化建设村街个数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补助农村文化建设村街个数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92</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年开展公共文化服务活动数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年开展公共文化服务活动数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实际开展公共文化工作占计划完成工作的比率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工作完成的时间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每个村街财政投入资金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每个村街财政投入标准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0.16</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财教</w:t>
            </w:r>
            <w:r>
              <w:rPr>
                <w:rFonts w:ascii="方正书宋_GBK" w:eastAsia="方正书宋_GBK"/>
              </w:rPr>
              <w:t>[2013]98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年开展公共文化服务活动数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年开展公共文化服务活动数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接受公共文化服务满意人数占所有接受公共文化服务总人数的比率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上级绩效目标要求</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181545"/>
      <w:r>
        <w:rPr>
          <w:rFonts w:hint="eastAsia" w:ascii="方正仿宋_GBK" w:eastAsia="方正仿宋_GBK"/>
          <w:b/>
          <w:sz w:val="28"/>
        </w:rPr>
        <w:t>7.电影公司职工经费绩效目标表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7、电影公司职工经费绩效目标表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积极协调相关部门，确保到达法定退休年龄的职工能按时退休，享受正常的医疗保障，确实达到病有所医。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确保和维护电影公司退休和在职职工的稳定团结，能按时享受相应的合理福利费用。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受益职工人数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电影公司职工受益人数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已补助人数占应补助人数的比率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资金拨付和发放完成情况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改善全体职工生活水平情况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电影公司全体员工生活水平提高情况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逐步提高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受益职工满意度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实际情况</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181546"/>
      <w:r>
        <w:rPr>
          <w:rFonts w:hint="eastAsia" w:ascii="方正仿宋_GBK" w:eastAsia="方正仿宋_GBK"/>
          <w:b/>
          <w:sz w:val="28"/>
        </w:rPr>
        <w:t>8.2021年公共文化服务体系建设（含农村文化建设）市级资金绩效目标表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8、2021年公共文化服务体系建设（含农村文化建设）市级资金绩效目标表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通过市级公共文化建设资金的拨付</w:t>
            </w:r>
            <w:r>
              <w:rPr>
                <w:rFonts w:ascii="方正书宋_GBK" w:eastAsia="方正书宋_GBK"/>
              </w:rPr>
              <w:t>,</w:t>
            </w:r>
            <w:r>
              <w:rPr>
                <w:rFonts w:hint="eastAsia" w:ascii="方正书宋_GBK" w:eastAsia="方正书宋_GBK"/>
              </w:rPr>
              <w:t>进一步促进基层公共文化服务供给</w:t>
            </w:r>
            <w:r>
              <w:rPr>
                <w:rFonts w:ascii="方正书宋_GBK" w:eastAsia="方正书宋_GBK"/>
              </w:rPr>
              <w:t>,</w:t>
            </w:r>
            <w:r>
              <w:rPr>
                <w:rFonts w:hint="eastAsia" w:ascii="方正书宋_GBK" w:eastAsia="方正书宋_GBK"/>
              </w:rPr>
              <w:t>促进基本公共文化服务标准化、均等化。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确保辖区广大居民能够享受到公共文化服务、文化活动等基本文化权益。</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送公益流动文化服务进基层完成率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文化设施达标率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文化设施达标率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文化活动按年度完成及时率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文化活动按年度完成及时率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市级转移支付资金金额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市级转移支付资金金额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8.3</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提供公共文化服务的时间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公共文化设施向公众免费提供公共文化服务的时间</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基本公共文化服务水平逐步提升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基本公共文化服务水平逐步提升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逐步提升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受益群众对公共文化服务的满意度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受益群众对公共文化服务的满意度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9"/>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0" w:name="_Toc64920910"/>
      <w:r>
        <w:rPr>
          <w:rFonts w:hint="eastAsia" w:ascii="方正小标宋_GBK" w:eastAsia="方正小标宋_GBK" w:cs="Times New Roman"/>
          <w:sz w:val="32"/>
        </w:rPr>
        <w:t>部门政府采购预算</w:t>
      </w:r>
      <w:bookmarkEnd w:id="10"/>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Times New Roman" w:hAnsi="Times New Roman" w:eastAsia="仿宋_GB2312" w:cs="Times New Roman"/>
                <w:sz w:val="24"/>
                <w:lang w:val="en-US" w:eastAsia="zh-CN"/>
              </w:rPr>
              <w:t>[506001]</w:t>
            </w:r>
            <w:r>
              <w:rPr>
                <w:rFonts w:hint="eastAsia" w:ascii="Times New Roman" w:hAnsi="Times New Roman" w:eastAsia="仿宋_GB2312" w:cs="Times New Roman"/>
                <w:sz w:val="24"/>
              </w:rPr>
              <w:t>廊坊市广阳区</w:t>
            </w:r>
            <w:r>
              <w:rPr>
                <w:rFonts w:hint="eastAsia" w:ascii="Times New Roman" w:hAnsi="Times New Roman" w:eastAsia="仿宋_GB2312" w:cs="Times New Roman"/>
                <w:sz w:val="24"/>
                <w:lang w:eastAsia="zh-CN"/>
              </w:rPr>
              <w:t>文化广电和旅游局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文化广电和旅游局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83.96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eastAsia="zh-CN"/>
              </w:rPr>
              <w:t>文化广电和旅游局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广阳区文化广电和旅游局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83.96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27.98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F0EB4"/>
    <w:rsid w:val="00A218C6"/>
    <w:rsid w:val="00B17B32"/>
    <w:rsid w:val="00B80935"/>
    <w:rsid w:val="00D347CC"/>
    <w:rsid w:val="00E27CE3"/>
    <w:rsid w:val="07374240"/>
    <w:rsid w:val="093020C1"/>
    <w:rsid w:val="17623F1B"/>
    <w:rsid w:val="1C966AB5"/>
    <w:rsid w:val="28167962"/>
    <w:rsid w:val="2B972092"/>
    <w:rsid w:val="3C810A27"/>
    <w:rsid w:val="3ED11D29"/>
    <w:rsid w:val="43726A65"/>
    <w:rsid w:val="6A415D52"/>
    <w:rsid w:val="767F4B1F"/>
    <w:rsid w:val="77D63BB7"/>
    <w:rsid w:val="7DB94EDB"/>
    <w:rsid w:val="7F84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491</Words>
  <Characters>2803</Characters>
  <Lines>23</Lines>
  <Paragraphs>6</Paragraphs>
  <TotalTime>4</TotalTime>
  <ScaleCrop>false</ScaleCrop>
  <LinksUpToDate>false</LinksUpToDate>
  <CharactersWithSpaces>3288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2024-07-18T01:06:16Z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F37F1B84EAE549F39AD0C7D5251A88C9</vt:lpwstr>
  </property>
</Properties>
</file>