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w:t>
      </w:r>
      <w:r>
        <w:rPr>
          <w:rFonts w:hint="eastAsia" w:ascii="Times New Roman" w:hAnsi="Times New Roman" w:eastAsia="方正小标宋简体" w:cs="Times New Roman"/>
          <w:sz w:val="44"/>
          <w:szCs w:val="44"/>
          <w:lang w:eastAsia="zh-CN"/>
        </w:rPr>
        <w:t>区</w:t>
      </w:r>
      <w:bookmarkStart w:id="6" w:name="_GoBack"/>
      <w:r>
        <w:rPr>
          <w:rFonts w:hint="eastAsia" w:ascii="Times New Roman" w:hAnsi="Times New Roman" w:eastAsia="方正小标宋简体" w:cs="Times New Roman"/>
          <w:sz w:val="44"/>
          <w:szCs w:val="44"/>
          <w:lang w:eastAsia="zh-CN"/>
        </w:rPr>
        <w:t>公共图书馆</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部门</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bookmarkEnd w:id="6"/>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公共图书馆</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hint="eastAsia" w:ascii="仿宋_GB2312" w:hAnsi="仿宋_GB2312" w:eastAsia="仿宋_GB2312" w:cs="仿宋_GB2312"/>
          <w:b w:val="0"/>
          <w:bCs/>
          <w:sz w:val="32"/>
          <w:szCs w:val="32"/>
          <w:lang w:eastAsia="zh-CN"/>
        </w:rPr>
      </w:pPr>
      <w:r>
        <w:rPr>
          <w:rFonts w:hint="eastAsia" w:ascii="Times New Roman" w:hAnsi="Times New Roman" w:eastAsia="楷体_GB2312" w:cs="Times New Roman"/>
          <w:b/>
          <w:sz w:val="32"/>
          <w:szCs w:val="32"/>
          <w:lang w:eastAsia="zh-CN"/>
        </w:rPr>
        <w:t>部门职责：</w:t>
      </w:r>
      <w:r>
        <w:rPr>
          <w:rFonts w:hint="eastAsia" w:ascii="仿宋_GB2312" w:hAnsi="仿宋_GB2312" w:eastAsia="仿宋_GB2312" w:cs="仿宋_GB2312"/>
          <w:b w:val="0"/>
          <w:bCs/>
          <w:sz w:val="32"/>
          <w:szCs w:val="32"/>
          <w:lang w:eastAsia="zh-CN"/>
        </w:rPr>
        <w:t>配合全区的宣传教育工作，认真开展书刊的流通、预览和读书辅导工作；负责图书资料的采集、整理、典藏、复制、推荐新书和咨询工作；负责读者图书出借工作。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2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3"/>
        <w:gridCol w:w="2032"/>
        <w:gridCol w:w="1920"/>
        <w:gridCol w:w="3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73"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单位名称</w:t>
            </w:r>
          </w:p>
        </w:tc>
        <w:tc>
          <w:tcPr>
            <w:tcW w:w="2032"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单位性质</w:t>
            </w:r>
          </w:p>
        </w:tc>
        <w:tc>
          <w:tcPr>
            <w:tcW w:w="1920"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单位规格</w:t>
            </w:r>
          </w:p>
        </w:tc>
        <w:tc>
          <w:tcPr>
            <w:tcW w:w="3615"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7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03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920"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3615"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73" w:type="dxa"/>
            <w:shd w:val="clear" w:color="auto" w:fill="auto"/>
            <w:vAlign w:val="center"/>
          </w:tcPr>
          <w:p>
            <w:pPr>
              <w:widowControl/>
              <w:spacing w:line="570" w:lineRule="exact"/>
              <w:jc w:val="center"/>
              <w:rPr>
                <w:rFonts w:hint="eastAsia" w:ascii="仿宋_GB2312" w:eastAsia="仿宋_GB2312" w:cs="宋体" w:hAnsiTheme="minorHAnsi"/>
                <w:kern w:val="0"/>
                <w:sz w:val="32"/>
                <w:szCs w:val="32"/>
                <w:lang w:val="en-US" w:eastAsia="zh-CN" w:bidi="ar-SA"/>
              </w:rPr>
            </w:pPr>
            <w:r>
              <w:rPr>
                <w:rFonts w:hint="eastAsia" w:ascii="仿宋" w:eastAsia="仿宋" w:cs="仿宋"/>
                <w:kern w:val="0"/>
                <w:sz w:val="32"/>
                <w:szCs w:val="32"/>
                <w:lang w:eastAsia="zh-CN" w:bidi="ar-SA"/>
              </w:rPr>
              <w:t>廊坊市广阳区公共图书馆</w:t>
            </w:r>
          </w:p>
        </w:tc>
        <w:tc>
          <w:tcPr>
            <w:tcW w:w="2032" w:type="dxa"/>
            <w:shd w:val="clear" w:color="auto" w:fill="auto"/>
            <w:vAlign w:val="center"/>
          </w:tcPr>
          <w:p>
            <w:pPr>
              <w:widowControl/>
              <w:spacing w:line="570" w:lineRule="exact"/>
              <w:jc w:val="center"/>
              <w:rPr>
                <w:rFonts w:hint="eastAsia" w:ascii="仿宋_GB2312" w:eastAsia="仿宋_GB2312" w:cs="宋体" w:hAnsiTheme="minorHAnsi"/>
                <w:kern w:val="0"/>
                <w:sz w:val="32"/>
                <w:szCs w:val="32"/>
                <w:highlight w:val="yellow"/>
                <w:lang w:val="en-US" w:eastAsia="zh-CN" w:bidi="ar-SA"/>
              </w:rPr>
            </w:pPr>
            <w:r>
              <w:rPr>
                <w:rFonts w:hint="eastAsia" w:ascii="仿宋" w:eastAsia="仿宋" w:cs="仿宋"/>
                <w:kern w:val="0"/>
                <w:sz w:val="32"/>
                <w:szCs w:val="32"/>
                <w:highlight w:val="none"/>
                <w:shd w:val="clear" w:color="auto" w:fill="auto"/>
                <w:lang w:eastAsia="zh-CN" w:bidi="ar-SA"/>
              </w:rPr>
              <w:t>全额</w:t>
            </w:r>
            <w:r>
              <w:rPr>
                <w:rFonts w:hint="eastAsia" w:ascii="仿宋" w:eastAsia="仿宋" w:cs="仿宋"/>
                <w:kern w:val="0"/>
                <w:sz w:val="32"/>
                <w:szCs w:val="32"/>
                <w:highlight w:val="none"/>
                <w:shd w:val="clear" w:color="auto" w:fill="auto"/>
                <w:lang w:bidi="ar-SA"/>
              </w:rPr>
              <w:t>事业</w:t>
            </w:r>
          </w:p>
        </w:tc>
        <w:tc>
          <w:tcPr>
            <w:tcW w:w="1920" w:type="dxa"/>
            <w:shd w:val="clear" w:color="auto" w:fill="auto"/>
            <w:vAlign w:val="center"/>
          </w:tcPr>
          <w:p>
            <w:pPr>
              <w:widowControl/>
              <w:spacing w:line="570" w:lineRule="exact"/>
              <w:jc w:val="center"/>
              <w:rPr>
                <w:rFonts w:hint="eastAsia" w:ascii="仿宋_GB2312" w:eastAsia="仿宋_GB2312" w:cs="宋体" w:hAnsiTheme="minorHAnsi"/>
                <w:kern w:val="0"/>
                <w:sz w:val="32"/>
                <w:szCs w:val="32"/>
                <w:lang w:val="en-US" w:eastAsia="zh-CN" w:bidi="ar-SA"/>
              </w:rPr>
            </w:pPr>
            <w:r>
              <w:rPr>
                <w:rFonts w:hint="eastAsia" w:ascii="仿宋" w:eastAsia="仿宋" w:cs="仿宋"/>
                <w:kern w:val="0"/>
                <w:sz w:val="32"/>
                <w:szCs w:val="32"/>
                <w:lang w:eastAsia="zh-CN" w:bidi="ar-SA"/>
              </w:rPr>
              <w:t>正股级</w:t>
            </w:r>
          </w:p>
        </w:tc>
        <w:tc>
          <w:tcPr>
            <w:tcW w:w="3615" w:type="dxa"/>
            <w:shd w:val="clear" w:color="auto" w:fill="auto"/>
            <w:vAlign w:val="center"/>
          </w:tcPr>
          <w:p>
            <w:pPr>
              <w:widowControl/>
              <w:spacing w:line="570" w:lineRule="exact"/>
              <w:jc w:val="center"/>
              <w:rPr>
                <w:rFonts w:hint="eastAsia" w:ascii="仿宋_GB2312" w:eastAsia="仿宋" w:cs="宋体" w:hAnsiTheme="minorHAnsi"/>
                <w:kern w:val="0"/>
                <w:sz w:val="32"/>
                <w:szCs w:val="32"/>
                <w:lang w:val="en-US" w:eastAsia="zh-CN" w:bidi="ar-SA"/>
              </w:rPr>
            </w:pPr>
            <w:r>
              <w:rPr>
                <w:rFonts w:hint="eastAsia" w:ascii="仿宋" w:eastAsia="仿宋" w:cs="仿宋"/>
                <w:color w:val="auto"/>
                <w:sz w:val="32"/>
                <w:szCs w:val="32"/>
                <w:lang w:bidi="ar-SA"/>
              </w:rPr>
              <w:t>财政性资金基本保证</w:t>
            </w:r>
            <w:r>
              <w:rPr>
                <w:rFonts w:hint="eastAsia" w:ascii="仿宋" w:eastAsia="仿宋" w:cs="仿宋"/>
                <w:color w:val="auto"/>
                <w:sz w:val="32"/>
                <w:szCs w:val="32"/>
                <w:lang w:eastAsia="zh-CN" w:bidi="ar-SA"/>
              </w:rPr>
              <w:t>（</w:t>
            </w:r>
            <w:r>
              <w:rPr>
                <w:rFonts w:hint="eastAsia" w:ascii="仿宋" w:eastAsia="仿宋" w:cs="仿宋"/>
                <w:color w:val="auto"/>
                <w:sz w:val="32"/>
                <w:szCs w:val="32"/>
                <w:lang w:val="en-US" w:eastAsia="zh-CN" w:bidi="ar-SA"/>
              </w:rPr>
              <w:t>全额事业</w:t>
            </w:r>
            <w:r>
              <w:rPr>
                <w:rFonts w:hint="eastAsia" w:ascii="仿宋" w:eastAsia="仿宋" w:cs="仿宋"/>
                <w:color w:val="auto"/>
                <w:sz w:val="32"/>
                <w:szCs w:val="32"/>
                <w:lang w:eastAsia="zh-CN" w:bidi="ar-SA"/>
              </w:rPr>
              <w:t>）</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公共图书馆</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公共图书馆</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文化广电和旅游局本级</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省级</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2万元、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3万元、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中央</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12万元</w:t>
      </w:r>
      <w:r>
        <w:rPr>
          <w:rFonts w:hint="eastAsia" w:ascii="Times New Roman" w:hAnsi="Times New Roman" w:eastAsia="仿宋_GB2312" w:cs="Times New Roman"/>
          <w:sz w:val="32"/>
          <w:szCs w:val="32"/>
          <w:lang w:eastAsia="zh-CN"/>
        </w:rPr>
        <w:t>、</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免费开放区级资金</w:t>
      </w:r>
      <w:r>
        <w:rPr>
          <w:rFonts w:hint="eastAsia" w:ascii="Times New Roman" w:hAnsi="Times New Roman" w:eastAsia="仿宋_GB2312" w:cs="Times New Roman"/>
          <w:sz w:val="32"/>
          <w:szCs w:val="32"/>
          <w:lang w:val="en-US" w:eastAsia="zh-CN"/>
        </w:rPr>
        <w:t>3万元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eastAsia="zh-CN"/>
        </w:rPr>
        <w:t>持平。</w:t>
      </w:r>
    </w:p>
    <w:p>
      <w:pPr>
        <w:numPr>
          <w:ilvl w:val="0"/>
          <w:numId w:val="1"/>
        </w:numPr>
        <w:autoSpaceDE w:val="0"/>
        <w:autoSpaceDN w:val="0"/>
        <w:adjustRightInd w:val="0"/>
        <w:spacing w:line="584" w:lineRule="exact"/>
        <w:ind w:left="197" w:leftChars="94" w:firstLine="441" w:firstLineChars="138"/>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机关运行经费安排</w:t>
      </w:r>
      <w:r>
        <w:rPr>
          <w:rFonts w:hint="eastAsia" w:ascii="Times New Roman" w:hAnsi="Times New Roman" w:eastAsia="黑体" w:cs="Times New Roman"/>
          <w:sz w:val="32"/>
          <w:szCs w:val="32"/>
          <w:lang w:val="en-US" w:eastAsia="zh-CN"/>
        </w:rPr>
        <w:t>情况</w:t>
      </w:r>
    </w:p>
    <w:p>
      <w:pPr>
        <w:autoSpaceDE w:val="0"/>
        <w:autoSpaceDN w:val="0"/>
        <w:adjustRightInd w:val="0"/>
        <w:spacing w:line="584" w:lineRule="exact"/>
        <w:ind w:firstLine="627" w:firstLineChars="196"/>
        <w:jc w:val="lef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0万元。</w:t>
      </w:r>
    </w:p>
    <w:p>
      <w:pPr>
        <w:numPr>
          <w:ilvl w:val="0"/>
          <w:numId w:val="1"/>
        </w:numPr>
        <w:autoSpaceDE w:val="0"/>
        <w:autoSpaceDN w:val="0"/>
        <w:adjustRightInd w:val="0"/>
        <w:spacing w:line="584" w:lineRule="exact"/>
        <w:ind w:left="197" w:leftChars="94"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w:t>
      </w:r>
      <w:r>
        <w:rPr>
          <w:rFonts w:hint="eastAsia" w:ascii="Times New Roman" w:hAnsi="Times New Roman" w:eastAsia="仿宋_GB2312" w:cs="Times New Roman"/>
          <w:sz w:val="32"/>
          <w:szCs w:val="32"/>
          <w:lang w:eastAsia="zh-CN"/>
        </w:rPr>
        <w:t>护</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w:t>
      </w:r>
      <w:r>
        <w:rPr>
          <w:rFonts w:hint="eastAsia" w:ascii="楷体_GB2312" w:eastAsia="楷体_GB2312" w:cs="Times New Roman"/>
          <w:b/>
          <w:sz w:val="32"/>
          <w:szCs w:val="32"/>
          <w:lang w:eastAsia="zh-CN"/>
        </w:rPr>
        <w:t>图书馆</w:t>
      </w:r>
      <w:r>
        <w:rPr>
          <w:rFonts w:hint="eastAsia" w:ascii="楷体_GB2312" w:eastAsia="楷体_GB2312" w:cs="Times New Roman"/>
          <w:b/>
          <w:sz w:val="32"/>
          <w:szCs w:val="32"/>
        </w:rPr>
        <w:t>总体绩效目标</w:t>
      </w:r>
    </w:p>
    <w:p>
      <w:pPr>
        <w:spacing w:line="5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1、关于全区免费阅读网络覆盖  </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阅读载体，丰富图书馆阵地活动。在疫情防控暂未解除之前，继续采取线上与线下相结合的方式，大力举办丰富多彩的阅读推广活动，尤其在传统节日和纪念日推出各类主题活动，助力全民阅读的深入开展。继续深入推进总分馆建设，在初步建立我区的公共图书馆服务体系的基础上，进一步完善各项总分馆制度建设，重新录入分馆图书资源，实现总分馆之间通借通还。</w:t>
      </w:r>
    </w:p>
    <w:p>
      <w:pPr>
        <w:spacing w:line="5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2、关于资金用途  </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公共文化服务体系建设工作中，资金项目全部用于向社会免费开放，开展各类公共文化服务。近年来，区图书馆进一步增强服务意识，增加免费开放项目，强化基础设施建设，广泛开展了群众喜闻乐见的主题文化活动。举办普及型文化艺术培训，举办公益性讲座，开展宣传活动，民间文化传承活动，小型修缮，业务设备更新，完善设备，方便群众活动。</w:t>
      </w:r>
    </w:p>
    <w:p>
      <w:pPr>
        <w:numPr>
          <w:ilvl w:val="0"/>
          <w:numId w:val="2"/>
        </w:numPr>
        <w:spacing w:line="5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关于免费开放 </w:t>
      </w:r>
    </w:p>
    <w:p>
      <w:pPr>
        <w:numPr>
          <w:ilvl w:val="0"/>
          <w:numId w:val="0"/>
        </w:numPr>
        <w:spacing w:line="5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全年免费开放时间每周48小时，与泓谦举办少儿国学讲堂40场完成率。发挥爱国主义教育基地作用，组织青少年参加爱国主义主题活动。与楹联协会开展诗词书法交流会每月2次。</w:t>
      </w:r>
      <w:r>
        <w:rPr>
          <w:rFonts w:hint="eastAsia" w:ascii="仿宋_GB2312" w:hAnsi="仿宋_GB2312" w:eastAsia="仿宋_GB2312" w:cs="仿宋_GB2312"/>
          <w:sz w:val="32"/>
          <w:szCs w:val="32"/>
        </w:rPr>
        <w:t>开展流动图书车下乡和进社区活动，将图书馆工作延伸到最基层，全年流动服务不少于30次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95%以上面积用于图书馆免费开放馆舍。</w:t>
      </w:r>
    </w:p>
    <w:p>
      <w:pPr>
        <w:numPr>
          <w:ilvl w:val="0"/>
          <w:numId w:val="0"/>
        </w:numPr>
        <w:spacing w:line="500" w:lineRule="exact"/>
        <w:jc w:val="left"/>
        <w:rPr>
          <w:rFonts w:hint="default" w:ascii="Times New Roman" w:eastAsia="方正仿宋_GBK"/>
          <w:sz w:val="28"/>
          <w:lang w:val="en-US" w:eastAsia="zh-CN"/>
        </w:rPr>
      </w:pPr>
    </w:p>
    <w:p>
      <w:pPr>
        <w:numPr>
          <w:ilvl w:val="0"/>
          <w:numId w:val="0"/>
        </w:numPr>
        <w:spacing w:line="500" w:lineRule="exact"/>
        <w:jc w:val="left"/>
        <w:rPr>
          <w:rFonts w:hint="default" w:ascii="Times New Roman" w:eastAsia="方正仿宋_GBK"/>
          <w:sz w:val="28"/>
          <w:lang w:val="en-US" w:eastAsia="zh-CN"/>
        </w:rPr>
      </w:pPr>
    </w:p>
    <w:p>
      <w:pPr>
        <w:numPr>
          <w:ilvl w:val="0"/>
          <w:numId w:val="0"/>
        </w:numPr>
        <w:spacing w:line="500" w:lineRule="exact"/>
        <w:jc w:val="left"/>
        <w:rPr>
          <w:rFonts w:hint="default" w:ascii="Times New Roman" w:eastAsia="方正仿宋_GBK"/>
          <w:sz w:val="28"/>
          <w:lang w:val="en-US" w:eastAsia="zh-CN"/>
        </w:rPr>
      </w:pPr>
    </w:p>
    <w:p>
      <w:pPr>
        <w:numPr>
          <w:ilvl w:val="0"/>
          <w:numId w:val="0"/>
        </w:numPr>
        <w:spacing w:line="500" w:lineRule="exact"/>
        <w:jc w:val="left"/>
        <w:rPr>
          <w:rFonts w:hint="default" w:ascii="Times New Roman" w:eastAsia="方正仿宋_GBK"/>
          <w:sz w:val="28"/>
          <w:lang w:val="en-US" w:eastAsia="zh-CN"/>
        </w:rPr>
      </w:pPr>
    </w:p>
    <w:p>
      <w:pPr>
        <w:numPr>
          <w:ilvl w:val="0"/>
          <w:numId w:val="0"/>
        </w:numPr>
        <w:spacing w:line="500" w:lineRule="exact"/>
        <w:jc w:val="left"/>
        <w:rPr>
          <w:rFonts w:hint="default" w:ascii="Times New Roman" w:eastAsia="方正仿宋_GBK"/>
          <w:sz w:val="28"/>
          <w:lang w:val="en-US" w:eastAsia="zh-CN"/>
        </w:rPr>
      </w:pPr>
    </w:p>
    <w:p>
      <w:pPr>
        <w:numPr>
          <w:ilvl w:val="0"/>
          <w:numId w:val="0"/>
        </w:numPr>
        <w:spacing w:line="500" w:lineRule="exact"/>
        <w:jc w:val="left"/>
        <w:rPr>
          <w:rFonts w:hint="default" w:ascii="Times New Roman" w:eastAsia="方正仿宋_GBK"/>
          <w:sz w:val="28"/>
          <w:lang w:val="en-US" w:eastAsia="zh-CN"/>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17"/>
        <w:gridCol w:w="1032"/>
        <w:gridCol w:w="3108"/>
        <w:gridCol w:w="1524"/>
        <w:gridCol w:w="3309"/>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1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03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310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52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30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17" w:type="dxa"/>
            <w:vMerge w:val="continue"/>
            <w:tcBorders>
              <w:tl2br w:val="nil"/>
              <w:tr2bl w:val="nil"/>
            </w:tcBorders>
            <w:vAlign w:val="center"/>
          </w:tcPr>
          <w:p/>
        </w:tc>
        <w:tc>
          <w:tcPr>
            <w:tcW w:w="1032" w:type="dxa"/>
            <w:vMerge w:val="continue"/>
            <w:tcBorders>
              <w:tl2br w:val="nil"/>
              <w:tr2bl w:val="nil"/>
            </w:tcBorders>
            <w:vAlign w:val="center"/>
          </w:tcPr>
          <w:p/>
        </w:tc>
        <w:tc>
          <w:tcPr>
            <w:tcW w:w="3108" w:type="dxa"/>
            <w:vMerge w:val="continue"/>
            <w:tcBorders>
              <w:tl2br w:val="nil"/>
              <w:tr2bl w:val="nil"/>
            </w:tcBorders>
            <w:vAlign w:val="center"/>
          </w:tcPr>
          <w:p/>
        </w:tc>
        <w:tc>
          <w:tcPr>
            <w:tcW w:w="1524" w:type="dxa"/>
            <w:vMerge w:val="continue"/>
            <w:tcBorders>
              <w:tl2br w:val="nil"/>
              <w:tr2bl w:val="nil"/>
            </w:tcBorders>
            <w:vAlign w:val="center"/>
          </w:tcPr>
          <w:p/>
        </w:tc>
        <w:tc>
          <w:tcPr>
            <w:tcW w:w="3309"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1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03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3108"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免费开放时间</w:t>
            </w:r>
          </w:p>
        </w:tc>
        <w:tc>
          <w:tcPr>
            <w:tcW w:w="1524"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20</w:t>
            </w:r>
          </w:p>
        </w:tc>
        <w:tc>
          <w:tcPr>
            <w:tcW w:w="3309"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eastAsia="zh-CN"/>
              </w:rPr>
              <w:t>每周免费</w:t>
            </w:r>
            <w:r>
              <w:rPr>
                <w:rFonts w:hint="eastAsia" w:ascii="方正书宋_GBK" w:eastAsia="方正书宋_GBK"/>
                <w:lang w:val="en-US" w:eastAsia="zh-CN"/>
              </w:rPr>
              <w:t>48小时</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&gt;=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百分比</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17" w:type="dxa"/>
            <w:vMerge w:val="continue"/>
            <w:tcBorders>
              <w:tl2br w:val="nil"/>
              <w:tr2bl w:val="nil"/>
            </w:tcBorders>
            <w:vAlign w:val="center"/>
          </w:tcPr>
          <w:p/>
        </w:tc>
        <w:tc>
          <w:tcPr>
            <w:tcW w:w="103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310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图书馆</w:t>
            </w:r>
            <w:r>
              <w:rPr>
                <w:rFonts w:hint="eastAsia" w:ascii="方正书宋_GBK" w:eastAsia="方正书宋_GBK"/>
              </w:rPr>
              <w:t>免费开放</w:t>
            </w:r>
            <w:r>
              <w:rPr>
                <w:rFonts w:hint="eastAsia" w:ascii="方正书宋_GBK" w:eastAsia="方正书宋_GBK"/>
                <w:lang w:eastAsia="zh-CN"/>
              </w:rPr>
              <w:t>馆舍</w:t>
            </w:r>
            <w:r>
              <w:rPr>
                <w:rFonts w:hint="eastAsia" w:ascii="方正书宋_GBK" w:eastAsia="方正书宋_GBK"/>
              </w:rPr>
              <w:t>率</w:t>
            </w:r>
          </w:p>
        </w:tc>
        <w:tc>
          <w:tcPr>
            <w:tcW w:w="1524"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20</w:t>
            </w:r>
          </w:p>
        </w:tc>
        <w:tc>
          <w:tcPr>
            <w:tcW w:w="330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实施公共图书馆</w:t>
            </w:r>
            <w:r>
              <w:rPr>
                <w:rFonts w:hint="eastAsia" w:ascii="方正书宋_GBK" w:eastAsia="方正书宋_GBK"/>
                <w:lang w:eastAsia="zh-CN"/>
              </w:rPr>
              <w:t>免费开放馆舍</w:t>
            </w:r>
            <w:r>
              <w:rPr>
                <w:rFonts w:hint="eastAsia" w:ascii="方正书宋_GBK" w:eastAsia="方正书宋_GBK"/>
              </w:rPr>
              <w:t>占</w:t>
            </w:r>
            <w:r>
              <w:rPr>
                <w:rFonts w:hint="eastAsia" w:ascii="方正书宋_GBK" w:eastAsia="方正书宋_GBK"/>
                <w:lang w:eastAsia="zh-CN"/>
              </w:rPr>
              <w:t>图书馆</w:t>
            </w:r>
            <w:r>
              <w:rPr>
                <w:rFonts w:hint="eastAsia" w:ascii="方正书宋_GBK" w:eastAsia="方正书宋_GBK"/>
              </w:rPr>
              <w:t>馆总量的比例</w:t>
            </w:r>
          </w:p>
        </w:tc>
        <w:tc>
          <w:tcPr>
            <w:tcW w:w="54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&gt;=</w:t>
            </w:r>
          </w:p>
        </w:tc>
        <w:tc>
          <w:tcPr>
            <w:tcW w:w="488"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百分比</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17" w:type="dxa"/>
            <w:vMerge w:val="continue"/>
            <w:tcBorders>
              <w:tl2br w:val="nil"/>
              <w:tr2bl w:val="nil"/>
            </w:tcBorders>
            <w:vAlign w:val="center"/>
          </w:tcPr>
          <w:p/>
        </w:tc>
        <w:tc>
          <w:tcPr>
            <w:tcW w:w="103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310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文化设施达标率</w:t>
            </w:r>
          </w:p>
        </w:tc>
        <w:tc>
          <w:tcPr>
            <w:tcW w:w="1524"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w:t>
            </w:r>
          </w:p>
        </w:tc>
        <w:tc>
          <w:tcPr>
            <w:tcW w:w="330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区内实际文化设施达标数量占文化设施总数的比率</w:t>
            </w:r>
          </w:p>
        </w:tc>
        <w:tc>
          <w:tcPr>
            <w:tcW w:w="54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&gt;=</w:t>
            </w:r>
          </w:p>
        </w:tc>
        <w:tc>
          <w:tcPr>
            <w:tcW w:w="488"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百分比</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17" w:type="dxa"/>
            <w:vMerge w:val="continue"/>
            <w:tcBorders>
              <w:tl2br w:val="nil"/>
              <w:tr2bl w:val="nil"/>
            </w:tcBorders>
            <w:vAlign w:val="center"/>
          </w:tcPr>
          <w:p/>
        </w:tc>
        <w:tc>
          <w:tcPr>
            <w:tcW w:w="1032"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时效</w:t>
            </w:r>
          </w:p>
        </w:tc>
        <w:tc>
          <w:tcPr>
            <w:tcW w:w="310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完成率</w:t>
            </w:r>
          </w:p>
        </w:tc>
        <w:tc>
          <w:tcPr>
            <w:tcW w:w="1524"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w:t>
            </w:r>
          </w:p>
        </w:tc>
        <w:tc>
          <w:tcPr>
            <w:tcW w:w="330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 xml:space="preserve">年度内实际开展的文化服务活动次数占计划总数的比率 </w:t>
            </w:r>
          </w:p>
        </w:tc>
        <w:tc>
          <w:tcPr>
            <w:tcW w:w="54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&gt;=</w:t>
            </w:r>
          </w:p>
        </w:tc>
        <w:tc>
          <w:tcPr>
            <w:tcW w:w="488"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百分比</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1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03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310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免费开放服务水平稳步提升</w:t>
            </w:r>
          </w:p>
        </w:tc>
        <w:tc>
          <w:tcPr>
            <w:tcW w:w="1524"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20</w:t>
            </w:r>
          </w:p>
        </w:tc>
        <w:tc>
          <w:tcPr>
            <w:tcW w:w="330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当年较前一年的文化服务水平</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逐步增长</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17" w:type="dxa"/>
            <w:vMerge w:val="continue"/>
            <w:tcBorders>
              <w:tl2br w:val="nil"/>
              <w:tr2bl w:val="nil"/>
            </w:tcBorders>
            <w:vAlign w:val="center"/>
          </w:tcPr>
          <w:p/>
        </w:tc>
        <w:tc>
          <w:tcPr>
            <w:tcW w:w="103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3108" w:type="dxa"/>
            <w:tcBorders>
              <w:tl2br w:val="nil"/>
              <w:tr2bl w:val="nil"/>
            </w:tcBorders>
            <w:vAlign w:val="center"/>
          </w:tcPr>
          <w:p>
            <w:pPr>
              <w:widowControl/>
              <w:adjustRightInd w:val="0"/>
              <w:snapToGrid w:val="0"/>
              <w:rPr>
                <w:rFonts w:ascii="方正书宋_GBK" w:eastAsia="方正书宋_GBK"/>
              </w:rPr>
            </w:pPr>
          </w:p>
        </w:tc>
        <w:tc>
          <w:tcPr>
            <w:tcW w:w="1524" w:type="dxa"/>
            <w:tcBorders>
              <w:tl2br w:val="nil"/>
              <w:tr2bl w:val="nil"/>
            </w:tcBorders>
            <w:vAlign w:val="center"/>
          </w:tcPr>
          <w:p>
            <w:pPr>
              <w:widowControl/>
              <w:adjustRightInd w:val="0"/>
              <w:snapToGrid w:val="0"/>
              <w:jc w:val="center"/>
              <w:rPr>
                <w:rFonts w:ascii="方正书宋_GBK" w:eastAsia="方正书宋_GBK"/>
              </w:rPr>
            </w:pPr>
          </w:p>
        </w:tc>
        <w:tc>
          <w:tcPr>
            <w:tcW w:w="3309"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17" w:type="dxa"/>
            <w:vMerge w:val="continue"/>
            <w:tcBorders>
              <w:tl2br w:val="nil"/>
              <w:tr2bl w:val="nil"/>
            </w:tcBorders>
            <w:vAlign w:val="center"/>
          </w:tcPr>
          <w:p/>
        </w:tc>
        <w:tc>
          <w:tcPr>
            <w:tcW w:w="103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3108" w:type="dxa"/>
            <w:tcBorders>
              <w:tl2br w:val="nil"/>
              <w:tr2bl w:val="nil"/>
            </w:tcBorders>
            <w:vAlign w:val="center"/>
          </w:tcPr>
          <w:p>
            <w:pPr>
              <w:widowControl/>
              <w:adjustRightInd w:val="0"/>
              <w:snapToGrid w:val="0"/>
              <w:rPr>
                <w:rFonts w:ascii="方正书宋_GBK" w:eastAsia="方正书宋_GBK"/>
              </w:rPr>
            </w:pPr>
          </w:p>
        </w:tc>
        <w:tc>
          <w:tcPr>
            <w:tcW w:w="1524" w:type="dxa"/>
            <w:tcBorders>
              <w:tl2br w:val="nil"/>
              <w:tr2bl w:val="nil"/>
            </w:tcBorders>
            <w:vAlign w:val="center"/>
          </w:tcPr>
          <w:p>
            <w:pPr>
              <w:widowControl/>
              <w:adjustRightInd w:val="0"/>
              <w:snapToGrid w:val="0"/>
              <w:jc w:val="center"/>
              <w:rPr>
                <w:rFonts w:ascii="方正书宋_GBK" w:eastAsia="方正书宋_GBK"/>
              </w:rPr>
            </w:pPr>
          </w:p>
        </w:tc>
        <w:tc>
          <w:tcPr>
            <w:tcW w:w="3309"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317" w:type="dxa"/>
            <w:vMerge w:val="continue"/>
            <w:tcBorders>
              <w:tl2br w:val="nil"/>
              <w:tr2bl w:val="nil"/>
            </w:tcBorders>
            <w:vAlign w:val="center"/>
          </w:tcPr>
          <w:p/>
        </w:tc>
        <w:tc>
          <w:tcPr>
            <w:tcW w:w="103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3108"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长期使用性</w:t>
            </w:r>
          </w:p>
        </w:tc>
        <w:tc>
          <w:tcPr>
            <w:tcW w:w="1524" w:type="dxa"/>
            <w:tcBorders>
              <w:tl2br w:val="nil"/>
              <w:tr2bl w:val="nil"/>
            </w:tcBorders>
            <w:noWrap/>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w:t>
            </w:r>
          </w:p>
        </w:tc>
        <w:tc>
          <w:tcPr>
            <w:tcW w:w="3309"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基本公共文化服务水平提升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长期</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17" w:type="dxa"/>
            <w:vMerge w:val="continue"/>
            <w:tcBorders>
              <w:tl2br w:val="nil"/>
              <w:tr2bl w:val="nil"/>
            </w:tcBorders>
            <w:vAlign w:val="center"/>
          </w:tcPr>
          <w:p/>
        </w:tc>
        <w:tc>
          <w:tcPr>
            <w:tcW w:w="103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3108"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受益群众满意度</w:t>
            </w:r>
          </w:p>
        </w:tc>
        <w:tc>
          <w:tcPr>
            <w:tcW w:w="1524" w:type="dxa"/>
            <w:tcBorders>
              <w:tl2br w:val="nil"/>
              <w:tr2bl w:val="nil"/>
            </w:tcBorders>
            <w:noWrap/>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w:t>
            </w:r>
          </w:p>
        </w:tc>
        <w:tc>
          <w:tcPr>
            <w:tcW w:w="3309"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参加活动满意人数占所有参与活动总人数的比率</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&gt;=</w:t>
            </w:r>
          </w:p>
        </w:tc>
        <w:tc>
          <w:tcPr>
            <w:tcW w:w="488"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百分比</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2" w:firstLineChars="200"/>
        <w:jc w:val="left"/>
        <w:outlineLvl w:val="3"/>
        <w:rPr>
          <w:rFonts w:ascii="Times New Roman" w:hAnsi="宋体"/>
          <w:b/>
          <w:sz w:val="28"/>
        </w:rPr>
      </w:pPr>
      <w:bookmarkStart w:id="0" w:name="_Toc67181552"/>
      <w:r>
        <w:rPr>
          <w:rFonts w:hint="eastAsia" w:ascii="方正仿宋_GBK" w:eastAsia="方正仿宋_GBK"/>
          <w:b/>
          <w:sz w:val="28"/>
          <w:lang w:val="en-US" w:eastAsia="zh-CN"/>
        </w:rPr>
        <w:t>1</w:t>
      </w:r>
      <w:r>
        <w:rPr>
          <w:rFonts w:hint="eastAsia" w:ascii="方正仿宋_GBK" w:eastAsia="方正仿宋_GBK"/>
          <w:b/>
          <w:sz w:val="28"/>
        </w:rPr>
        <w:t>.2021年“三馆一站”免费开放省级资金绩效目标表</w:t>
      </w:r>
      <w:bookmarkEnd w:id="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14、2021年\“三馆一站\”免费开放省级资金绩效目标表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图书馆公共设施达标，机构和队伍健全，实现公共文化资源共享。形成城乡一体公共图书馆总分馆服务网络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公益阅读服务能力提高，基本公共文化服务标准化，均等化水平不断提高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推动公共文化服务体系向纵深发展，彰显公益性、基本性、均等性、便利性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业务活动按年度计划完成及时率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实际文化设施达标数量占文化设施总数的比率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省级财政投入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省级财政投入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受训学员满意度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群众对基本公共文化服务满意度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 w:name="_Toc67181553"/>
      <w:r>
        <w:rPr>
          <w:rFonts w:hint="eastAsia" w:ascii="方正仿宋_GBK" w:eastAsia="方正仿宋_GBK"/>
          <w:b/>
          <w:sz w:val="28"/>
          <w:lang w:val="en-US" w:eastAsia="zh-CN"/>
        </w:rPr>
        <w:t>2</w:t>
      </w:r>
      <w:r>
        <w:rPr>
          <w:rFonts w:hint="eastAsia" w:ascii="方正仿宋_GBK" w:eastAsia="方正仿宋_GBK"/>
          <w:b/>
          <w:sz w:val="28"/>
        </w:rPr>
        <w:t>.“三馆一站”免费开放区级资金绩效目标表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15、\“三馆一站\”免费开放区级资金绩效目标表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图书馆公共文化设施达标，机构和队伍健全，实现公共文化资源共享，形成城乡一体公共图书馆总分馆服务网络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公益阅读服务能力提高，基本公共文化服务标准化，均等化水平不断提高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推动公共文化服务体系向纵深发展，彰显公益性、基本性、均等性、便利性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业务活动按年度计划完成率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实际文化设施达标数量站文化设施总数的比率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基本公共文化服务水平稳步提升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稳步提升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w:t>
            </w:r>
            <w:r>
              <w:rPr>
                <w:rFonts w:hint="eastAsia" w:ascii="方正书宋_GBK" w:eastAsia="方正书宋_GBK"/>
              </w:rPr>
              <w:t>】</w:t>
            </w:r>
            <w:r>
              <w:rPr>
                <w:rFonts w:ascii="方正书宋_GBK" w:eastAsia="方正书宋_GBK"/>
              </w:rPr>
              <w:t>98</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7181554"/>
      <w:r>
        <w:rPr>
          <w:rFonts w:hint="eastAsia" w:ascii="方正仿宋_GBK" w:eastAsia="方正仿宋_GBK"/>
          <w:b/>
          <w:sz w:val="28"/>
          <w:lang w:val="en-US" w:eastAsia="zh-CN"/>
        </w:rPr>
        <w:t>3</w:t>
      </w:r>
      <w:r>
        <w:rPr>
          <w:rFonts w:hint="eastAsia" w:ascii="方正仿宋_GBK" w:eastAsia="方正仿宋_GBK"/>
          <w:b/>
          <w:sz w:val="28"/>
        </w:rPr>
        <w:t>.2021年“三馆一站”免费开放市级资金绩效目标表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16、2021年\“三馆一站\”免费开放市级资金绩效目标表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图书馆公共设施达标，机构和队伍健全，实现公共文化资源共享。形成城乡一体公共图书馆总分馆服务网络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公益阅读服务能力提高，基本公共文化服务标准化，均等化水平不断提高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推动公共文化服务体系向纵深发展，彰显公益性、基本性、均等性、便利性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业务活动按年度计划完成及时率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实际文化设施达标数量占文化设施总数的比率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市级财政投入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市级财政投入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受训学员满意度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群众对基本公共文化服务满意度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7181555"/>
      <w:r>
        <w:rPr>
          <w:rFonts w:hint="eastAsia" w:ascii="方正仿宋_GBK" w:eastAsia="方正仿宋_GBK"/>
          <w:b/>
          <w:sz w:val="28"/>
          <w:lang w:val="en-US" w:eastAsia="zh-CN"/>
        </w:rPr>
        <w:t>4</w:t>
      </w:r>
      <w:r>
        <w:rPr>
          <w:rFonts w:hint="eastAsia" w:ascii="方正仿宋_GBK" w:eastAsia="方正仿宋_GBK"/>
          <w:b/>
          <w:sz w:val="28"/>
        </w:rPr>
        <w:t>.2021年“三馆一站”免费开放中央资金绩效目标表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17、2021年\“三馆一站\”免费开放中央资金绩效目标表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图书馆公共设施达标，机构和队伍健全，实现公共文化资源共享。形成城乡一体公共图书馆总分馆服务网络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公益阅读服务能力提高，基本公共文化服务标准化，均等化水平不断提高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推动公共文化服务体系向纵深发展，彰显公益性、基本性、均等性、便利性</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业务活动按年度计划完成及时率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实际文化设施达标数量占文化设施总数的比率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讲座培训业务按年度计划完成及时率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财政投入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财政投入</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12</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受训学员满意度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群众对基本公共文化服务满意度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群众对基本公共文化服务满意度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4"/>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5" w:name="_Toc64920910"/>
      <w:r>
        <w:rPr>
          <w:rFonts w:hint="eastAsia" w:ascii="方正小标宋_GBK" w:eastAsia="方正小标宋_GBK" w:cs="Times New Roman"/>
          <w:sz w:val="32"/>
        </w:rPr>
        <w:t>部门政府采购预算</w:t>
      </w:r>
      <w:bookmarkEnd w:id="5"/>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Times New Roman" w:hAnsi="Times New Roman" w:eastAsia="仿宋_GB2312" w:cs="Times New Roman"/>
                <w:sz w:val="24"/>
                <w:lang w:val="en-US" w:eastAsia="zh-CN"/>
              </w:rPr>
              <w:t>[506004]</w:t>
            </w:r>
            <w:r>
              <w:rPr>
                <w:rFonts w:hint="eastAsia" w:ascii="方正书宋_GBK" w:eastAsia="方正书宋_GBK" w:cs="Times New Roman"/>
                <w:sz w:val="24"/>
              </w:rPr>
              <w:t>廊坊市广阳区</w:t>
            </w:r>
            <w:r>
              <w:rPr>
                <w:rFonts w:hint="eastAsia" w:ascii="方正书宋_GBK" w:eastAsia="方正书宋_GBK" w:cs="Times New Roman"/>
                <w:sz w:val="24"/>
                <w:lang w:eastAsia="zh-CN"/>
              </w:rPr>
              <w:t>公共图书馆</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公共图书馆</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79.36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kern w:val="0"/>
                <w:sz w:val="32"/>
                <w:szCs w:val="32"/>
                <w:lang w:val="en-US" w:eastAsia="zh-CN"/>
              </w:rPr>
              <w:t>公共图书馆</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广阳区公共图书馆</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eastAsia" w:ascii="Times New Roman" w:hAnsi="Times New Roman" w:eastAsia="仿宋_GB2312" w:cs="Times New Roman"/>
                <w:sz w:val="22"/>
                <w:lang w:val="en-US" w:eastAsia="zh-CN"/>
              </w:rPr>
              <w:t>79.36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36514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79.36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06188"/>
    <w:multiLevelType w:val="singleLevel"/>
    <w:tmpl w:val="2DB06188"/>
    <w:lvl w:ilvl="0" w:tentative="0">
      <w:start w:val="3"/>
      <w:numFmt w:val="decimal"/>
      <w:suff w:val="nothing"/>
      <w:lvlText w:val="%1、"/>
      <w:lvlJc w:val="left"/>
    </w:lvl>
  </w:abstractNum>
  <w:abstractNum w:abstractNumId="1">
    <w:nsid w:val="36BA1DF2"/>
    <w:multiLevelType w:val="singleLevel"/>
    <w:tmpl w:val="36BA1DF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A54AA"/>
    <w:rsid w:val="00807A76"/>
    <w:rsid w:val="008F0EB4"/>
    <w:rsid w:val="00A218C6"/>
    <w:rsid w:val="00B17B32"/>
    <w:rsid w:val="00B80935"/>
    <w:rsid w:val="00D347CC"/>
    <w:rsid w:val="00E27CE3"/>
    <w:rsid w:val="03D8036D"/>
    <w:rsid w:val="093020C1"/>
    <w:rsid w:val="133A654A"/>
    <w:rsid w:val="1955702D"/>
    <w:rsid w:val="2B972092"/>
    <w:rsid w:val="2FA905B2"/>
    <w:rsid w:val="312440A5"/>
    <w:rsid w:val="32603BAC"/>
    <w:rsid w:val="43726A65"/>
    <w:rsid w:val="4589504E"/>
    <w:rsid w:val="4E030E2C"/>
    <w:rsid w:val="58296003"/>
    <w:rsid w:val="59FD722F"/>
    <w:rsid w:val="5DBE4CBC"/>
    <w:rsid w:val="5E21428A"/>
    <w:rsid w:val="5EA77F44"/>
    <w:rsid w:val="700A114F"/>
    <w:rsid w:val="722F1FD2"/>
    <w:rsid w:val="74946C26"/>
    <w:rsid w:val="7AB719E3"/>
    <w:rsid w:val="7DB94EDB"/>
    <w:rsid w:val="7E9A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491</Words>
  <Characters>2803</Characters>
  <Lines>23</Lines>
  <Paragraphs>6</Paragraphs>
  <TotalTime>3</TotalTime>
  <ScaleCrop>false</ScaleCrop>
  <LinksUpToDate>false</LinksUpToDate>
  <CharactersWithSpaces>3288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2022-07-08T07:51:27Z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B2D4784A59D7447383DE5DC09F8DFE10</vt:lpwstr>
  </property>
</Properties>
</file>