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供销合作社联合社</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广阳区供销合作社联合社</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1120" w:firstLineChars="3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是贯彻区委、区政府有关农村工作和社会发展的方针、政策；</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廊坊市广阳区供销合作社联合社</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广阳区供销合作社联合社</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758.93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758.93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758.93</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广阳区供销合作社联合社2021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758.93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727.13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681.39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45.74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31.8</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农村产权交易服务资金</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758.93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减少68.01</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59.81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农村产权交易服务资金</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45.74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区社</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总体目标：按照省、市总体部署，紧紧围绕全区“三农”工作大局，以推进农业供给侧结构性改革为引领，以优化和创新供销服务供给为重点，整合社会资源，扩大开放办社，努力走新路、上品质、求赶超，努力实现增比进位，开创在全省系统看得见、拿得出、排得上、叫得响的广阳区发展模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1：供销流通管理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2：服务三农事务管理                          </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紧紧围绕“三农”工作大局，以密切与农民利益联结为核心，以提升为农服务能力为根本，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适应新型城镇化和新农村建设要求，加快建设农村综合服务社和城乡社区服务中心（站），为城乡居民提供日用消费品、文体娱乐、养老幼教、就业培训等多样化服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3：供销合作政务管理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以供销社综合改革为契机，盘活现有资产、推进社属企业改革，维护区直和谐稳定局面。</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4：农村产权交易管理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借助供销社现有组织体系，经营网点，资产设施，农村金融业务等为农服务资源，逐步发展成为集信息发布汇总，产权交易、法律咨询、资产平复、抵押融资等为一体的区级为农服务平台</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（一）加快专业社建设步伐</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继续加大力度宣传农民专业合作社，计划举办专业合作社知识和农技知识培训讲座4次，培训400人次；力争新发展农民专业合作社1-2家，实现新增社员100户；提升改造现有专业社1-2家，使之成为当地规模较大、管理规范、带动明显、示范作用突出的专业合作社，以点带面，促进全区专业合作社向正规化、市场化发展。</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（二）加快农村产权交易中心建设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广阳区农村产权交易中心组件方案》要求，严格贯彻执行《河北省农村产权交易中心11类农村产权交易规则》、《廊坊市广阳区农村产权交易管理暂行办法》等政策规定；积极探索乡镇设立农村产权交易服务站点路径，重点组织宣传农村产权交易中心的职责和业务范围，借助乡镇服务站点工作条件，共享网络信息资源，及时推送所辖村农村产权交易业务信息，使产权交易业务更加便捷顺畅，进一步缩短乡村交易业务距离，逐步将我区农村产权交易工作常态化、制度化、规范化；计划开展业务知识培训1次，主要讲清农村产权交易中心工作的重要性和具体需要进行交易的内容以及在处置农村集体“三资”管理过程中需要把握的政策界限，针对农村干部，重点培训引导进行交易，交易过程中需要提交的材料和配合性业务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（三）打通“三位一体”利益连接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供销社与农民合作社“两社融合”是推进生产、供销、信用“三位一体”综合合作的重要环节。我们将充分发挥流通对生产的导向作用，积极推进农社联结、农超对接、产销衔接，通过共同出资、共创品牌、共享利益，促进供销社与农民合作社“两社融合”有序发展。同时，加大开放办社力度，推进供销社与农民合作社深度融合，加快“两社融合”发展，促进服务优势叠加、产业交叉渗透、功能互补延伸。到2020年，力争全区所有涉农乡镇基层社实现“两社融合”全覆盖。</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（四）立足企业发展，推动重点项目建设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加大工作力度，经营好市区再生资源回收市场。及时制定经营规划，全面做好废旧物资的深加工、再利用等业务工作，确保该项目成为一项惠民、利民、便民的市政工程、民心工程。</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工资发放人数</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发放人数</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工资发放人数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38</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年度计划文件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交易事务办结率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办结率</w:t>
            </w:r>
          </w:p>
        </w:tc>
        <w:tc>
          <w:tcPr>
            <w:tcW w:w="1483" w:type="dxa"/>
            <w:tcBorders>
              <w:tl2br w:val="nil"/>
              <w:tr2bl w:val="nil"/>
            </w:tcBorders>
            <w:vAlign w:val="center"/>
          </w:tcPr>
          <w:p>
            <w:pPr>
              <w:widowControl/>
              <w:adjustRightInd w:val="0"/>
              <w:snapToGrid w:val="0"/>
              <w:rPr>
                <w:rFonts w:ascii="方正书宋_GBK" w:eastAsia="方正书宋_GBK"/>
                <w:sz w:val="15"/>
                <w:szCs w:val="15"/>
              </w:rPr>
            </w:pPr>
            <w:r>
              <w:rPr>
                <w:rFonts w:hint="eastAsia" w:ascii="方正书宋_GBK" w:eastAsia="方正书宋_GBK"/>
                <w:sz w:val="15"/>
                <w:szCs w:val="15"/>
              </w:rPr>
              <w:t>办理农村产权交易事务的完成书与办理农村产权交易事务总数的百分比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廊坊市农村产权交易管理暂行办法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支付及时率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是否及时发放</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工资发放的及时率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年度计划文件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保证工作正常运转</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工作运转是否正常</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保证工作正常运转</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正常</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年度计划文件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服务对象满意度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是否满意</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职工工资发放满意度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年度计划文件</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购买农村产权交易服务资金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落实并完善“应进必进”原则，实现站点覆盖率达100%，完成5宗以上集体资产流转交易鉴证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站点服务</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站点业务咨询和办理工作人数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廊广政办[2017]4号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宣传培训</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当年服务站点培训次数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1次</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服务站点与任务数的百分比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spacing w:val="-20"/>
              </w:rPr>
            </w:pPr>
            <w:r>
              <w:rPr>
                <w:rFonts w:hint="eastAsia" w:ascii="Times New Roman" w:hAnsi="Times New Roman" w:eastAsia="仿宋_GB2312" w:cs="Times New Roman"/>
                <w:spacing w:val="-20"/>
              </w:rPr>
              <w:t>廊广改革办[2020]1号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宣传次数与参与人数的百分比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及时拨付资金</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购买服务资金及时拨付给企业</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往来票据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人员服务费</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标准不高于当地劳务派遣水平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≤2500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交易事务办结率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办理农村产权交易事务的完结数与办理农村产权交易的总数的百分比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交易鉴证书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受益众满意情况</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个人与集体对农村产权交易服务的满意度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调查表</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31.8</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b/>
                <w:sz w:val="18"/>
                <w:szCs w:val="18"/>
              </w:rPr>
            </w:pPr>
            <w:r>
              <w:rPr>
                <w:rFonts w:hint="eastAsia" w:ascii="方正书宋_GBK" w:eastAsia="方正书宋_GBK" w:cs="Times New Roman"/>
                <w:sz w:val="24"/>
              </w:rPr>
              <w:t>639</w:t>
            </w:r>
            <w:r>
              <w:rPr>
                <w:rFonts w:ascii="方正书宋_GBK" w:eastAsia="方正书宋_GBK" w:cs="Times New Roman"/>
                <w:sz w:val="24"/>
              </w:rPr>
              <w:t>廊坊市</w:t>
            </w:r>
            <w:r>
              <w:rPr>
                <w:rFonts w:hint="eastAsia" w:ascii="方正书宋_GBK" w:eastAsia="方正书宋_GBK" w:cs="Times New Roman"/>
                <w:sz w:val="24"/>
              </w:rPr>
              <w:t>广阳区供销合作社联合社</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购买农村产权交易服务资金</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31.8</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购买服务</w:t>
            </w: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31.8</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31.8</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31.8</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广阳区供销合作社联合社</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广阳区供销社部门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广阳区供销合作社联合社</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打印机、传真机、办公家具</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0848"/>
    <w:rsid w:val="000241A2"/>
    <w:rsid w:val="00082CE8"/>
    <w:rsid w:val="001401E0"/>
    <w:rsid w:val="001B2150"/>
    <w:rsid w:val="001B5894"/>
    <w:rsid w:val="00287471"/>
    <w:rsid w:val="00301F9F"/>
    <w:rsid w:val="00356683"/>
    <w:rsid w:val="003850C5"/>
    <w:rsid w:val="00385DE3"/>
    <w:rsid w:val="003B5A40"/>
    <w:rsid w:val="004A54AA"/>
    <w:rsid w:val="004D7A4A"/>
    <w:rsid w:val="005173EF"/>
    <w:rsid w:val="00531F89"/>
    <w:rsid w:val="006617E6"/>
    <w:rsid w:val="00751C6D"/>
    <w:rsid w:val="00786977"/>
    <w:rsid w:val="00807A76"/>
    <w:rsid w:val="008C2BF9"/>
    <w:rsid w:val="008F0EB4"/>
    <w:rsid w:val="00967E23"/>
    <w:rsid w:val="009852E6"/>
    <w:rsid w:val="00A218C6"/>
    <w:rsid w:val="00A279B5"/>
    <w:rsid w:val="00AB682B"/>
    <w:rsid w:val="00B17B32"/>
    <w:rsid w:val="00B3736B"/>
    <w:rsid w:val="00B61B56"/>
    <w:rsid w:val="00B80935"/>
    <w:rsid w:val="00D347CC"/>
    <w:rsid w:val="00D93F9F"/>
    <w:rsid w:val="00E27CE3"/>
    <w:rsid w:val="00E42807"/>
    <w:rsid w:val="00E52D26"/>
    <w:rsid w:val="00F93500"/>
    <w:rsid w:val="367D140E"/>
    <w:rsid w:val="546A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787</Words>
  <Characters>4492</Characters>
  <Lines>37</Lines>
  <Paragraphs>10</Paragraphs>
  <TotalTime>9592</TotalTime>
  <ScaleCrop>false</ScaleCrop>
  <LinksUpToDate>false</LinksUpToDate>
  <CharactersWithSpaces>5269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2022-07-08T08:12:29Z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1FD7548250514FD18F5A819A0C400D12</vt:lpwstr>
  </property>
</Properties>
</file>