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新源道街道办事处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1280" w:firstLineChars="4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1285" w:firstLineChars="4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560" w:firstLineChars="200"/>
        <w:jc w:val="left"/>
        <w:rPr>
          <w:rFonts w:hint="eastAsia" w:ascii="楷体" w:hAnsi="楷体" w:eastAsia="楷体" w:cs="楷体"/>
          <w:b/>
          <w:bCs/>
          <w:sz w:val="32"/>
          <w:szCs w:val="32"/>
        </w:rPr>
      </w:pPr>
      <w:r>
        <w:rPr>
          <w:rFonts w:ascii="Times New Roman" w:eastAsia="方正仿宋_GBK"/>
          <w:sz w:val="28"/>
        </w:rPr>
        <w:t xml:space="preserve">  </w:t>
      </w:r>
      <w:r>
        <w:rPr>
          <w:rFonts w:hint="eastAsia" w:ascii="Times New Roman" w:eastAsia="方正仿宋_GBK"/>
          <w:sz w:val="28"/>
          <w:lang w:val="en-US" w:eastAsia="zh-CN"/>
        </w:rPr>
        <w:t xml:space="preserve">  </w:t>
      </w:r>
      <w:r>
        <w:rPr>
          <w:rFonts w:hint="eastAsia" w:ascii="Times New Roman" w:eastAsia="方正仿宋_GBK"/>
          <w:sz w:val="32"/>
          <w:szCs w:val="32"/>
          <w:lang w:val="en-US" w:eastAsia="zh-CN"/>
        </w:rPr>
        <w:t xml:space="preserve"> </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党政综合办公室：</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1.负责监督检查和指导所属单位和行政村的档案工作。</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2.做好信访工作，畅通信访渠道、处理来信、接待来访。</w:t>
      </w:r>
    </w:p>
    <w:p>
      <w:pPr>
        <w:spacing w:line="500" w:lineRule="exact"/>
        <w:ind w:firstLine="1600" w:firstLineChars="500"/>
        <w:jc w:val="left"/>
        <w:rPr>
          <w:rFonts w:ascii="Times New Roman" w:eastAsia="方正仿宋_GBK"/>
          <w:sz w:val="28"/>
        </w:rPr>
      </w:pPr>
      <w:r>
        <w:rPr>
          <w:rFonts w:hint="eastAsia" w:ascii="仿宋" w:hAnsi="仿宋" w:eastAsia="仿宋" w:cs="仿宋"/>
          <w:sz w:val="32"/>
          <w:szCs w:val="32"/>
        </w:rPr>
        <w:t>3.负责辖区内的统计工作。履行统计职责，广泛引导、动员和组织社会力量积极参与并认真配合做好国家规定的周期性普查工</w:t>
      </w:r>
      <w:r>
        <w:rPr>
          <w:rFonts w:ascii="Times New Roman" w:eastAsia="方正仿宋_GBK"/>
          <w:sz w:val="28"/>
        </w:rPr>
        <w:t>作。</w:t>
      </w:r>
    </w:p>
    <w:p>
      <w:pPr>
        <w:spacing w:line="500" w:lineRule="exact"/>
        <w:ind w:firstLine="560" w:firstLineChars="200"/>
        <w:jc w:val="left"/>
        <w:rPr>
          <w:rFonts w:hint="eastAsia" w:ascii="楷体" w:hAnsi="楷体" w:eastAsia="楷体" w:cs="楷体"/>
          <w:b/>
          <w:bCs/>
          <w:sz w:val="32"/>
          <w:szCs w:val="32"/>
          <w:lang w:val="en-US" w:eastAsia="zh-CN"/>
        </w:rPr>
      </w:pPr>
      <w:r>
        <w:rPr>
          <w:rFonts w:ascii="Times New Roman" w:eastAsia="方正仿宋_GBK"/>
          <w:sz w:val="28"/>
        </w:rPr>
        <w:t xml:space="preserve">   </w:t>
      </w:r>
      <w:r>
        <w:rPr>
          <w:rFonts w:hint="eastAsia" w:ascii="楷体" w:hAnsi="楷体" w:eastAsia="楷体" w:cs="楷体"/>
          <w:b/>
          <w:bCs/>
          <w:sz w:val="32"/>
          <w:szCs w:val="32"/>
          <w:lang w:val="en-US" w:eastAsia="zh-CN"/>
        </w:rPr>
        <w:t xml:space="preserve"> 二、党建工作办公室</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1.宣传执行党的路线、方针、政策，宣传和执行党中央、上级党组织和本级党组织的决议，团结、组织党内外的干部和群众，努力完成本单位所担负的任务。</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2. 维护和执行党的纪律，监督党员干部和其他任何工作人员严格遵守国家法律法规。</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3. 负责乡镇和街道党（工）委自身建设和基层党组织建设，以及其他隶属乡镇和街道党（工）委的党组织建设。</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4. 负责下级党的基层组织选举工作、对下级党组织的成立或撤销作出决定。</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5. 负责非公有制企业和社会组织党建工作、扩大新兴领域党建有效覆盖</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6. 加强党员队伍建设，对党员进行教育、管理、监督和服务，做好经常性的发展党员工作。加强流动党员管理。</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7. 做好人才服务工作，发现、培养、推荐党员和群众中的优秀人才。</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8. 落实意识形态工作责任制，组织党员群众学习习近平新时代中国特色社会主义思想，培育和践行社会主义核心价值观，加强精神文明建设和文化建设</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9. 落实统一战线工作任务要求，做好民族事务工作。</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10. 领导辖区内人大工作，以及工会、共青团、妇联等工作。</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11. 根据委托授权负责本辖区内的宗教事务管理工作。</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12. 依照法定权限，做好本辖区的征兵、民兵、预备役、国防教育、国民经济动员、人民防空、国防交通、国防设施保护等工作</w:t>
      </w:r>
    </w:p>
    <w:p>
      <w:pPr>
        <w:spacing w:line="500" w:lineRule="exact"/>
        <w:ind w:firstLine="1600" w:firstLineChars="500"/>
        <w:jc w:val="left"/>
        <w:rPr>
          <w:rFonts w:hint="eastAsia" w:ascii="仿宋" w:hAnsi="仿宋" w:eastAsia="仿宋" w:cs="仿宋"/>
          <w:sz w:val="32"/>
          <w:szCs w:val="32"/>
        </w:rPr>
      </w:pPr>
      <w:r>
        <w:rPr>
          <w:rFonts w:hint="eastAsia" w:ascii="仿宋" w:hAnsi="仿宋" w:eastAsia="仿宋" w:cs="仿宋"/>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00" w:lineRule="exact"/>
        <w:ind w:firstLine="1285" w:firstLineChars="400"/>
        <w:jc w:val="left"/>
        <w:rPr>
          <w:rFonts w:hint="eastAsia" w:ascii="楷体" w:hAnsi="楷体" w:eastAsia="楷体" w:cs="楷体"/>
          <w:b/>
          <w:bCs/>
          <w:sz w:val="32"/>
          <w:szCs w:val="32"/>
        </w:rPr>
      </w:pPr>
      <w:r>
        <w:rPr>
          <w:rFonts w:hint="eastAsia" w:ascii="楷体" w:hAnsi="楷体" w:eastAsia="楷体" w:cs="楷体"/>
          <w:b/>
          <w:bCs/>
          <w:sz w:val="32"/>
          <w:szCs w:val="32"/>
        </w:rPr>
        <w:t>三、应急管理办公室</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 负责辖区内的食品安全隐患排查、信息报告、协助执法和宣传教育等工作、做好本行政区域内小作坊、小餐饮、小摊点的监督管理工作。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 加强本辖区生产经营单位安全生产状况的监督检查、协助上级有关部门依法履行安全生产监督管理职责。</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3. 负责本辖区的消防工作、开展消防宣传、防火巡查、隐患查改。指导村（居）民委员会开展群众性的消防工作。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4. 负责辖区防汛抗洪、抗旱等相关工作。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5. 负责辖区防灾减灾等相关工作。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6. 依法做好本辖区的突发事件应对工作，制定本级突发事件应急预案，组织开展应急演练。</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7. 负责辖区应急管理工作，建立健全应急联动机制，严格落实应急管理责任，加强基层综合应急队伍建设和应急保障能力建设。</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8. 负责本辖区内自然灾害救助工作，做好自然灾害风险排查、隐患治理、救助准备、信息报告、先期处置、应急救助、灾后救助和救助款物管理等工作。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四、自然资源和生态环境办公室</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 动员和组织社会力量参与土地调查工作。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 按照职责分工负责辖区市容、村容和环境卫生、农村生活污水管理责任。</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3. 按照职责分工负责本辖区河湖的水资源保护、水域岸线管理、水污染防治、水环境治理等工作，协助上级人民政府及其有关部门做好地下水相关管理和监督工作。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4. 根据本地区的实际，组织开展大气污染防治工作。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5. 落实属地监管责任，做好禁止露天焚烧秸秆工作。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6．根据本地区的实际，组织开展扬尘污染防治工作。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7. 按照职责分工做好“散乱污”企业综合整治工作。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8. 按照职责分工和相关预案开展突发环境事件应急处置工作，按照有关规定向上级报告。</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五、综合行政执法队</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1.根据法律法规和省政府授权，承担综合行政执法工作。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2.协助有关部门查处传销行为。</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3.加大信用信息归集应用力度，落实守信联合激励和失信联合惩戒制度、推进信用分级分类监管。</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4.制定本辖区社会治安综合治理规划、检查、推动社会治安综合治理措施的落实，协调和督促有关部门开展法制宣传教育工作、调解各类纠纷。</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5.组织群众开展各种形式的治安防范活动和军民、警民联防活动；指导、帮助村（居）民委员会做好社会治安综合治理工作。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7.承担民间纠纷调解相关工作。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8.协调有关部门做好未成年人的保护工作。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9.承担企业劳动争议调解相关工作。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10.组织相关单位开展社区矫正工作和对户籍或居住地在本辖区的刑满释放人员做好接收建档和安置帮教工作，做好重点帮教对象的衔接工作。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11.负责社区戒毒、社区康复工作。</w:t>
      </w:r>
    </w:p>
    <w:p>
      <w:pPr>
        <w:spacing w:line="500" w:lineRule="exact"/>
        <w:ind w:firstLine="1285" w:firstLineChars="400"/>
        <w:jc w:val="left"/>
        <w:rPr>
          <w:rFonts w:hint="eastAsia" w:ascii="楷体" w:hAnsi="楷体" w:eastAsia="楷体" w:cs="楷体"/>
          <w:b/>
          <w:bCs/>
          <w:sz w:val="32"/>
          <w:szCs w:val="32"/>
        </w:rPr>
      </w:pPr>
      <w:r>
        <w:rPr>
          <w:rFonts w:hint="eastAsia" w:ascii="楷体" w:hAnsi="楷体" w:eastAsia="楷体" w:cs="楷体"/>
          <w:b/>
          <w:bCs/>
          <w:sz w:val="32"/>
          <w:szCs w:val="32"/>
        </w:rPr>
        <w:t>六、行政综合服务中心</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1.负责指导居民委员会的换届选举工作。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2.指导村（居）民委员会建立健全各项自治制度，并予以备案。</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3.按权限负责基层社区社会组织的分类指导和业务指导。</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4.负责加强本辖区健康教育工作及其专业人才培养、建立健康知识和技能核心信息发布制度、普及健康科学知识、向公众提供科学、准确的健康信息。</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5.负责本辖区健康中国建设，健全实施健康中国行动领导推进工作机制，逐项抓好任务落实。</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6.根据法律法规和省政府授权，承担行政审批服务工作。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7.开展就业政策宣传、就业援助等就业服务工作。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8.负责辖区内人口与计划生育工作。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9.组织开展全民健身活动，建立健全全民健身工作协调机制。</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10.负责本辖区爱国卫生日常工作。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11.按权限开展社会救助工作。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12.按权限做好残疾人保障工作。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13.负责组织开展预防精神障碍发生、促进精神障碍患者康复等工作。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14.按照职责分工负责做好辖区城乡居民基本养老保险工作。</w:t>
      </w:r>
    </w:p>
    <w:p>
      <w:pPr>
        <w:spacing w:line="500" w:lineRule="exact"/>
        <w:ind w:firstLine="1285" w:firstLineChars="400"/>
        <w:jc w:val="left"/>
        <w:rPr>
          <w:rFonts w:hint="eastAsia"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1.组织实施居家养老服务工作，建设居家养老服务设施，落实政府购买服务、经费补贴等扶持政策措施、组织、指导社会各界参与居家养老和空巢、留守老年人关爱服务。</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2.负责指导辖区内业主大会的成立和业主委员会的选举工作。</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3.按权限负责社区工作者的日常管理工作。</w:t>
      </w:r>
    </w:p>
    <w:p>
      <w:pPr>
        <w:spacing w:line="500" w:lineRule="exact"/>
        <w:ind w:firstLine="1285" w:firstLineChars="400"/>
        <w:jc w:val="left"/>
        <w:rPr>
          <w:rFonts w:hint="eastAsia" w:ascii="楷体" w:hAnsi="楷体" w:eastAsia="楷体" w:cs="楷体"/>
          <w:b/>
          <w:bCs/>
          <w:sz w:val="32"/>
          <w:szCs w:val="32"/>
        </w:rPr>
      </w:pPr>
      <w:r>
        <w:rPr>
          <w:rFonts w:hint="eastAsia" w:ascii="楷体" w:hAnsi="楷体" w:eastAsia="楷体" w:cs="楷体"/>
          <w:b/>
          <w:bCs/>
          <w:sz w:val="32"/>
          <w:szCs w:val="32"/>
        </w:rPr>
        <w:t>八、综合文化服务站</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1.组织开展本辖区科普活动，宣传科学、文明的生产和生活方式。</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2.负责本辖区综合文化站、新时代文明实践中心（所、站）建设和日常管理、实施免费开放。</w:t>
      </w:r>
    </w:p>
    <w:p>
      <w:pPr>
        <w:spacing w:line="500" w:lineRule="exact"/>
        <w:ind w:firstLine="1285" w:firstLineChars="400"/>
        <w:jc w:val="left"/>
        <w:rPr>
          <w:rFonts w:hint="eastAsia" w:ascii="楷体" w:hAnsi="楷体" w:eastAsia="楷体" w:cs="楷体"/>
          <w:b/>
          <w:bCs/>
          <w:sz w:val="32"/>
          <w:szCs w:val="32"/>
        </w:rPr>
      </w:pPr>
      <w:r>
        <w:rPr>
          <w:rFonts w:hint="eastAsia" w:ascii="楷体" w:hAnsi="楷体" w:eastAsia="楷体" w:cs="楷体"/>
          <w:b/>
          <w:bCs/>
          <w:sz w:val="32"/>
          <w:szCs w:val="32"/>
        </w:rPr>
        <w:t>九、退役军人服务站</w:t>
      </w:r>
    </w:p>
    <w:p>
      <w:pPr>
        <w:spacing w:line="50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负责拥军优属、退役军人服务等工作</w:t>
      </w:r>
    </w:p>
    <w:p>
      <w:pPr>
        <w:spacing w:line="500" w:lineRule="exact"/>
        <w:ind w:firstLine="560" w:firstLineChars="200"/>
        <w:jc w:val="left"/>
        <w:rPr>
          <w:rFonts w:ascii="Times New Roman" w:eastAsia="方正仿宋_GBK"/>
          <w:sz w:val="28"/>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廊坊市广阳区新源道街道办事处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1889.92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1889.92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1889.92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1343.68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1223.24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120.44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546.24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包括本级支出</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社区招聘人员经费</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1889.92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468.91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25.84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调资支出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443.07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社区招聘人员经费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120.44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新源道办事处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 xml:space="preserve">持平，无增减变化。  </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新源道办事处将抓住新机场兴建的宝贵历史机遇，创新思维方式，汇聚兴街富民力量，实现跨越大发展。力争将新开路街道建设成为开放、包容、宜居的生态新区。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一、加快项目建设，促进经济发展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要加大宣传力度，扩大舆论环境，提高区域知名度。二是对在建楼宇项目要突出重点，落实责任，盯目标、盯进度、盯节点、盯成效，统筹推进项目建设，力争项目早建成、早投入、早见效。三是要尽快介入，全面掌握楼宇信息，引导开发商进行楼宇功能定位。确立不同楼宇的业态定位，发展产业集群，使楼宇经济朝产业化、特色化、专业化的方向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二、推进污染防治，确保质量达标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三、提升服务水平，建设幸福街区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一、发展楼宇经济</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二、常抓疫情防控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落实冬季疫情防控工作措施，常态化排查登记中高风险地区返雅人员，做好居家医疗观察和核酸检测。强化商场、酒店、学校、农贸市场、餐馆等重点区域的日常消毒和防控措施落实。</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三、持续打好生态保卫战</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加强网格化日常巡查，守牢生态底线。对重点行业、重点企业进行定期和不定期走访，建立巡查台账，对群众反映的环保问题及时调查处复。</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四、维护社会稳定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持续深化扫黑除恶专项斗争和人民调解，落实安全生产责任制，加强对企业、老旧小区、餐馆等重点区域消防、食品安全督查整治。加强应急救援处置能力建设,提高防灾减灾救灾能力。</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五、提升城市管理水平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服务大局，推动基层党建创新发展。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突出主题主线，推动新思想往实里走、往心里走。持之以恒抓好学习贯彻习近平新时代中国特色社会主义思想，常态化开展学习工作，充分利用“学习强国”、“河北学习”等学习平台，积极开展党委书记讲党课宣讲方式，大力开展教育培训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进一步加强社区党组织建设。全力打造“一居一特色，一居一亮点”，不断完善党员教育学习机制，让广大党员群众坐得住、乐意听、记得牢，真正做到理论宣讲入耳、入脑、入心，有效打通党建走向基层的“最后一公里”。</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（三）坚持目标导向，推动基层党组织建设全面进步、全面</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过硬。借助社区“两委”换届契机，选优配强社区干部，积极做好宣传引导，采取“动+静”宣传模式，一方面加大悬挂条幅、设置宣传栏、发放宣传单等工作的覆盖面，提高居民群众的知晓率和参与率，另一方面发动社区各类文化队伍和党员志愿者，以休闲娱乐形式宣传换届选的意义和作用，扩大宣传广度，同时，按照换届要求有序推进，进一步把社区“两委”换届选举的各项要求和规定具体化，确保全过程有章可循，不变通、不走样。</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二、做好常态化疫情防控工作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充分发挥街道疫情防控指挥部职能，指导开展常态化防疫工作，从严从实各项防控措施，坚决克服麻痹思想、厌战情绪、侥幸心理、松劲心态，坚持对冬春重点时段、重点人群、重点场所做好巡查、监督和服务。同时，结合辖区特点设置19个全民核酸检测点，全力以赴做好今冬明春新冠肺炎疫情防控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三、因地制宜，推动现代经济发展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高度重视经济发展工作，抢时间、加速度、争进度。突破资源、土地等因素的制约，大力发展楼宇经济，向楼宇要空间和高度，为企业发展筑起“凤凰巢”，依托区位效应，盘活空置门面房，作为招商引资的利好条件，发展现代化行业，吸引新兴企业入驻，使辖区的发展更有规划性和长远性。</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四、倡导文明新风，提高社区治理水平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将精神文明建设进一步融合到居民生活中，潜移默化提升居民文明素养，营造文明、和谐、幸福邻里氛围，增强居民的归属感、认同感和凝聚力。　　　</w:t>
      </w:r>
    </w:p>
    <w:p>
      <w:pPr>
        <w:spacing w:line="500" w:lineRule="exact"/>
        <w:ind w:firstLine="560" w:firstLineChars="200"/>
        <w:jc w:val="left"/>
        <w:rPr>
          <w:rFonts w:ascii="Times New Roman" w:eastAsia="方正仿宋_GBK"/>
          <w:sz w:val="28"/>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092"/>
        <w:gridCol w:w="1977"/>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0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9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092" w:type="dxa"/>
            <w:vMerge w:val="continue"/>
            <w:tcBorders>
              <w:tl2br w:val="nil"/>
              <w:tr2bl w:val="nil"/>
            </w:tcBorders>
            <w:vAlign w:val="center"/>
          </w:tcPr>
          <w:p/>
        </w:tc>
        <w:tc>
          <w:tcPr>
            <w:tcW w:w="1977"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092" w:type="dxa"/>
            <w:tcBorders>
              <w:tl2br w:val="nil"/>
              <w:tr2bl w:val="nil"/>
            </w:tcBorders>
            <w:vAlign w:val="center"/>
          </w:tcPr>
          <w:p>
            <w:pPr>
              <w:rPr>
                <w:rFonts w:ascii="宋体" w:hAnsi="宋体" w:cs="宋体"/>
                <w:color w:val="000000"/>
                <w:sz w:val="22"/>
              </w:rPr>
            </w:pPr>
            <w:r>
              <w:rPr>
                <w:rFonts w:hint="eastAsia"/>
                <w:color w:val="000000"/>
                <w:sz w:val="22"/>
              </w:rPr>
              <w:t>发放人数</w:t>
            </w: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color w:val="000000"/>
                <w:sz w:val="22"/>
              </w:rPr>
              <w:t>发放人数</w:t>
            </w:r>
          </w:p>
        </w:tc>
        <w:tc>
          <w:tcPr>
            <w:tcW w:w="1483" w:type="dxa"/>
            <w:tcBorders>
              <w:tl2br w:val="nil"/>
              <w:tr2bl w:val="nil"/>
            </w:tcBorders>
            <w:vAlign w:val="center"/>
          </w:tcPr>
          <w:p>
            <w:pPr>
              <w:rPr>
                <w:rFonts w:ascii="宋体" w:hAnsi="宋体" w:cs="宋体"/>
                <w:color w:val="000000"/>
                <w:sz w:val="18"/>
                <w:szCs w:val="18"/>
              </w:rPr>
            </w:pPr>
            <w:r>
              <w:rPr>
                <w:rFonts w:hint="eastAsia"/>
                <w:color w:val="000000"/>
                <w:sz w:val="18"/>
                <w:szCs w:val="18"/>
              </w:rPr>
              <w:t>社区招聘人员享受此项待遇人员数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47</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tcBorders>
              <w:tl2br w:val="nil"/>
              <w:tr2bl w:val="nil"/>
            </w:tcBorders>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092"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发放完成率</w:t>
            </w: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ascii="仿宋_GB2312" w:eastAsia="仿宋_GB2312"/>
                <w:color w:val="000000"/>
                <w:sz w:val="18"/>
                <w:szCs w:val="18"/>
              </w:rPr>
              <w:t>发放完成率</w:t>
            </w:r>
          </w:p>
        </w:tc>
        <w:tc>
          <w:tcPr>
            <w:tcW w:w="1483"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足额发放工作比例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092"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资金支付及时率</w:t>
            </w: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支付时间</w:t>
            </w:r>
          </w:p>
        </w:tc>
        <w:tc>
          <w:tcPr>
            <w:tcW w:w="1483"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按时发放工资几缴纳保险</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每月20日前</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092" w:type="dxa"/>
            <w:tcBorders>
              <w:tl2br w:val="nil"/>
              <w:tr2bl w:val="nil"/>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支付金额</w:t>
            </w:r>
          </w:p>
        </w:tc>
        <w:tc>
          <w:tcPr>
            <w:tcW w:w="1483"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546.24</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092" w:type="dxa"/>
            <w:tcBorders>
              <w:tl2br w:val="nil"/>
              <w:tr2bl w:val="nil"/>
            </w:tcBorders>
            <w:vAlign w:val="center"/>
          </w:tcPr>
          <w:p>
            <w:pPr>
              <w:widowControl/>
              <w:adjustRightInd w:val="0"/>
              <w:snapToGrid w:val="0"/>
              <w:rPr>
                <w:rFonts w:ascii="方正书宋_GBK" w:eastAsia="方正书宋_GBK"/>
              </w:rPr>
            </w:pPr>
          </w:p>
        </w:tc>
        <w:tc>
          <w:tcPr>
            <w:tcW w:w="1977"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092" w:type="dxa"/>
            <w:tcBorders>
              <w:tl2br w:val="nil"/>
              <w:tr2bl w:val="nil"/>
            </w:tcBorders>
            <w:vAlign w:val="center"/>
          </w:tcPr>
          <w:p>
            <w:pPr>
              <w:widowControl/>
              <w:adjustRightInd w:val="0"/>
              <w:snapToGrid w:val="0"/>
              <w:rPr>
                <w:rFonts w:ascii="方正书宋_GBK" w:eastAsia="方正书宋_GBK"/>
              </w:rPr>
            </w:pPr>
          </w:p>
        </w:tc>
        <w:tc>
          <w:tcPr>
            <w:tcW w:w="1977"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092" w:type="dxa"/>
            <w:tcBorders>
              <w:tl2br w:val="nil"/>
              <w:tr2bl w:val="nil"/>
            </w:tcBorders>
            <w:vAlign w:val="center"/>
          </w:tcPr>
          <w:p>
            <w:pPr>
              <w:widowControl/>
              <w:adjustRightInd w:val="0"/>
              <w:snapToGrid w:val="0"/>
              <w:rPr>
                <w:rFonts w:ascii="方正书宋_GBK" w:eastAsia="方正书宋_GBK"/>
              </w:rPr>
            </w:pPr>
          </w:p>
        </w:tc>
        <w:tc>
          <w:tcPr>
            <w:tcW w:w="1977"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092"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p>
            <w:pPr>
              <w:widowControl/>
              <w:adjustRightInd w:val="0"/>
              <w:snapToGrid w:val="0"/>
              <w:rPr>
                <w:rFonts w:ascii="方正书宋_GBK" w:eastAsia="方正书宋_GBK"/>
              </w:rPr>
            </w:pP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历史水平</w:t>
            </w:r>
          </w:p>
        </w:tc>
        <w:tc>
          <w:tcPr>
            <w:tcW w:w="1483"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不断提高</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color w:val="000000"/>
                <w:sz w:val="18"/>
                <w:szCs w:val="18"/>
              </w:rPr>
              <w:t>冀组字【2020】9号   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092"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p>
            <w:pPr>
              <w:widowControl/>
              <w:adjustRightInd w:val="0"/>
              <w:snapToGrid w:val="0"/>
              <w:rPr>
                <w:rFonts w:ascii="方正书宋_GBK" w:eastAsia="方正书宋_GBK"/>
              </w:rPr>
            </w:pPr>
          </w:p>
        </w:tc>
        <w:tc>
          <w:tcPr>
            <w:tcW w:w="19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c>
          <w:tcPr>
            <w:tcW w:w="1483" w:type="dxa"/>
            <w:tcBorders>
              <w:tl2br w:val="nil"/>
              <w:tr2bl w:val="nil"/>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color w:val="000000"/>
                <w:sz w:val="18"/>
                <w:szCs w:val="18"/>
              </w:rPr>
              <w:t>冀组字【2020】9号   廊组字【2020】48号  廊广组字【2020】18号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社区招聘人员经费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数量</w:t>
            </w:r>
          </w:p>
        </w:tc>
        <w:tc>
          <w:tcPr>
            <w:tcW w:w="1985" w:type="dxa"/>
            <w:shd w:val="clear" w:color="auto" w:fill="auto"/>
            <w:vAlign w:val="center"/>
          </w:tcPr>
          <w:p>
            <w:pPr>
              <w:rPr>
                <w:rFonts w:ascii="宋体" w:hAnsi="宋体" w:cs="宋体"/>
                <w:color w:val="000000"/>
                <w:sz w:val="22"/>
              </w:rPr>
            </w:pPr>
            <w:r>
              <w:rPr>
                <w:rFonts w:hint="eastAsia"/>
                <w:color w:val="000000"/>
                <w:sz w:val="22"/>
              </w:rPr>
              <w:t>发放人数</w:t>
            </w:r>
          </w:p>
        </w:tc>
        <w:tc>
          <w:tcPr>
            <w:tcW w:w="3402" w:type="dxa"/>
            <w:shd w:val="clear" w:color="auto" w:fill="auto"/>
            <w:vAlign w:val="center"/>
          </w:tcPr>
          <w:p>
            <w:pPr>
              <w:rPr>
                <w:rFonts w:ascii="宋体" w:hAnsi="宋体" w:cs="宋体"/>
                <w:color w:val="000000"/>
                <w:sz w:val="18"/>
                <w:szCs w:val="18"/>
              </w:rPr>
            </w:pPr>
            <w:r>
              <w:rPr>
                <w:rFonts w:hint="eastAsia"/>
                <w:color w:val="000000"/>
                <w:sz w:val="18"/>
                <w:szCs w:val="18"/>
              </w:rPr>
              <w:t>社区招聘人员享受此项待遇人员数</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47人</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质量</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发放完成率</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足额发放工作比例</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100%</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成本</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366.43万元</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可持续影响</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tc>
        <w:tc>
          <w:tcPr>
            <w:tcW w:w="1843"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服务水平不断提高</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满意度</w:t>
            </w:r>
          </w:p>
        </w:tc>
        <w:tc>
          <w:tcPr>
            <w:tcW w:w="1985"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tc>
        <w:tc>
          <w:tcPr>
            <w:tcW w:w="1843"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≥90%</w:t>
            </w:r>
          </w:p>
        </w:tc>
        <w:tc>
          <w:tcPr>
            <w:tcW w:w="2155" w:type="dxa"/>
            <w:shd w:val="clear" w:color="auto" w:fill="auto"/>
            <w:vAlign w:val="center"/>
          </w:tcPr>
          <w:p>
            <w:pPr>
              <w:rPr>
                <w:rFonts w:ascii="宋体" w:hAnsi="宋体" w:cs="宋体"/>
                <w:color w:val="000000"/>
                <w:sz w:val="20"/>
                <w:szCs w:val="20"/>
              </w:rPr>
            </w:pPr>
            <w:r>
              <w:rPr>
                <w:rFonts w:hint="eastAsia"/>
                <w:color w:val="000000"/>
                <w:sz w:val="20"/>
                <w:szCs w:val="20"/>
              </w:rPr>
              <w:t>冀组字【2020】9号   廊组字【2020】48号  廊广组字【2020】18号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社区招聘人员经费（</w:t>
      </w:r>
      <w:r>
        <w:rPr>
          <w:rFonts w:hint="eastAsia" w:ascii="Times New Roman" w:hAnsi="Times New Roman" w:eastAsia="仿宋_GB2312" w:cs="Times New Roman"/>
          <w:sz w:val="28"/>
          <w:lang w:eastAsia="zh-CN"/>
        </w:rPr>
        <w:t>专</w:t>
      </w:r>
      <w:r>
        <w:rPr>
          <w:rFonts w:hint="eastAsia" w:ascii="Times New Roman" w:hAnsi="Times New Roman" w:eastAsia="仿宋_GB2312" w:cs="Times New Roman"/>
          <w:sz w:val="28"/>
        </w:rPr>
        <w:t>款）</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数量</w:t>
            </w:r>
          </w:p>
        </w:tc>
        <w:tc>
          <w:tcPr>
            <w:tcW w:w="1985" w:type="dxa"/>
            <w:shd w:val="clear" w:color="auto" w:fill="auto"/>
            <w:vAlign w:val="center"/>
          </w:tcPr>
          <w:p>
            <w:pPr>
              <w:rPr>
                <w:rFonts w:ascii="宋体" w:hAnsi="宋体" w:cs="宋体"/>
                <w:color w:val="000000"/>
                <w:sz w:val="22"/>
              </w:rPr>
            </w:pPr>
            <w:r>
              <w:rPr>
                <w:rFonts w:hint="eastAsia"/>
                <w:color w:val="000000"/>
                <w:sz w:val="22"/>
              </w:rPr>
              <w:t>发放人数</w:t>
            </w:r>
          </w:p>
        </w:tc>
        <w:tc>
          <w:tcPr>
            <w:tcW w:w="3402" w:type="dxa"/>
            <w:shd w:val="clear" w:color="auto" w:fill="auto"/>
            <w:vAlign w:val="center"/>
          </w:tcPr>
          <w:p>
            <w:pPr>
              <w:rPr>
                <w:rFonts w:ascii="宋体" w:hAnsi="宋体" w:cs="宋体"/>
                <w:color w:val="000000"/>
                <w:sz w:val="18"/>
                <w:szCs w:val="18"/>
              </w:rPr>
            </w:pPr>
            <w:r>
              <w:rPr>
                <w:rFonts w:hint="eastAsia"/>
                <w:color w:val="000000"/>
                <w:sz w:val="18"/>
                <w:szCs w:val="18"/>
              </w:rPr>
              <w:t>社区招聘人员享受此项待遇人员数</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47人</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质量</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发放完成率</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足额发放工作比例</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100%</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成本</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资金成本</w:t>
            </w:r>
          </w:p>
        </w:tc>
        <w:tc>
          <w:tcPr>
            <w:tcW w:w="1843"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366.43万元</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可持续影响</w:t>
            </w:r>
          </w:p>
        </w:tc>
        <w:tc>
          <w:tcPr>
            <w:tcW w:w="1985"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基本公共服务水平</w:t>
            </w:r>
          </w:p>
        </w:tc>
        <w:tc>
          <w:tcPr>
            <w:tcW w:w="1843"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服务水平不断提高</w:t>
            </w:r>
          </w:p>
        </w:tc>
        <w:tc>
          <w:tcPr>
            <w:tcW w:w="2155" w:type="dxa"/>
            <w:shd w:val="clear" w:color="auto" w:fill="auto"/>
            <w:vAlign w:val="center"/>
          </w:tcPr>
          <w:p>
            <w:pPr>
              <w:rPr>
                <w:rFonts w:ascii="宋体" w:hAnsi="宋体" w:cs="宋体"/>
                <w:color w:val="000000"/>
                <w:sz w:val="18"/>
                <w:szCs w:val="18"/>
              </w:rPr>
            </w:pPr>
            <w:r>
              <w:rPr>
                <w:rFonts w:hint="eastAsia"/>
                <w:color w:val="000000"/>
                <w:sz w:val="18"/>
                <w:szCs w:val="18"/>
              </w:rPr>
              <w:t>冀组字【2020】9号   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满意度</w:t>
            </w:r>
          </w:p>
        </w:tc>
        <w:tc>
          <w:tcPr>
            <w:tcW w:w="1985"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tc>
        <w:tc>
          <w:tcPr>
            <w:tcW w:w="3402"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服务对象满意度</w:t>
            </w:r>
          </w:p>
        </w:tc>
        <w:tc>
          <w:tcPr>
            <w:tcW w:w="1843" w:type="dxa"/>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≥90%</w:t>
            </w:r>
          </w:p>
        </w:tc>
        <w:tc>
          <w:tcPr>
            <w:tcW w:w="2155" w:type="dxa"/>
            <w:shd w:val="clear" w:color="auto" w:fill="auto"/>
            <w:vAlign w:val="center"/>
          </w:tcPr>
          <w:p>
            <w:pPr>
              <w:rPr>
                <w:rFonts w:ascii="宋体" w:hAnsi="宋体" w:cs="宋体"/>
                <w:color w:val="000000"/>
                <w:sz w:val="20"/>
                <w:szCs w:val="20"/>
              </w:rPr>
            </w:pPr>
            <w:r>
              <w:rPr>
                <w:rFonts w:hint="eastAsia"/>
                <w:color w:val="000000"/>
                <w:sz w:val="20"/>
                <w:szCs w:val="20"/>
              </w:rPr>
              <w:t>冀组字【2020】9号   廊组字【2020】48号  廊广组字【2020】18号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5</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s="Times New Roman"/>
                <w:sz w:val="24"/>
                <w:lang w:eastAsia="zh-CN"/>
              </w:rPr>
            </w:pPr>
            <w:r>
              <w:rPr>
                <w:rFonts w:hint="eastAsia" w:ascii="方正小标宋_GBK" w:eastAsia="方正小标宋_GBK" w:cs="Times New Roman"/>
                <w:sz w:val="24"/>
                <w:lang w:val="en-US" w:eastAsia="zh-CN"/>
              </w:rPr>
              <w:t>920</w:t>
            </w:r>
            <w:r>
              <w:rPr>
                <w:rFonts w:ascii="方正小标宋_GBK" w:eastAsia="方正小标宋_GBK" w:cs="Times New Roman"/>
                <w:sz w:val="24"/>
              </w:rPr>
              <w:t>廊坊市</w:t>
            </w:r>
            <w:r>
              <w:rPr>
                <w:rFonts w:hint="eastAsia" w:ascii="方正小标宋_GBK" w:eastAsia="方正小标宋_GBK"/>
                <w:sz w:val="24"/>
                <w:lang w:eastAsia="zh-CN"/>
              </w:rPr>
              <w:t>广阳区新源道街道办事处</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120.44</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176.8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总额为5万元，</w:t>
      </w:r>
      <w:r>
        <w:rPr>
          <w:rFonts w:ascii="Times New Roman" w:hAnsi="Times New Roman" w:eastAsia="仿宋_GB2312" w:cs="Times New Roman"/>
          <w:sz w:val="32"/>
          <w:szCs w:val="32"/>
        </w:rPr>
        <w:t>主要为计算机设备，已列入政府采购预算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eastAsia="zh-CN"/>
              </w:rPr>
              <w:t>新源道街道办事处</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广阳区新源道街道办事处</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247</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151.74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22A47"/>
    <w:multiLevelType w:val="singleLevel"/>
    <w:tmpl w:val="7A122A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92AA1"/>
    <w:rsid w:val="001B3DC1"/>
    <w:rsid w:val="00301F9F"/>
    <w:rsid w:val="00355B82"/>
    <w:rsid w:val="00356683"/>
    <w:rsid w:val="004A54AA"/>
    <w:rsid w:val="00807A76"/>
    <w:rsid w:val="008F0EB4"/>
    <w:rsid w:val="008F499C"/>
    <w:rsid w:val="00A218C6"/>
    <w:rsid w:val="00B17B32"/>
    <w:rsid w:val="00B4247E"/>
    <w:rsid w:val="00B80935"/>
    <w:rsid w:val="00C36176"/>
    <w:rsid w:val="00C67752"/>
    <w:rsid w:val="00CB2B7B"/>
    <w:rsid w:val="00CD3A8F"/>
    <w:rsid w:val="00CE1CB3"/>
    <w:rsid w:val="00D347CC"/>
    <w:rsid w:val="00E27CE3"/>
    <w:rsid w:val="00F813B1"/>
    <w:rsid w:val="1534346F"/>
    <w:rsid w:val="21D36DCF"/>
    <w:rsid w:val="28B04CD6"/>
    <w:rsid w:val="532175C8"/>
    <w:rsid w:val="5CB10CB8"/>
    <w:rsid w:val="688A7050"/>
    <w:rsid w:val="6A1B2B84"/>
    <w:rsid w:val="6C876435"/>
    <w:rsid w:val="6CBC1D3E"/>
    <w:rsid w:val="6FA22985"/>
    <w:rsid w:val="7F33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1269</Words>
  <Characters>7237</Characters>
  <Lines>60</Lines>
  <Paragraphs>16</Paragraphs>
  <TotalTime>0</TotalTime>
  <ScaleCrop>false</ScaleCrop>
  <LinksUpToDate>false</LinksUpToDate>
  <CharactersWithSpaces>8490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2022-07-08T08:19:14Z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64C4C5F3B0DC4AFC9FB06DEE6AB76290</vt:lpwstr>
  </property>
</Properties>
</file>