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11" w:name="_GoBack"/>
      <w:r>
        <w:rPr>
          <w:rFonts w:ascii="Times New Roman" w:hAnsi="Times New Roman" w:eastAsia="方正小标宋简体" w:cs="Times New Roman"/>
          <w:sz w:val="44"/>
          <w:szCs w:val="44"/>
        </w:rPr>
        <w:t>交通运输局20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bookmarkEnd w:id="11"/>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w:t>
      </w:r>
      <w:r>
        <w:rPr>
          <w:rFonts w:ascii="Times New Roman" w:hAnsi="Times New Roman" w:eastAsia="仿宋_GB2312" w:cs="Times New Roman"/>
          <w:sz w:val="32"/>
          <w:szCs w:val="32"/>
        </w:rPr>
        <w:t>交通运输局20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（一）拟定全区交通行业发展战略、政策、规范性文件并监督执行。</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（二）根据省市区国民经济发展总体布局，拟定公路交通行业发展规划，制定中长期计划和年度计划并监督实施，负责交通行业统计和信息引导。</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负责全区公路交通的行业管理和运输组织管理，实施依法行政，建立完善的信息、行业联运服务体系，负责货运市场。客运出租市场、汽车维修市场、搬捣装卸市场、汽车综合性能检测、驾驶员培训工作的行业规划和管理，引导交通运输业优化结构、协调发展。</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（四）组织实施公路及其设施（含标志标线）的建设、养护和管理，清理全区公路两侧违章建筑，治理大件运输和超限运输，提高公路通行能力，依法维护路产路权。</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（五）指导全区交通行业的精神文明建设和职工队伍思想建设，指导行业交通安全保卫工作。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229"/>
        <w:gridCol w:w="1181"/>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229"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181"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229" w:type="dxa"/>
            <w:vMerge w:val="continue"/>
            <w:shd w:val="clear" w:color="auto" w:fill="auto"/>
            <w:vAlign w:val="center"/>
          </w:tcPr>
          <w:p/>
        </w:tc>
        <w:tc>
          <w:tcPr>
            <w:tcW w:w="1181"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widowControl/>
              <w:spacing w:line="225" w:lineRule="atLeast"/>
              <w:jc w:val="center"/>
              <w:rPr>
                <w:rFonts w:ascii="Times New Roman" w:hAnsi="Times New Roman" w:eastAsia="仿宋_GB2312" w:cs="Times New Roman"/>
                <w:b/>
                <w:szCs w:val="21"/>
              </w:rPr>
            </w:pPr>
            <w:r>
              <w:rPr>
                <w:rFonts w:hint="eastAsia" w:ascii="仿宋_GB2312" w:eastAsia="仿宋_GB2312" w:cs="宋体"/>
                <w:kern w:val="0"/>
                <w:szCs w:val="21"/>
              </w:rPr>
              <w:t>廊坊市广阳区交通运输局</w:t>
            </w:r>
          </w:p>
        </w:tc>
        <w:tc>
          <w:tcPr>
            <w:tcW w:w="1229" w:type="dxa"/>
            <w:shd w:val="clear" w:color="auto" w:fill="auto"/>
            <w:vAlign w:val="center"/>
          </w:tcPr>
          <w:p>
            <w:pPr>
              <w:widowControl/>
              <w:spacing w:line="225" w:lineRule="atLeast"/>
              <w:jc w:val="center"/>
              <w:rPr>
                <w:rFonts w:ascii="Times New Roman" w:hAnsi="Times New Roman" w:eastAsia="仿宋_GB2312" w:cs="Times New Roman"/>
                <w:b/>
                <w:szCs w:val="21"/>
              </w:rPr>
            </w:pPr>
            <w:r>
              <w:rPr>
                <w:rFonts w:hint="eastAsia" w:ascii="仿宋_GB2312" w:eastAsia="仿宋_GB2312" w:cs="宋体"/>
                <w:kern w:val="0"/>
                <w:szCs w:val="21"/>
              </w:rPr>
              <w:t>行政单位</w:t>
            </w:r>
          </w:p>
        </w:tc>
        <w:tc>
          <w:tcPr>
            <w:tcW w:w="1181" w:type="dxa"/>
            <w:shd w:val="clear" w:color="auto" w:fill="auto"/>
            <w:vAlign w:val="center"/>
          </w:tcPr>
          <w:p>
            <w:pPr>
              <w:widowControl/>
              <w:spacing w:line="225" w:lineRule="atLeast"/>
              <w:jc w:val="center"/>
              <w:rPr>
                <w:rFonts w:ascii="Times New Roman" w:hAnsi="Times New Roman" w:eastAsia="仿宋_GB2312" w:cs="Times New Roman"/>
                <w:b/>
                <w:szCs w:val="21"/>
              </w:rPr>
            </w:pPr>
            <w:r>
              <w:rPr>
                <w:rFonts w:hint="eastAsia" w:ascii="仿宋_GB2312" w:eastAsia="仿宋_GB2312" w:cs="宋体"/>
                <w:kern w:val="0"/>
                <w:szCs w:val="21"/>
              </w:rPr>
              <w:t>正科级</w:t>
            </w:r>
          </w:p>
        </w:tc>
        <w:tc>
          <w:tcPr>
            <w:tcW w:w="2902" w:type="dxa"/>
            <w:shd w:val="clear" w:color="auto" w:fill="auto"/>
            <w:vAlign w:val="center"/>
          </w:tcPr>
          <w:p>
            <w:pPr>
              <w:widowControl/>
              <w:spacing w:line="225" w:lineRule="atLeast"/>
              <w:jc w:val="center"/>
              <w:rPr>
                <w:rFonts w:ascii="Times New Roman" w:hAnsi="Times New Roman" w:eastAsia="仿宋_GB2312" w:cs="Times New Roman"/>
                <w:b/>
                <w:szCs w:val="21"/>
              </w:rPr>
            </w:pPr>
            <w:r>
              <w:rPr>
                <w:rFonts w:hint="eastAsia" w:ascii="仿宋_GB2312" w:eastAsia="仿宋_GB2312" w:cs="宋体"/>
                <w:kern w:val="0"/>
                <w:szCs w:val="21"/>
              </w:rPr>
              <w:t>财政性资金定额或定向补助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229" w:type="dxa"/>
            <w:shd w:val="clear" w:color="auto" w:fill="auto"/>
            <w:vAlign w:val="center"/>
          </w:tcPr>
          <w:p>
            <w:pPr>
              <w:spacing w:line="584" w:lineRule="exact"/>
              <w:jc w:val="center"/>
              <w:rPr>
                <w:rFonts w:ascii="Times New Roman" w:hAnsi="Times New Roman" w:eastAsia="仿宋_GB2312" w:cs="Times New Roman"/>
              </w:rPr>
            </w:pPr>
          </w:p>
        </w:tc>
        <w:tc>
          <w:tcPr>
            <w:tcW w:w="1181"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229" w:type="dxa"/>
            <w:shd w:val="clear" w:color="auto" w:fill="auto"/>
            <w:vAlign w:val="center"/>
          </w:tcPr>
          <w:p>
            <w:pPr>
              <w:spacing w:line="584" w:lineRule="exact"/>
              <w:jc w:val="center"/>
              <w:rPr>
                <w:rFonts w:ascii="Times New Roman" w:hAnsi="Times New Roman" w:eastAsia="仿宋_GB2312" w:cs="Times New Roman"/>
              </w:rPr>
            </w:pPr>
          </w:p>
        </w:tc>
        <w:tc>
          <w:tcPr>
            <w:tcW w:w="1181"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w:t>
      </w:r>
      <w:r>
        <w:rPr>
          <w:rFonts w:ascii="Times New Roman" w:hAnsi="Times New Roman" w:eastAsia="仿宋_GB2312" w:cs="Times New Roman"/>
          <w:sz w:val="32"/>
          <w:szCs w:val="32"/>
        </w:rPr>
        <w:t>交通运输局机关及所属事业单位的收支包含在部门预算中。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年预算收入3232.67万元，其中：一般公共预算收入2759.48万元，基金预算收入473.19万元，财政专户核拨收入0万元，其他来源收入0万元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w:t>
      </w:r>
      <w:r>
        <w:rPr>
          <w:rFonts w:ascii="Times New Roman" w:hAnsi="Times New Roman" w:eastAsia="仿宋_GB2312" w:cs="Times New Roman"/>
          <w:sz w:val="32"/>
          <w:szCs w:val="32"/>
        </w:rPr>
        <w:t>交通运输局2021年度部门预算中支出预算的总体情况。20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年支出预算3232.67万元，其中基本支出1051.19万元，包括人员类项目经费978.6万元和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公用项目经费72.59万元；运转类其他及特定目标类项目支出2181.48万元，包括本级支出，主要为系统经费支出、工程项目支出等。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年预算收支安排3232.67万元，较20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年预算增加608.06万元，其中：基本支出增加205.64万元，主要为人员支出；项目支出增加402.42万元，主要为提前下达项目支出。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年，我局机关运行经费共计安排72.59万元，主要用于交通运输局机关及所属事业单位办公区的日常维修、办公用房水电费、办公用房取暖费、办公用房物业管理费等日常运行支出。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年，我局财政拨款“三公”经费预算安排4.38万元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因公出国（境）费0万元；公务用车购置及运维费4.38万元（其中：公务用车购置费为0万元，公务用车运维费4.38万元)；公务接待费0万元。与20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年相比持平，无增减变化。</w:t>
      </w:r>
    </w:p>
    <w:p>
      <w:pPr>
        <w:spacing w:line="584" w:lineRule="exact"/>
        <w:ind w:firstLine="640" w:firstLineChars="200"/>
        <w:rPr>
          <w:rFonts w:ascii="仿宋_GB2312" w:eastAsia="仿宋_GB2312"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00" w:lineRule="exact"/>
        <w:ind w:firstLine="640" w:firstLineChars="200"/>
        <w:jc w:val="left"/>
        <w:rPr>
          <w:rFonts w:ascii="华文仿宋" w:eastAsia="华文仿宋"/>
          <w:sz w:val="32"/>
          <w:szCs w:val="32"/>
        </w:rPr>
      </w:pPr>
      <w:r>
        <w:rPr>
          <w:rFonts w:hint="eastAsia" w:ascii="华文仿宋" w:eastAsia="华文仿宋"/>
          <w:sz w:val="32"/>
          <w:szCs w:val="32"/>
        </w:rPr>
        <w:t>1、按时按质完成本年度工程项目实施计划，确保辖区道路“畅洁绿美”。</w:t>
      </w:r>
    </w:p>
    <w:p>
      <w:pPr>
        <w:spacing w:line="500" w:lineRule="exact"/>
        <w:ind w:firstLine="640" w:firstLineChars="200"/>
        <w:jc w:val="left"/>
        <w:rPr>
          <w:rFonts w:ascii="华文仿宋" w:eastAsia="华文仿宋"/>
          <w:sz w:val="32"/>
          <w:szCs w:val="32"/>
        </w:rPr>
      </w:pPr>
      <w:r>
        <w:rPr>
          <w:rFonts w:hint="eastAsia" w:ascii="华文仿宋" w:eastAsia="华文仿宋"/>
          <w:sz w:val="32"/>
          <w:szCs w:val="32"/>
        </w:rPr>
        <w:t>2、按财政资金计划合理使用人员经费，确保职工工资按时发放，保险及时上缴，维护职工队伍稳定。</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00" w:lineRule="exact"/>
        <w:ind w:firstLine="640" w:firstLineChars="200"/>
        <w:jc w:val="left"/>
        <w:rPr>
          <w:rFonts w:ascii="华文仿宋" w:eastAsia="华文仿宋"/>
          <w:sz w:val="32"/>
          <w:szCs w:val="32"/>
        </w:rPr>
      </w:pPr>
      <w:r>
        <w:rPr>
          <w:rFonts w:hint="eastAsia" w:ascii="华文仿宋" w:eastAsia="华文仿宋"/>
          <w:sz w:val="32"/>
          <w:szCs w:val="32"/>
        </w:rPr>
        <w:t>1</w:t>
      </w:r>
      <w:r>
        <w:rPr>
          <w:rFonts w:hint="eastAsia" w:ascii="华文仿宋" w:eastAsia="华文仿宋" w:cs="宋体"/>
          <w:sz w:val="32"/>
          <w:szCs w:val="32"/>
        </w:rPr>
        <w:t>、按计划支出</w:t>
      </w:r>
      <w:r>
        <w:rPr>
          <w:rFonts w:hint="eastAsia" w:ascii="华文仿宋" w:eastAsia="华文仿宋"/>
          <w:sz w:val="32"/>
          <w:szCs w:val="32"/>
        </w:rPr>
        <w:t>日常养护及养护工程</w:t>
      </w:r>
      <w:r>
        <w:rPr>
          <w:rFonts w:hint="eastAsia" w:ascii="华文仿宋" w:eastAsia="华文仿宋" w:cs="宋体"/>
          <w:sz w:val="32"/>
          <w:szCs w:val="32"/>
        </w:rPr>
        <w:t>项目资金，确保县道路面干净整洁、路肩无垃圾、杂草，边沟排水畅通，为广大群众出行提供</w:t>
      </w:r>
      <w:r>
        <w:rPr>
          <w:rFonts w:hint="eastAsia" w:ascii="华文仿宋" w:eastAsia="华文仿宋"/>
          <w:sz w:val="32"/>
          <w:szCs w:val="32"/>
        </w:rPr>
        <w:t>“</w:t>
      </w:r>
      <w:r>
        <w:rPr>
          <w:rFonts w:hint="eastAsia" w:ascii="华文仿宋" w:eastAsia="华文仿宋" w:cs="宋体"/>
          <w:sz w:val="32"/>
          <w:szCs w:val="32"/>
        </w:rPr>
        <w:t>畅安舒美</w:t>
      </w:r>
      <w:r>
        <w:rPr>
          <w:rFonts w:hint="eastAsia" w:ascii="华文仿宋" w:eastAsia="华文仿宋"/>
          <w:sz w:val="32"/>
          <w:szCs w:val="32"/>
        </w:rPr>
        <w:t>”</w:t>
      </w:r>
      <w:r>
        <w:rPr>
          <w:rFonts w:hint="eastAsia" w:ascii="华文仿宋" w:eastAsia="华文仿宋" w:cs="宋体"/>
          <w:sz w:val="32"/>
          <w:szCs w:val="32"/>
        </w:rPr>
        <w:t>的农村公路环境。</w:t>
      </w:r>
    </w:p>
    <w:p>
      <w:pPr>
        <w:spacing w:line="500" w:lineRule="exact"/>
        <w:ind w:firstLine="640" w:firstLineChars="200"/>
        <w:jc w:val="left"/>
        <w:rPr>
          <w:rFonts w:ascii="华文仿宋" w:eastAsia="华文仿宋"/>
          <w:sz w:val="32"/>
          <w:szCs w:val="32"/>
        </w:rPr>
      </w:pPr>
      <w:r>
        <w:rPr>
          <w:rFonts w:hint="eastAsia" w:ascii="华文仿宋" w:eastAsia="华文仿宋"/>
          <w:sz w:val="32"/>
          <w:szCs w:val="32"/>
        </w:rPr>
        <w:t>2</w:t>
      </w:r>
      <w:r>
        <w:rPr>
          <w:rFonts w:hint="eastAsia" w:ascii="华文仿宋" w:eastAsia="华文仿宋" w:cs="宋体"/>
          <w:sz w:val="32"/>
          <w:szCs w:val="32"/>
        </w:rPr>
        <w:t>、按财政资金预算安排，合理支出</w:t>
      </w:r>
      <w:r>
        <w:rPr>
          <w:rFonts w:hint="eastAsia" w:ascii="华文仿宋" w:eastAsia="华文仿宋"/>
          <w:sz w:val="32"/>
          <w:szCs w:val="32"/>
        </w:rPr>
        <w:t>专项</w:t>
      </w:r>
      <w:r>
        <w:rPr>
          <w:rFonts w:hint="eastAsia" w:ascii="华文仿宋" w:eastAsia="华文仿宋" w:cs="宋体"/>
          <w:sz w:val="32"/>
          <w:szCs w:val="32"/>
        </w:rPr>
        <w:t>资金</w:t>
      </w:r>
      <w:r>
        <w:rPr>
          <w:rFonts w:hint="eastAsia" w:ascii="华文仿宋" w:eastAsia="华文仿宋"/>
          <w:sz w:val="32"/>
          <w:szCs w:val="32"/>
        </w:rPr>
        <w:t>40</w:t>
      </w:r>
      <w:r>
        <w:rPr>
          <w:rFonts w:hint="eastAsia" w:ascii="华文仿宋" w:eastAsia="华文仿宋" w:cs="宋体"/>
          <w:sz w:val="32"/>
          <w:szCs w:val="32"/>
        </w:rPr>
        <w:t>万元，保障辖区超限检测九州站正常运行。</w:t>
      </w:r>
    </w:p>
    <w:p>
      <w:pPr>
        <w:spacing w:line="584" w:lineRule="exact"/>
        <w:ind w:firstLine="640" w:firstLineChars="200"/>
        <w:rPr>
          <w:rFonts w:ascii="华文仿宋" w:eastAsia="华文仿宋" w:cs="宋体"/>
          <w:sz w:val="32"/>
          <w:szCs w:val="32"/>
        </w:rPr>
      </w:pPr>
      <w:r>
        <w:rPr>
          <w:rFonts w:hint="eastAsia" w:ascii="华文仿宋" w:eastAsia="华文仿宋"/>
          <w:sz w:val="32"/>
          <w:szCs w:val="32"/>
        </w:rPr>
        <w:t>3</w:t>
      </w:r>
      <w:r>
        <w:rPr>
          <w:rFonts w:hint="eastAsia" w:ascii="华文仿宋" w:eastAsia="华文仿宋" w:cs="宋体"/>
          <w:sz w:val="32"/>
          <w:szCs w:val="32"/>
        </w:rPr>
        <w:t>、及时支出财政</w:t>
      </w:r>
      <w:r>
        <w:rPr>
          <w:rFonts w:hint="eastAsia" w:ascii="华文仿宋" w:eastAsia="华文仿宋"/>
          <w:sz w:val="32"/>
          <w:szCs w:val="32"/>
        </w:rPr>
        <w:t>经费</w:t>
      </w:r>
      <w:r>
        <w:rPr>
          <w:rFonts w:hint="eastAsia" w:ascii="华文仿宋" w:eastAsia="华文仿宋" w:cs="宋体"/>
          <w:sz w:val="32"/>
          <w:szCs w:val="32"/>
        </w:rPr>
        <w:t>预算安排，确保职工工资按时发放保险及时上缴，维护职工队伍稳定。</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00" w:lineRule="exact"/>
        <w:ind w:firstLine="640" w:firstLineChars="200"/>
        <w:jc w:val="left"/>
        <w:rPr>
          <w:rFonts w:ascii="华文仿宋" w:eastAsia="华文仿宋"/>
          <w:sz w:val="32"/>
          <w:szCs w:val="32"/>
        </w:rPr>
      </w:pPr>
      <w:r>
        <w:rPr>
          <w:rFonts w:hint="eastAsia" w:ascii="华文仿宋" w:eastAsia="华文仿宋"/>
          <w:sz w:val="32"/>
          <w:szCs w:val="32"/>
        </w:rPr>
        <w:t>1、严格按照预算法执行预算支出，做好预算安排，加强支出管理，确保专项资金按照预算绩效目标合理支出。</w:t>
      </w:r>
    </w:p>
    <w:p>
      <w:pPr>
        <w:spacing w:line="500" w:lineRule="exact"/>
        <w:ind w:firstLine="640" w:firstLineChars="200"/>
        <w:jc w:val="left"/>
        <w:rPr>
          <w:rFonts w:ascii="华文仿宋" w:eastAsia="华文仿宋"/>
          <w:sz w:val="32"/>
          <w:szCs w:val="32"/>
        </w:rPr>
      </w:pPr>
      <w:r>
        <w:rPr>
          <w:rFonts w:hint="eastAsia" w:ascii="华文仿宋" w:eastAsia="华文仿宋"/>
          <w:sz w:val="32"/>
          <w:szCs w:val="32"/>
        </w:rPr>
        <w:t>2、做好项目事前绩效评估，确保项目实施的必要性。</w:t>
      </w:r>
    </w:p>
    <w:p>
      <w:pPr>
        <w:spacing w:line="500" w:lineRule="exact"/>
        <w:ind w:firstLine="640" w:firstLineChars="200"/>
        <w:jc w:val="left"/>
        <w:rPr>
          <w:rFonts w:ascii="华文仿宋" w:eastAsia="华文仿宋"/>
          <w:sz w:val="32"/>
          <w:szCs w:val="32"/>
        </w:rPr>
      </w:pPr>
      <w:r>
        <w:rPr>
          <w:rFonts w:hint="eastAsia" w:ascii="华文仿宋" w:eastAsia="华文仿宋"/>
          <w:sz w:val="32"/>
          <w:szCs w:val="32"/>
        </w:rPr>
        <w:t>3、加强项目跟踪审计，确保资金落实到位。</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支出人数</w:t>
            </w:r>
          </w:p>
        </w:tc>
        <w:tc>
          <w:tcPr>
            <w:tcW w:w="2172"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达不到标准扣1分</w:t>
            </w:r>
          </w:p>
        </w:tc>
        <w:tc>
          <w:tcPr>
            <w:tcW w:w="1483"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经费支出人数</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366</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人</w:t>
            </w:r>
          </w:p>
        </w:tc>
        <w:tc>
          <w:tcPr>
            <w:tcW w:w="1277"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工作实际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发放完成率</w:t>
            </w:r>
          </w:p>
        </w:tc>
        <w:tc>
          <w:tcPr>
            <w:tcW w:w="2172"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达不到标准扣1分</w:t>
            </w:r>
          </w:p>
        </w:tc>
        <w:tc>
          <w:tcPr>
            <w:tcW w:w="1483"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发放人数占总人数的百分比</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100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w:t>
            </w:r>
          </w:p>
        </w:tc>
        <w:tc>
          <w:tcPr>
            <w:tcW w:w="1277"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工作实际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完成时期</w:t>
            </w:r>
          </w:p>
        </w:tc>
        <w:tc>
          <w:tcPr>
            <w:tcW w:w="2172"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达不到标准扣1分</w:t>
            </w:r>
          </w:p>
        </w:tc>
        <w:tc>
          <w:tcPr>
            <w:tcW w:w="1483"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完成时期</w:t>
            </w: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2021</w:t>
            </w:r>
            <w:r>
              <w:rPr>
                <w:rFonts w:hint="eastAsia" w:ascii="方正书宋_GBK" w:eastAsia="方正书宋_GBK"/>
              </w:rPr>
              <w:t>年度</w:t>
            </w:r>
          </w:p>
        </w:tc>
        <w:tc>
          <w:tcPr>
            <w:tcW w:w="1277"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工作实际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支出金额</w:t>
            </w:r>
          </w:p>
        </w:tc>
        <w:tc>
          <w:tcPr>
            <w:tcW w:w="2172"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达不到标准扣1分</w:t>
            </w:r>
          </w:p>
        </w:tc>
        <w:tc>
          <w:tcPr>
            <w:tcW w:w="1483"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经费支出金额</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687</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万元</w:t>
            </w:r>
          </w:p>
        </w:tc>
        <w:tc>
          <w:tcPr>
            <w:tcW w:w="1277"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工作实际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spacing w:line="300" w:lineRule="exact"/>
              <w:jc w:val="left"/>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保证人员基本生活水平</w:t>
            </w:r>
          </w:p>
        </w:tc>
        <w:tc>
          <w:tcPr>
            <w:tcW w:w="2172"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达不到标准扣1分</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保证人员基本生活水平</w:t>
            </w: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保证正常运转</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897" w:type="dxa"/>
            <w:tcBorders>
              <w:tl2br w:val="nil"/>
              <w:tr2bl w:val="nil"/>
            </w:tcBorders>
            <w:vAlign w:val="center"/>
          </w:tcPr>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职工满意度</w:t>
            </w:r>
          </w:p>
        </w:tc>
        <w:tc>
          <w:tcPr>
            <w:tcW w:w="2172"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达不到标准扣1分</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职工满意人数占总人数百分比</w:t>
            </w:r>
          </w:p>
        </w:tc>
        <w:tc>
          <w:tcPr>
            <w:tcW w:w="54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90</w:t>
            </w:r>
          </w:p>
        </w:tc>
        <w:tc>
          <w:tcPr>
            <w:tcW w:w="573"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工作实际</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640" w:firstLineChars="200"/>
        <w:jc w:val="left"/>
        <w:outlineLvl w:val="3"/>
        <w:rPr>
          <w:rFonts w:ascii="Times New Roman" w:hAnsi="Times New Roman"/>
          <w:bCs/>
          <w:sz w:val="32"/>
          <w:szCs w:val="32"/>
        </w:rPr>
      </w:pPr>
      <w:bookmarkStart w:id="0" w:name="_Toc67213165"/>
      <w:r>
        <w:rPr>
          <w:rFonts w:hint="eastAsia" w:ascii="方正仿宋_GBK" w:eastAsia="方正仿宋_GBK"/>
          <w:bCs/>
          <w:sz w:val="32"/>
          <w:szCs w:val="32"/>
        </w:rPr>
        <w:t>1.交通系统经费绩效目标表</w:t>
      </w:r>
      <w:bookmarkEnd w:id="0"/>
      <w:r>
        <w:rPr>
          <w:rFonts w:ascii="方正仿宋_GBK" w:eastAsia="方正仿宋_GBK"/>
          <w:bCs/>
          <w:vanish/>
          <w:sz w:val="32"/>
          <w:szCs w:val="32"/>
        </w:rPr>
        <w:t xml:space="preserve">{ </w:t>
      </w:r>
      <w:r>
        <w:rPr>
          <w:rFonts w:hint="eastAsia" w:ascii="方正仿宋_GBK" w:eastAsia="方正仿宋_GBK"/>
          <w:bCs/>
          <w:vanish/>
          <w:sz w:val="32"/>
          <w:szCs w:val="32"/>
        </w:rPr>
        <w:t>TC 1、交通系统经费绩效目标表 \f C \l 1</w:t>
      </w:r>
      <w:r>
        <w:rPr>
          <w:rFonts w:ascii="方正仿宋_GBK" w:eastAsia="方正仿宋_GBK"/>
          <w:bCs/>
          <w:vanish/>
          <w:sz w:val="32"/>
          <w:szCs w:val="32"/>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按月发放人员工资</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按月上缴各项保险等费用支出</w:t>
            </w:r>
          </w:p>
        </w:tc>
      </w:tr>
    </w:tbl>
    <w:p>
      <w:pPr>
        <w:spacing w:line="14" w:lineRule="exact"/>
        <w:jc w:val="center"/>
        <w:rPr>
          <w:rFonts w:ascii="Times New Roman" w:hAnsi="Times New Roman"/>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支出人数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经费支出人数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366</w:t>
            </w:r>
            <w:r>
              <w:rPr>
                <w:rFonts w:hint="eastAsia" w:ascii="方正书宋_GBK" w:eastAsia="方正书宋_GBK"/>
              </w:rPr>
              <w:t>人</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发放完成率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发放人数占总人数的百分比</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完成时期</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完成时期</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年度</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支出金额</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经费支出金额</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687</w:t>
            </w:r>
            <w:r>
              <w:rPr>
                <w:rFonts w:hint="eastAsia" w:ascii="方正书宋_GBK" w:eastAsia="方正书宋_GBK"/>
              </w:rPr>
              <w:t>万元</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保证人员基本生活水平</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保证人员基本生活水平</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保证正常运转</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职工满意度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职工满意人数占总人数百分比</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工作实际</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jc w:val="left"/>
        <w:outlineLvl w:val="3"/>
        <w:rPr>
          <w:rFonts w:ascii="Times New Roman" w:hAnsi="Times New Roman"/>
          <w:bCs/>
          <w:sz w:val="32"/>
          <w:szCs w:val="32"/>
        </w:rPr>
      </w:pPr>
      <w:bookmarkStart w:id="1" w:name="_Toc67213166"/>
      <w:r>
        <w:rPr>
          <w:rFonts w:hint="eastAsia" w:ascii="方正仿宋_GBK" w:eastAsia="方正仿宋_GBK"/>
          <w:bCs/>
          <w:sz w:val="32"/>
          <w:szCs w:val="32"/>
        </w:rPr>
        <w:t>2.2021年中央成品油税费改革转移支付资金绩效目标表</w:t>
      </w:r>
      <w:bookmarkEnd w:id="1"/>
      <w:r>
        <w:rPr>
          <w:rFonts w:ascii="方正仿宋_GBK" w:eastAsia="方正仿宋_GBK"/>
          <w:bCs/>
          <w:vanish/>
          <w:sz w:val="32"/>
          <w:szCs w:val="32"/>
        </w:rPr>
        <w:t xml:space="preserve">{ </w:t>
      </w:r>
      <w:r>
        <w:rPr>
          <w:rFonts w:hint="eastAsia" w:ascii="方正仿宋_GBK" w:eastAsia="方正仿宋_GBK"/>
          <w:bCs/>
          <w:vanish/>
          <w:sz w:val="32"/>
          <w:szCs w:val="32"/>
        </w:rPr>
        <w:t>TC 2、2021年中央成品油税费改革转移支付资金绩效目标表 \f C \l 1</w:t>
      </w:r>
      <w:r>
        <w:rPr>
          <w:rFonts w:ascii="方正仿宋_GBK" w:eastAsia="方正仿宋_GBK"/>
          <w:bCs/>
          <w:vanish/>
          <w:sz w:val="32"/>
          <w:szCs w:val="32"/>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完成公路建设、养护工程任务，完善治超站称重、抓拍系统</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路网结构和公路路况进一步优化和改善，公路通行能力进一步提升</w:t>
            </w:r>
          </w:p>
        </w:tc>
      </w:tr>
    </w:tbl>
    <w:p>
      <w:pPr>
        <w:spacing w:line="14" w:lineRule="exact"/>
        <w:jc w:val="center"/>
        <w:rPr>
          <w:rFonts w:ascii="Times New Roman" w:hAnsi="Times New Roman"/>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检测超限超载车辆</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检测超限超载车辆</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&gt;113</w:t>
            </w:r>
            <w:r>
              <w:rPr>
                <w:rFonts w:hint="eastAsia" w:ascii="方正书宋_GBK" w:eastAsia="方正书宋_GBK"/>
              </w:rPr>
              <w:t>辆</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工程质量合格率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工程质量合格率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完成项目时间</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完成项目时间</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个月</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费用支出</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超限检测专项资金支出</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40</w:t>
            </w:r>
            <w:r>
              <w:rPr>
                <w:rFonts w:hint="eastAsia" w:ascii="方正书宋_GBK" w:eastAsia="方正书宋_GBK"/>
              </w:rPr>
              <w:t>万元</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对经济发展的促进作用</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对经济发展的促进作用</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基本公共服务水平</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基本公共服务水平</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服务群众满意度满意度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服务群众满意程度</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统计数据</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outlineLvl w:val="3"/>
        <w:rPr>
          <w:rFonts w:ascii="Times New Roman" w:hAnsi="Times New Roman"/>
          <w:b/>
          <w:sz w:val="28"/>
        </w:rPr>
      </w:pPr>
      <w:bookmarkStart w:id="2" w:name="_Toc67213167"/>
      <w:r>
        <w:rPr>
          <w:rFonts w:hint="eastAsia" w:ascii="方正仿宋_GBK" w:eastAsia="方正仿宋_GBK"/>
          <w:bCs/>
          <w:sz w:val="32"/>
          <w:szCs w:val="32"/>
        </w:rPr>
        <w:t>3.2021年中央成品油税费改革转移支付资金绩效目标表</w:t>
      </w:r>
      <w:bookmarkEnd w:id="2"/>
      <w:r>
        <w:rPr>
          <w:rFonts w:ascii="方正仿宋_GBK" w:eastAsia="方正仿宋_GBK"/>
          <w:b/>
          <w:vanish/>
          <w:sz w:val="28"/>
        </w:rPr>
        <w:t xml:space="preserve">{ </w:t>
      </w:r>
      <w:r>
        <w:rPr>
          <w:rFonts w:hint="eastAsia" w:ascii="方正仿宋_GBK" w:eastAsia="方正仿宋_GBK"/>
          <w:b/>
          <w:vanish/>
          <w:sz w:val="28"/>
        </w:rPr>
        <w:t>TC 3、2021年中央成品油税费改革转移支付资金绩效目标表 \f C \l 1</w:t>
      </w:r>
      <w:r>
        <w:rPr>
          <w:rFonts w:ascii="方正仿宋_GBK" w:eastAsia="方正仿宋_GBK"/>
          <w:b/>
          <w:vanish/>
          <w:sz w:val="28"/>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按月发放人员工资</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按月上缴各项保险等费用支出</w:t>
            </w:r>
          </w:p>
        </w:tc>
      </w:tr>
    </w:tbl>
    <w:p>
      <w:pPr>
        <w:spacing w:line="14" w:lineRule="exact"/>
        <w:jc w:val="center"/>
        <w:rPr>
          <w:rFonts w:ascii="Times New Roman" w:hAnsi="Times New Roman"/>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工资发放人数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工资发放人数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366</w:t>
            </w:r>
            <w:r>
              <w:rPr>
                <w:rFonts w:hint="eastAsia" w:ascii="方正书宋_GBK" w:eastAsia="方正书宋_GBK"/>
              </w:rPr>
              <w:t>人</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人员出勤率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出勤人数占总人数百分比</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工资按月发放</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工资按月发放</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月</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支出金额</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支出金额</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323</w:t>
            </w:r>
            <w:r>
              <w:rPr>
                <w:rFonts w:hint="eastAsia" w:ascii="方正书宋_GBK" w:eastAsia="方正书宋_GBK"/>
              </w:rPr>
              <w:t>万元</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经费覆盖率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经费覆盖率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受益群众满意人数占总人数百分比</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工作实际</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jc w:val="left"/>
        <w:outlineLvl w:val="3"/>
        <w:rPr>
          <w:rFonts w:ascii="Times New Roman" w:hAnsi="Times New Roman"/>
          <w:bCs/>
          <w:sz w:val="32"/>
          <w:szCs w:val="32"/>
        </w:rPr>
      </w:pPr>
      <w:bookmarkStart w:id="3" w:name="_Toc67213168"/>
      <w:r>
        <w:rPr>
          <w:rFonts w:hint="eastAsia" w:ascii="方正仿宋_GBK" w:eastAsia="方正仿宋_GBK"/>
          <w:bCs/>
          <w:sz w:val="32"/>
          <w:szCs w:val="32"/>
        </w:rPr>
        <w:t>4.2021年度广阳区农村公路日常养护资金项目绩效目标表</w:t>
      </w:r>
      <w:bookmarkEnd w:id="3"/>
      <w:r>
        <w:rPr>
          <w:rFonts w:ascii="方正仿宋_GBK" w:eastAsia="方正仿宋_GBK"/>
          <w:bCs/>
          <w:vanish/>
          <w:sz w:val="32"/>
          <w:szCs w:val="32"/>
        </w:rPr>
        <w:t xml:space="preserve">{ </w:t>
      </w:r>
      <w:r>
        <w:rPr>
          <w:rFonts w:hint="eastAsia" w:ascii="方正仿宋_GBK" w:eastAsia="方正仿宋_GBK"/>
          <w:bCs/>
          <w:vanish/>
          <w:sz w:val="32"/>
          <w:szCs w:val="32"/>
        </w:rPr>
        <w:t>TC 4、2021年度广阳区农村公路日常养护资金项目绩效目标表 \f C \l 1</w:t>
      </w:r>
      <w:r>
        <w:rPr>
          <w:rFonts w:ascii="方正仿宋_GBK" w:eastAsia="方正仿宋_GBK"/>
          <w:bCs/>
          <w:vanish/>
          <w:sz w:val="32"/>
          <w:szCs w:val="32"/>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提高农村公路养护管理水平和路况质量</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打造“畅、安、舒、美”的农村公路通行环境</w:t>
            </w:r>
          </w:p>
        </w:tc>
      </w:tr>
    </w:tbl>
    <w:p>
      <w:pPr>
        <w:spacing w:line="14" w:lineRule="exact"/>
        <w:jc w:val="center"/>
        <w:rPr>
          <w:rFonts w:ascii="Times New Roman" w:hAnsi="Times New Roman"/>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县乡村道日常保洁</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对</w:t>
            </w:r>
            <w:r>
              <w:rPr>
                <w:rFonts w:ascii="方正书宋_GBK" w:eastAsia="方正书宋_GBK"/>
              </w:rPr>
              <w:t>568.53</w:t>
            </w:r>
            <w:r>
              <w:rPr>
                <w:rFonts w:hint="eastAsia" w:ascii="方正书宋_GBK" w:eastAsia="方正书宋_GBK"/>
              </w:rPr>
              <w:t>公里县乡村道路面进行清扫、垃圾进行清理、公路两侧挡墙进行粉刷。</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568.53</w:t>
            </w:r>
            <w:r>
              <w:rPr>
                <w:rFonts w:hint="eastAsia" w:ascii="方正书宋_GBK" w:eastAsia="方正书宋_GBK"/>
              </w:rPr>
              <w:t>公里</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养护质量合格率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日常养护达标率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养护项目当年开工当年完工</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养护项目当年开工当年完工</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县乡村道日常保洁成本</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县乡村道日常保洁成本</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2360</w:t>
            </w:r>
            <w:r>
              <w:rPr>
                <w:rFonts w:hint="eastAsia" w:ascii="方正书宋_GBK" w:eastAsia="方正书宋_GBK"/>
              </w:rPr>
              <w:t>元</w:t>
            </w:r>
            <w:r>
              <w:rPr>
                <w:rFonts w:ascii="方正书宋_GBK" w:eastAsia="方正书宋_GBK"/>
              </w:rPr>
              <w:t>/</w:t>
            </w:r>
            <w:r>
              <w:rPr>
                <w:rFonts w:hint="eastAsia" w:ascii="方正书宋_GBK" w:eastAsia="方正书宋_GBK"/>
              </w:rPr>
              <w:t>公里</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测量计算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有效提升县乡村道整洁率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县乡村道路面干净整洁，路肩无杂草，挡墙干净整洁。</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提升县乡村道整体环境</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有效提升县乡村道整体通行环境，降低粉尘污染，美化道路环境。</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周边群众满意度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周边服务群众满意度</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统计数据</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jc w:val="left"/>
        <w:outlineLvl w:val="3"/>
        <w:rPr>
          <w:rFonts w:ascii="Times New Roman" w:hAnsi="Times New Roman"/>
          <w:bCs/>
          <w:sz w:val="32"/>
          <w:szCs w:val="32"/>
        </w:rPr>
      </w:pPr>
      <w:bookmarkStart w:id="4" w:name="_Toc67213169"/>
      <w:r>
        <w:rPr>
          <w:rFonts w:hint="eastAsia" w:ascii="方正仿宋_GBK" w:eastAsia="方正仿宋_GBK"/>
          <w:bCs/>
          <w:sz w:val="32"/>
          <w:szCs w:val="32"/>
        </w:rPr>
        <w:t>5.抽调人员经费绩效目标表</w:t>
      </w:r>
      <w:bookmarkEnd w:id="4"/>
      <w:r>
        <w:rPr>
          <w:rFonts w:ascii="方正仿宋_GBK" w:eastAsia="方正仿宋_GBK"/>
          <w:bCs/>
          <w:vanish/>
          <w:sz w:val="32"/>
          <w:szCs w:val="32"/>
        </w:rPr>
        <w:t xml:space="preserve">{ </w:t>
      </w:r>
      <w:r>
        <w:rPr>
          <w:rFonts w:hint="eastAsia" w:ascii="方正仿宋_GBK" w:eastAsia="方正仿宋_GBK"/>
          <w:bCs/>
          <w:vanish/>
          <w:sz w:val="32"/>
          <w:szCs w:val="32"/>
        </w:rPr>
        <w:t>TC 5、抽调人员经费绩效目标表 \f C \l 1</w:t>
      </w:r>
      <w:r>
        <w:rPr>
          <w:rFonts w:ascii="方正仿宋_GBK" w:eastAsia="方正仿宋_GBK"/>
          <w:bCs/>
          <w:vanish/>
          <w:sz w:val="32"/>
          <w:szCs w:val="32"/>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按月发放人员工资</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按月上缴各项保险</w:t>
            </w:r>
          </w:p>
        </w:tc>
      </w:tr>
    </w:tbl>
    <w:p>
      <w:pPr>
        <w:spacing w:line="14" w:lineRule="exact"/>
        <w:jc w:val="center"/>
        <w:rPr>
          <w:rFonts w:ascii="Times New Roman" w:hAnsi="Times New Roman"/>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支出人数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经费支出人数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38</w:t>
            </w:r>
            <w:r>
              <w:rPr>
                <w:rFonts w:hint="eastAsia" w:ascii="方正书宋_GBK" w:eastAsia="方正书宋_GBK"/>
              </w:rPr>
              <w:t>人</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发放完成率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发放人数占总人数百分比</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完成时期</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完成时期</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年度</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支出金额</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经费支出金额</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134.4</w:t>
            </w:r>
            <w:r>
              <w:rPr>
                <w:rFonts w:hint="eastAsia" w:ascii="方正书宋_GBK" w:eastAsia="方正书宋_GBK"/>
              </w:rPr>
              <w:t>万元</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保证人员基本生活水平</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保证人员基本生活水平</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保证工作正常运转</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职工满意度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职工满意人数占总人数百分比</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工作实际</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jc w:val="left"/>
        <w:outlineLvl w:val="3"/>
        <w:rPr>
          <w:rFonts w:ascii="Times New Roman" w:hAnsi="Times New Roman"/>
          <w:bCs/>
          <w:sz w:val="32"/>
          <w:szCs w:val="32"/>
        </w:rPr>
      </w:pPr>
      <w:bookmarkStart w:id="5" w:name="_Toc67213170"/>
      <w:r>
        <w:rPr>
          <w:rFonts w:hint="eastAsia" w:ascii="方正仿宋_GBK" w:eastAsia="方正仿宋_GBK"/>
          <w:bCs/>
          <w:sz w:val="32"/>
          <w:szCs w:val="32"/>
        </w:rPr>
        <w:t>6.2021年度广阳区农村公路养护工程资金项目绩效目标表</w:t>
      </w:r>
      <w:bookmarkEnd w:id="5"/>
      <w:r>
        <w:rPr>
          <w:rFonts w:ascii="方正仿宋_GBK" w:eastAsia="方正仿宋_GBK"/>
          <w:bCs/>
          <w:vanish/>
          <w:sz w:val="32"/>
          <w:szCs w:val="32"/>
        </w:rPr>
        <w:t xml:space="preserve">{ </w:t>
      </w:r>
      <w:r>
        <w:rPr>
          <w:rFonts w:hint="eastAsia" w:ascii="方正仿宋_GBK" w:eastAsia="方正仿宋_GBK"/>
          <w:bCs/>
          <w:vanish/>
          <w:sz w:val="32"/>
          <w:szCs w:val="32"/>
        </w:rPr>
        <w:t>TC 6、2021年度广阳区农村公路养护工程资金项目绩效目标表 \f C \l 1</w:t>
      </w:r>
      <w:r>
        <w:rPr>
          <w:rFonts w:ascii="方正仿宋_GBK" w:eastAsia="方正仿宋_GBK"/>
          <w:bCs/>
          <w:vanish/>
          <w:sz w:val="32"/>
          <w:szCs w:val="32"/>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提高农村公路养护管理水平和路况质量</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打造“畅、安、舒、美”的农村公路通行环境</w:t>
            </w:r>
          </w:p>
        </w:tc>
      </w:tr>
    </w:tbl>
    <w:p>
      <w:pPr>
        <w:spacing w:line="14" w:lineRule="exact"/>
        <w:jc w:val="center"/>
        <w:rPr>
          <w:rFonts w:ascii="Times New Roman" w:hAnsi="Times New Roman"/>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县乡村道灌缝处理工程里程</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县乡村道灌缝处理工程里程数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36000</w:t>
            </w:r>
            <w:r>
              <w:rPr>
                <w:rFonts w:hint="eastAsia" w:ascii="方正书宋_GBK" w:eastAsia="方正书宋_GBK"/>
              </w:rPr>
              <w:t>米</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测量统计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养护质量合格率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养护工程达标率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年报统计数据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养护项目当年开工当年完工</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养护项目当年开工当年完工</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年报统计数据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县乡村道灌缝处理工程单价</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县乡村道灌缝处理工程单价</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6.19</w:t>
            </w:r>
            <w:r>
              <w:rPr>
                <w:rFonts w:hint="eastAsia" w:ascii="方正书宋_GBK" w:eastAsia="方正书宋_GBK"/>
              </w:rPr>
              <w:t>元</w:t>
            </w:r>
            <w:r>
              <w:rPr>
                <w:rFonts w:ascii="方正书宋_GBK" w:eastAsia="方正书宋_GBK"/>
              </w:rPr>
              <w:t>/</w:t>
            </w:r>
            <w:r>
              <w:rPr>
                <w:rFonts w:hint="eastAsia" w:ascii="方正书宋_GBK" w:eastAsia="方正书宋_GBK"/>
              </w:rPr>
              <w:t>米</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养护定额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有效延长公路使用寿命</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有效延长公路使用寿命</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提升县乡村道整体环境</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有效提升县乡村道整体通行环境，降低粉尘污染，美化道路环境。</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周边群众满意度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周边服务群众满意度</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统计数据</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jc w:val="left"/>
        <w:outlineLvl w:val="3"/>
        <w:rPr>
          <w:rFonts w:ascii="Times New Roman" w:hAnsi="Times New Roman"/>
          <w:b/>
          <w:sz w:val="28"/>
        </w:rPr>
      </w:pPr>
      <w:bookmarkStart w:id="6" w:name="_Toc67213171"/>
      <w:r>
        <w:rPr>
          <w:rFonts w:hint="eastAsia" w:ascii="方正仿宋_GBK" w:eastAsia="方正仿宋_GBK"/>
          <w:bCs/>
          <w:sz w:val="32"/>
          <w:szCs w:val="32"/>
        </w:rPr>
        <w:t>7.2021年农村公路建设养护发展专项资金绩效目标表</w:t>
      </w:r>
      <w:bookmarkEnd w:id="6"/>
      <w:r>
        <w:rPr>
          <w:rFonts w:ascii="方正仿宋_GBK" w:eastAsia="方正仿宋_GBK"/>
          <w:b/>
          <w:vanish/>
          <w:sz w:val="28"/>
        </w:rPr>
        <w:t xml:space="preserve">{ </w:t>
      </w:r>
      <w:r>
        <w:rPr>
          <w:rFonts w:hint="eastAsia" w:ascii="方正仿宋_GBK" w:eastAsia="方正仿宋_GBK"/>
          <w:b/>
          <w:vanish/>
          <w:sz w:val="28"/>
        </w:rPr>
        <w:t>TC 7、2021年农村公路建设养护发展专项资金绩效目标表 \f C \l 1</w:t>
      </w:r>
      <w:r>
        <w:rPr>
          <w:rFonts w:ascii="方正仿宋_GBK" w:eastAsia="方正仿宋_GBK"/>
          <w:b/>
          <w:vanish/>
          <w:sz w:val="28"/>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广阳区农村公路先养后补专项资金项目主要用于广阳区县级公路绿化改造提升工程。</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引导区级财政将农村公路养护资金列入预算</w:t>
            </w:r>
          </w:p>
        </w:tc>
      </w:tr>
    </w:tbl>
    <w:p>
      <w:pPr>
        <w:spacing w:line="14" w:lineRule="exact"/>
        <w:jc w:val="center"/>
        <w:rPr>
          <w:rFonts w:ascii="Times New Roman" w:hAnsi="Times New Roman"/>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养护资金列入预算比例</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养护资金列入预算比例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养护质量合格率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养护工程达标率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养护项目当年开工当年完工</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w:t>
            </w:r>
            <w:r>
              <w:rPr>
                <w:rFonts w:hint="eastAsia" w:ascii="方正书宋_GBK" w:eastAsia="方正书宋_GBK"/>
              </w:rPr>
              <w:t>月开工至</w:t>
            </w: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月完工</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年年底前</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工程造价</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工程造价</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不高于批准概算</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对社会经济发展的影响</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明显影响经济发展</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明显</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改善交通状况</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改善交通状况</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受益人口满意度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受益人口满意度</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调查统计</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jc w:val="left"/>
        <w:outlineLvl w:val="3"/>
        <w:rPr>
          <w:rFonts w:ascii="Times New Roman" w:hAnsi="Times New Roman"/>
          <w:bCs/>
          <w:sz w:val="32"/>
          <w:szCs w:val="32"/>
        </w:rPr>
      </w:pPr>
      <w:bookmarkStart w:id="7" w:name="_Toc67213172"/>
      <w:r>
        <w:rPr>
          <w:rFonts w:hint="eastAsia" w:ascii="方正仿宋_GBK" w:eastAsia="方正仿宋_GBK"/>
          <w:bCs/>
          <w:sz w:val="32"/>
          <w:szCs w:val="32"/>
        </w:rPr>
        <w:t>8.2021年省级国三及以下排放标准营运中重型柴油货车淘汰奖补资金绩效目标表</w:t>
      </w:r>
      <w:bookmarkEnd w:id="7"/>
      <w:r>
        <w:rPr>
          <w:rFonts w:ascii="方正仿宋_GBK" w:eastAsia="方正仿宋_GBK"/>
          <w:bCs/>
          <w:vanish/>
          <w:sz w:val="32"/>
          <w:szCs w:val="32"/>
        </w:rPr>
        <w:t xml:space="preserve">{ </w:t>
      </w:r>
      <w:r>
        <w:rPr>
          <w:rFonts w:hint="eastAsia" w:ascii="方正仿宋_GBK" w:eastAsia="方正仿宋_GBK"/>
          <w:bCs/>
          <w:vanish/>
          <w:sz w:val="32"/>
          <w:szCs w:val="32"/>
        </w:rPr>
        <w:t>TC 8、2021年省级国三及以下排放标准营运中重型柴油货车淘汰奖补资金绩效目标表 \f C \l 1</w:t>
      </w:r>
      <w:r>
        <w:rPr>
          <w:rFonts w:ascii="方正仿宋_GBK" w:eastAsia="方正仿宋_GBK"/>
          <w:bCs/>
          <w:vanish/>
          <w:sz w:val="32"/>
          <w:szCs w:val="32"/>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按要求淘汰辖区内现有国三及以下排放营运柴油货车</w:t>
            </w:r>
            <w:r>
              <w:rPr>
                <w:rFonts w:ascii="方正书宋_GBK" w:eastAsia="方正书宋_GBK"/>
              </w:rPr>
              <w:t>1510</w:t>
            </w:r>
            <w:r>
              <w:rPr>
                <w:rFonts w:hint="eastAsia" w:ascii="方正书宋_GBK" w:eastAsia="方正书宋_GBK"/>
              </w:rPr>
              <w:t>辆</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按文件要求完成省级国三以及下排放标准营运中重型柴油货车淘汰奖补资金发放</w:t>
            </w:r>
            <w:r>
              <w:rPr>
                <w:rFonts w:ascii="方正书宋_GBK" w:eastAsia="方正书宋_GBK"/>
              </w:rPr>
              <w:t>375.89</w:t>
            </w:r>
            <w:r>
              <w:rPr>
                <w:rFonts w:hint="eastAsia" w:ascii="方正书宋_GBK" w:eastAsia="方正书宋_GBK"/>
              </w:rPr>
              <w:t>万元</w:t>
            </w:r>
          </w:p>
        </w:tc>
      </w:tr>
    </w:tbl>
    <w:p>
      <w:pPr>
        <w:spacing w:line="14" w:lineRule="exact"/>
        <w:jc w:val="center"/>
        <w:rPr>
          <w:rFonts w:ascii="Times New Roman" w:hAnsi="Times New Roman"/>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淘汰数量</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淘汰数量</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1510</w:t>
            </w:r>
            <w:r>
              <w:rPr>
                <w:rFonts w:hint="eastAsia" w:ascii="方正书宋_GBK" w:eastAsia="方正书宋_GBK"/>
              </w:rPr>
              <w:t>辆</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淘汰车辆符合要求</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淘汰车辆符合要求</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按照财务制度按时发放奖补资金</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按照财务制度按时发放奖补资金</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支出金额</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支出金额</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375.89</w:t>
            </w:r>
            <w:r>
              <w:rPr>
                <w:rFonts w:hint="eastAsia" w:ascii="方正书宋_GBK" w:eastAsia="方正书宋_GBK"/>
              </w:rPr>
              <w:t>万元</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公路安全水平</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公路安全水平</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对污染防治的促进作用</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对污染防治的促进作用</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明显</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jc w:val="left"/>
        <w:outlineLvl w:val="3"/>
        <w:rPr>
          <w:rFonts w:ascii="Times New Roman" w:hAnsi="Times New Roman"/>
          <w:bCs/>
          <w:sz w:val="32"/>
          <w:szCs w:val="32"/>
        </w:rPr>
      </w:pPr>
      <w:bookmarkStart w:id="8" w:name="_Toc67213173"/>
      <w:r>
        <w:rPr>
          <w:rFonts w:hint="eastAsia" w:ascii="方正仿宋_GBK" w:eastAsia="方正仿宋_GBK"/>
          <w:bCs/>
          <w:sz w:val="32"/>
          <w:szCs w:val="32"/>
        </w:rPr>
        <w:t>9.2021年中央成品油税费改革转移支付资金绩效目标表</w:t>
      </w:r>
      <w:bookmarkEnd w:id="8"/>
      <w:r>
        <w:rPr>
          <w:rFonts w:ascii="方正仿宋_GBK" w:eastAsia="方正仿宋_GBK"/>
          <w:bCs/>
          <w:vanish/>
          <w:sz w:val="32"/>
          <w:szCs w:val="32"/>
        </w:rPr>
        <w:t xml:space="preserve">{ </w:t>
      </w:r>
      <w:r>
        <w:rPr>
          <w:rFonts w:hint="eastAsia" w:ascii="方正仿宋_GBK" w:eastAsia="方正仿宋_GBK"/>
          <w:bCs/>
          <w:vanish/>
          <w:sz w:val="32"/>
          <w:szCs w:val="32"/>
        </w:rPr>
        <w:t>TC 9、2021年中央成品油税费改革转移支付资金绩效目标表 \f C \l 1</w:t>
      </w:r>
      <w:r>
        <w:rPr>
          <w:rFonts w:ascii="方正仿宋_GBK" w:eastAsia="方正仿宋_GBK"/>
          <w:bCs/>
          <w:vanish/>
          <w:sz w:val="32"/>
          <w:szCs w:val="32"/>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通过实施农村公路养护工程，基本保证农村公路畅通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引导区级财政将农村公路养护资金列入预算</w:t>
            </w:r>
          </w:p>
        </w:tc>
      </w:tr>
    </w:tbl>
    <w:p>
      <w:pPr>
        <w:spacing w:line="14" w:lineRule="exact"/>
        <w:jc w:val="center"/>
        <w:rPr>
          <w:rFonts w:ascii="Times New Roman" w:hAnsi="Times New Roman"/>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养护资金列入预算比例</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养护资金列入预算比例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养护质量合格率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养护工程达标率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养护项目当年开工当年完工</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w:t>
            </w:r>
            <w:r>
              <w:rPr>
                <w:rFonts w:hint="eastAsia" w:ascii="方正书宋_GBK" w:eastAsia="方正书宋_GBK"/>
              </w:rPr>
              <w:t>月开工至</w:t>
            </w: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月完工</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年年底前</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工程造价</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工程造价</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不高于批准概算</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对社会经济发展的影响</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对社会经济发展的影响</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明显</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改善交通状况</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改善交通状况</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受益人口满意度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受益人口满意度</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调查统计</w:t>
            </w:r>
          </w:p>
        </w:tc>
      </w:tr>
    </w:tbl>
    <w:p>
      <w:pPr>
        <w:spacing w:line="300" w:lineRule="exact"/>
        <w:jc w:val="left"/>
        <w:sectPr>
          <w:pgSz w:w="11907" w:h="16839"/>
          <w:pgMar w:top="1984" w:right="1304" w:bottom="1134" w:left="1304" w:header="851" w:footer="992" w:gutter="0"/>
          <w:cols w:space="720" w:num="1"/>
          <w:docGrid w:type="lines" w:linePitch="312" w:charSpace="0"/>
        </w:sectPr>
      </w:pPr>
    </w:p>
    <w:p>
      <w:pPr>
        <w:autoSpaceDE w:val="0"/>
        <w:autoSpaceDN w:val="0"/>
        <w:adjustRightInd w:val="0"/>
        <w:spacing w:line="584" w:lineRule="exact"/>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9"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年，我部门安排政府采购预算411.12万元。具体内容见下表。</w:t>
      </w:r>
    </w:p>
    <w:bookmarkEnd w:id="9"/>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10" w:name="_Toc64920910"/>
      <w:r>
        <w:rPr>
          <w:rFonts w:hint="eastAsia" w:ascii="方正小标宋_GBK" w:eastAsia="方正小标宋_GBK" w:cs="Times New Roman"/>
          <w:sz w:val="32"/>
        </w:rPr>
        <w:t>部门政府采购预算</w:t>
      </w:r>
      <w:bookmarkEnd w:id="10"/>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方正小标宋_GBK" w:cs="Times New Roman"/>
                <w:sz w:val="24"/>
              </w:rPr>
              <w:t>810廊坊市广阳区交通局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r>
              <w:rPr>
                <w:rFonts w:ascii="方正书宋_GBK" w:eastAsia="方正书宋_GBK" w:cs="Times New Roman"/>
                <w:b/>
              </w:rPr>
              <w:t>411.12</w:t>
            </w: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r>
              <w:rPr>
                <w:rFonts w:ascii="方正书宋_GBK" w:eastAsia="方正书宋_GBK" w:cs="Times New Roman"/>
                <w:b/>
              </w:rPr>
              <w:t>411.12</w:t>
            </w:r>
          </w:p>
        </w:tc>
        <w:tc>
          <w:tcPr>
            <w:tcW w:w="1134" w:type="dxa"/>
            <w:shd w:val="clear" w:color="auto" w:fill="auto"/>
            <w:vAlign w:val="center"/>
          </w:tcPr>
          <w:p>
            <w:pPr>
              <w:spacing w:line="300" w:lineRule="exact"/>
              <w:jc w:val="right"/>
              <w:rPr>
                <w:rFonts w:ascii="方正书宋_GBK" w:eastAsia="方正书宋_GBK" w:cs="Times New Roman"/>
                <w:b/>
              </w:rPr>
            </w:pPr>
            <w:r>
              <w:rPr>
                <w:rFonts w:ascii="方正书宋_GBK" w:eastAsia="方正书宋_GBK" w:cs="Times New Roman"/>
                <w:b/>
              </w:rPr>
              <w:t>411.12</w:t>
            </w: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rPr>
                <w:rFonts w:ascii="方正书宋_GBK" w:eastAsia="方正书宋_GBK" w:cs="Times New Roman"/>
              </w:rPr>
            </w:pPr>
            <w:r>
              <w:rPr>
                <w:rFonts w:ascii="方正书宋_GBK" w:eastAsia="方正书宋_GBK" w:cs="Times New Roman"/>
              </w:rPr>
              <w:t>交通系统经费</w:t>
            </w:r>
          </w:p>
        </w:tc>
        <w:tc>
          <w:tcPr>
            <w:tcW w:w="113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8</w:t>
            </w:r>
          </w:p>
        </w:tc>
        <w:tc>
          <w:tcPr>
            <w:tcW w:w="1531"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cs="Times New Roman"/>
              </w:rPr>
              <w:t>台式计算机</w:t>
            </w:r>
          </w:p>
        </w:tc>
        <w:tc>
          <w:tcPr>
            <w:tcW w:w="1531"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cs="Times New Roman"/>
              </w:rPr>
              <w:t>A02010104</w:t>
            </w:r>
          </w:p>
        </w:tc>
        <w:tc>
          <w:tcPr>
            <w:tcW w:w="709" w:type="dxa"/>
            <w:shd w:val="clear" w:color="auto" w:fill="auto"/>
            <w:vAlign w:val="center"/>
          </w:tcPr>
          <w:p>
            <w:pPr>
              <w:spacing w:line="300" w:lineRule="exact"/>
              <w:jc w:val="center"/>
              <w:rPr>
                <w:rFonts w:ascii="方正书宋_GBK" w:eastAsia="方正书宋_GBK" w:cs="Times New Roman"/>
              </w:rPr>
            </w:pPr>
            <w:r>
              <w:rPr>
                <w:rFonts w:ascii="方正书宋_GBK" w:eastAsia="方正书宋_GBK" w:cs="Times New Roman"/>
              </w:rPr>
              <w:t>台</w:t>
            </w:r>
          </w:p>
        </w:tc>
        <w:tc>
          <w:tcPr>
            <w:tcW w:w="9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16</w:t>
            </w:r>
          </w:p>
        </w:tc>
        <w:tc>
          <w:tcPr>
            <w:tcW w:w="9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0.5</w:t>
            </w:r>
          </w:p>
        </w:tc>
        <w:tc>
          <w:tcPr>
            <w:tcW w:w="113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8</w:t>
            </w:r>
          </w:p>
        </w:tc>
        <w:tc>
          <w:tcPr>
            <w:tcW w:w="113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8</w:t>
            </w: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cs="Times New Roman"/>
              </w:rPr>
              <w:t>交通系统经费</w:t>
            </w:r>
          </w:p>
        </w:tc>
        <w:tc>
          <w:tcPr>
            <w:tcW w:w="113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2.4</w:t>
            </w:r>
          </w:p>
        </w:tc>
        <w:tc>
          <w:tcPr>
            <w:tcW w:w="1531"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cs="Times New Roman"/>
              </w:rPr>
              <w:t>便携式计算机</w:t>
            </w:r>
          </w:p>
        </w:tc>
        <w:tc>
          <w:tcPr>
            <w:tcW w:w="1531"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cs="Times New Roman"/>
              </w:rPr>
              <w:t>A02010105</w:t>
            </w:r>
          </w:p>
        </w:tc>
        <w:tc>
          <w:tcPr>
            <w:tcW w:w="709" w:type="dxa"/>
            <w:shd w:val="clear" w:color="auto" w:fill="auto"/>
            <w:vAlign w:val="center"/>
          </w:tcPr>
          <w:p>
            <w:pPr>
              <w:spacing w:line="300" w:lineRule="exact"/>
              <w:jc w:val="center"/>
              <w:rPr>
                <w:rFonts w:ascii="方正书宋_GBK" w:eastAsia="方正书宋_GBK" w:cs="Times New Roman"/>
              </w:rPr>
            </w:pPr>
            <w:r>
              <w:rPr>
                <w:rFonts w:ascii="方正书宋_GBK" w:eastAsia="方正书宋_GBK" w:cs="Times New Roman"/>
              </w:rPr>
              <w:t>台</w:t>
            </w:r>
          </w:p>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4</w:t>
            </w:r>
          </w:p>
        </w:tc>
        <w:tc>
          <w:tcPr>
            <w:tcW w:w="9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0.6</w:t>
            </w:r>
          </w:p>
        </w:tc>
        <w:tc>
          <w:tcPr>
            <w:tcW w:w="113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2.4</w:t>
            </w:r>
          </w:p>
        </w:tc>
        <w:tc>
          <w:tcPr>
            <w:tcW w:w="113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2.4</w:t>
            </w: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cs="Times New Roman"/>
              </w:rPr>
              <w:t>交通系统经费</w:t>
            </w:r>
          </w:p>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0.6</w:t>
            </w:r>
          </w:p>
        </w:tc>
        <w:tc>
          <w:tcPr>
            <w:tcW w:w="1531"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cs="Times New Roman"/>
              </w:rPr>
              <w:t>多功能一体机</w:t>
            </w:r>
          </w:p>
        </w:tc>
        <w:tc>
          <w:tcPr>
            <w:tcW w:w="1531"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cs="Times New Roman"/>
              </w:rPr>
              <w:t>A020204</w:t>
            </w:r>
          </w:p>
        </w:tc>
        <w:tc>
          <w:tcPr>
            <w:tcW w:w="709" w:type="dxa"/>
            <w:shd w:val="clear" w:color="auto" w:fill="auto"/>
            <w:vAlign w:val="center"/>
          </w:tcPr>
          <w:p>
            <w:pPr>
              <w:spacing w:line="300" w:lineRule="exact"/>
              <w:jc w:val="center"/>
              <w:rPr>
                <w:rFonts w:ascii="方正书宋_GBK" w:eastAsia="方正书宋_GBK" w:cs="Times New Roman"/>
              </w:rPr>
            </w:pPr>
            <w:r>
              <w:rPr>
                <w:rFonts w:ascii="方正书宋_GBK" w:eastAsia="方正书宋_GBK" w:cs="Times New Roman"/>
              </w:rPr>
              <w:t>台</w:t>
            </w:r>
          </w:p>
        </w:tc>
        <w:tc>
          <w:tcPr>
            <w:tcW w:w="9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2</w:t>
            </w:r>
          </w:p>
        </w:tc>
        <w:tc>
          <w:tcPr>
            <w:tcW w:w="9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0.3</w:t>
            </w:r>
          </w:p>
        </w:tc>
        <w:tc>
          <w:tcPr>
            <w:tcW w:w="113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0.6</w:t>
            </w:r>
          </w:p>
        </w:tc>
        <w:tc>
          <w:tcPr>
            <w:tcW w:w="113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0.6</w:t>
            </w: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cs="Times New Roman"/>
              </w:rPr>
              <w:t>交通系统经费</w:t>
            </w:r>
          </w:p>
        </w:tc>
        <w:tc>
          <w:tcPr>
            <w:tcW w:w="113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0.9</w:t>
            </w:r>
          </w:p>
        </w:tc>
        <w:tc>
          <w:tcPr>
            <w:tcW w:w="1531"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cs="Times New Roman"/>
              </w:rPr>
              <w:t>喷墨打印机</w:t>
            </w:r>
          </w:p>
        </w:tc>
        <w:tc>
          <w:tcPr>
            <w:tcW w:w="1531"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cs="Times New Roman"/>
              </w:rPr>
              <w:t>A0201060101</w:t>
            </w:r>
          </w:p>
        </w:tc>
        <w:tc>
          <w:tcPr>
            <w:tcW w:w="709" w:type="dxa"/>
            <w:shd w:val="clear" w:color="auto" w:fill="auto"/>
            <w:vAlign w:val="center"/>
          </w:tcPr>
          <w:p>
            <w:pPr>
              <w:spacing w:line="300" w:lineRule="exact"/>
              <w:jc w:val="center"/>
              <w:rPr>
                <w:rFonts w:ascii="方正书宋_GBK" w:eastAsia="方正书宋_GBK" w:cs="Times New Roman"/>
              </w:rPr>
            </w:pPr>
            <w:r>
              <w:rPr>
                <w:rFonts w:ascii="方正书宋_GBK" w:eastAsia="方正书宋_GBK" w:cs="Times New Roman"/>
              </w:rPr>
              <w:t>台</w:t>
            </w:r>
          </w:p>
        </w:tc>
        <w:tc>
          <w:tcPr>
            <w:tcW w:w="9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3</w:t>
            </w:r>
          </w:p>
        </w:tc>
        <w:tc>
          <w:tcPr>
            <w:tcW w:w="9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0.3</w:t>
            </w:r>
          </w:p>
        </w:tc>
        <w:tc>
          <w:tcPr>
            <w:tcW w:w="113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0.9</w:t>
            </w:r>
          </w:p>
        </w:tc>
        <w:tc>
          <w:tcPr>
            <w:tcW w:w="113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0.9</w:t>
            </w: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cs="Times New Roman"/>
              </w:rPr>
              <w:t>交通系统经费</w:t>
            </w:r>
          </w:p>
        </w:tc>
        <w:tc>
          <w:tcPr>
            <w:tcW w:w="113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0.7</w:t>
            </w:r>
          </w:p>
        </w:tc>
        <w:tc>
          <w:tcPr>
            <w:tcW w:w="1531"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cs="Times New Roman"/>
              </w:rPr>
              <w:t>空调机</w:t>
            </w:r>
          </w:p>
        </w:tc>
        <w:tc>
          <w:tcPr>
            <w:tcW w:w="1531"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cs="Times New Roman"/>
              </w:rPr>
              <w:t>A0206180203</w:t>
            </w:r>
          </w:p>
        </w:tc>
        <w:tc>
          <w:tcPr>
            <w:tcW w:w="709" w:type="dxa"/>
            <w:shd w:val="clear" w:color="auto" w:fill="auto"/>
            <w:vAlign w:val="center"/>
          </w:tcPr>
          <w:p>
            <w:pPr>
              <w:spacing w:line="300" w:lineRule="exact"/>
              <w:jc w:val="center"/>
              <w:rPr>
                <w:rFonts w:ascii="方正书宋_GBK" w:eastAsia="方正书宋_GBK" w:cs="Times New Roman"/>
              </w:rPr>
            </w:pPr>
            <w:r>
              <w:rPr>
                <w:rFonts w:ascii="方正书宋_GBK" w:eastAsia="方正书宋_GBK" w:cs="Times New Roman"/>
              </w:rPr>
              <w:t>台</w:t>
            </w:r>
          </w:p>
        </w:tc>
        <w:tc>
          <w:tcPr>
            <w:tcW w:w="9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1</w:t>
            </w:r>
          </w:p>
        </w:tc>
        <w:tc>
          <w:tcPr>
            <w:tcW w:w="9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0.7</w:t>
            </w:r>
          </w:p>
        </w:tc>
        <w:tc>
          <w:tcPr>
            <w:tcW w:w="113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0.7</w:t>
            </w:r>
          </w:p>
        </w:tc>
        <w:tc>
          <w:tcPr>
            <w:tcW w:w="113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0.7</w:t>
            </w: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cs="Times New Roman"/>
              </w:rPr>
              <w:t>交通系统经费</w:t>
            </w:r>
          </w:p>
        </w:tc>
        <w:tc>
          <w:tcPr>
            <w:tcW w:w="113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82.52</w:t>
            </w:r>
          </w:p>
        </w:tc>
        <w:tc>
          <w:tcPr>
            <w:tcW w:w="1531"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cs="Times New Roman"/>
              </w:rPr>
              <w:t>车辆及其他运输机械租赁服务费</w:t>
            </w:r>
          </w:p>
        </w:tc>
        <w:tc>
          <w:tcPr>
            <w:tcW w:w="1531"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cs="Times New Roman"/>
              </w:rPr>
              <w:t>C0403</w:t>
            </w:r>
          </w:p>
        </w:tc>
        <w:tc>
          <w:tcPr>
            <w:tcW w:w="709" w:type="dxa"/>
            <w:shd w:val="clear" w:color="auto" w:fill="auto"/>
            <w:vAlign w:val="center"/>
          </w:tcPr>
          <w:p>
            <w:pPr>
              <w:spacing w:line="300" w:lineRule="exact"/>
              <w:jc w:val="center"/>
              <w:rPr>
                <w:rFonts w:ascii="方正书宋_GBK" w:eastAsia="方正书宋_GBK" w:cs="Times New Roman"/>
              </w:rPr>
            </w:pPr>
            <w:r>
              <w:rPr>
                <w:rFonts w:ascii="方正书宋_GBK" w:eastAsia="方正书宋_GBK" w:cs="Times New Roman"/>
              </w:rPr>
              <w:t>项</w:t>
            </w:r>
          </w:p>
        </w:tc>
        <w:tc>
          <w:tcPr>
            <w:tcW w:w="9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1</w:t>
            </w:r>
          </w:p>
        </w:tc>
        <w:tc>
          <w:tcPr>
            <w:tcW w:w="9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82.52</w:t>
            </w:r>
          </w:p>
        </w:tc>
        <w:tc>
          <w:tcPr>
            <w:tcW w:w="113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82.52</w:t>
            </w:r>
          </w:p>
        </w:tc>
        <w:tc>
          <w:tcPr>
            <w:tcW w:w="113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82.52</w:t>
            </w: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cs="Times New Roman"/>
              </w:rPr>
              <w:t>交通系统经费</w:t>
            </w:r>
          </w:p>
        </w:tc>
        <w:tc>
          <w:tcPr>
            <w:tcW w:w="113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180</w:t>
            </w:r>
          </w:p>
        </w:tc>
        <w:tc>
          <w:tcPr>
            <w:tcW w:w="1531"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cs="Times New Roman"/>
              </w:rPr>
              <w:t>公路工程总承包服务</w:t>
            </w:r>
          </w:p>
        </w:tc>
        <w:tc>
          <w:tcPr>
            <w:tcW w:w="1531"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cs="Times New Roman"/>
              </w:rPr>
              <w:t>C100703</w:t>
            </w:r>
          </w:p>
        </w:tc>
        <w:tc>
          <w:tcPr>
            <w:tcW w:w="709" w:type="dxa"/>
            <w:shd w:val="clear" w:color="auto" w:fill="auto"/>
            <w:vAlign w:val="center"/>
          </w:tcPr>
          <w:p>
            <w:pPr>
              <w:spacing w:line="300" w:lineRule="exact"/>
              <w:jc w:val="center"/>
              <w:rPr>
                <w:rFonts w:ascii="方正书宋_GBK" w:eastAsia="方正书宋_GBK" w:cs="Times New Roman"/>
              </w:rPr>
            </w:pPr>
            <w:r>
              <w:rPr>
                <w:rFonts w:ascii="方正书宋_GBK" w:eastAsia="方正书宋_GBK" w:cs="Times New Roman"/>
              </w:rPr>
              <w:t>项</w:t>
            </w:r>
          </w:p>
        </w:tc>
        <w:tc>
          <w:tcPr>
            <w:tcW w:w="9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1</w:t>
            </w:r>
          </w:p>
        </w:tc>
        <w:tc>
          <w:tcPr>
            <w:tcW w:w="9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180</w:t>
            </w:r>
          </w:p>
        </w:tc>
        <w:tc>
          <w:tcPr>
            <w:tcW w:w="113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180</w:t>
            </w:r>
          </w:p>
        </w:tc>
        <w:tc>
          <w:tcPr>
            <w:tcW w:w="113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180</w:t>
            </w: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984"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cs="Times New Roman"/>
              </w:rPr>
              <w:t>交通系统经费</w:t>
            </w:r>
          </w:p>
        </w:tc>
        <w:tc>
          <w:tcPr>
            <w:tcW w:w="113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136</w:t>
            </w:r>
          </w:p>
        </w:tc>
        <w:tc>
          <w:tcPr>
            <w:tcW w:w="1531"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cs="Times New Roman"/>
              </w:rPr>
              <w:t>公路管理与养护</w:t>
            </w:r>
          </w:p>
        </w:tc>
        <w:tc>
          <w:tcPr>
            <w:tcW w:w="1531"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cs="Times New Roman"/>
              </w:rPr>
              <w:t>C17029902</w:t>
            </w:r>
          </w:p>
        </w:tc>
        <w:tc>
          <w:tcPr>
            <w:tcW w:w="709" w:type="dxa"/>
            <w:shd w:val="clear" w:color="auto" w:fill="auto"/>
            <w:vAlign w:val="center"/>
          </w:tcPr>
          <w:p>
            <w:pPr>
              <w:spacing w:line="300" w:lineRule="exact"/>
              <w:jc w:val="center"/>
              <w:rPr>
                <w:rFonts w:ascii="方正书宋_GBK" w:eastAsia="方正书宋_GBK" w:cs="Times New Roman"/>
              </w:rPr>
            </w:pPr>
            <w:r>
              <w:rPr>
                <w:rFonts w:ascii="方正书宋_GBK" w:eastAsia="方正书宋_GBK" w:cs="Times New Roman"/>
              </w:rPr>
              <w:t>项</w:t>
            </w:r>
          </w:p>
        </w:tc>
        <w:tc>
          <w:tcPr>
            <w:tcW w:w="9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1</w:t>
            </w:r>
          </w:p>
        </w:tc>
        <w:tc>
          <w:tcPr>
            <w:tcW w:w="9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136</w:t>
            </w:r>
          </w:p>
        </w:tc>
        <w:tc>
          <w:tcPr>
            <w:tcW w:w="113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136</w:t>
            </w:r>
          </w:p>
        </w:tc>
        <w:tc>
          <w:tcPr>
            <w:tcW w:w="113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136</w:t>
            </w: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w:t>
      </w:r>
      <w:r>
        <w:rPr>
          <w:rFonts w:ascii="Times New Roman" w:hAnsi="Times New Roman" w:eastAsia="仿宋_GB2312" w:cs="Times New Roman"/>
          <w:sz w:val="32"/>
          <w:szCs w:val="32"/>
        </w:rPr>
        <w:t>交通运输局</w:t>
      </w:r>
      <w:r>
        <w:rPr>
          <w:rFonts w:hint="eastAsia" w:ascii="Times New Roman" w:hAnsi="Times New Roman" w:eastAsia="仿宋_GB2312" w:cs="Times New Roman"/>
          <w:sz w:val="32"/>
          <w:szCs w:val="32"/>
        </w:rPr>
        <w:t>（含所属单位）</w:t>
      </w:r>
      <w:r>
        <w:rPr>
          <w:rFonts w:ascii="Times New Roman" w:hAnsi="Times New Roman" w:eastAsia="仿宋_GB2312" w:cs="Times New Roman"/>
          <w:sz w:val="32"/>
          <w:szCs w:val="32"/>
        </w:rPr>
        <w:t>上年末固定资产金额为406853.34万元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12.6</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主要为计算机设备、打印设备、空调、办公家具等，已列入政府采购预算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w:t>
            </w:r>
            <w:r>
              <w:rPr>
                <w:rFonts w:ascii="Times New Roman" w:hAnsi="Times New Roman" w:eastAsia="仿宋_GB2312" w:cs="Times New Roman"/>
                <w:b/>
                <w:bCs/>
                <w:kern w:val="0"/>
                <w:sz w:val="32"/>
                <w:szCs w:val="32"/>
              </w:rPr>
              <w:t>交通运输局固定资产占用情况表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编制部门：廊坊市广阳区交通运输局</w:t>
            </w:r>
          </w:p>
        </w:tc>
        <w:tc>
          <w:tcPr>
            <w:tcW w:w="5103" w:type="dxa"/>
            <w:tcBorders>
              <w:top w:val="nil"/>
              <w:left w:val="nil"/>
              <w:bottom w:val="nil"/>
              <w:right w:val="nil"/>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406853.34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292818.94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114034.4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19</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rsids>
    <w:rsidRoot w:val="008A60EF"/>
    <w:rsid w:val="003F5F0F"/>
    <w:rsid w:val="00480112"/>
    <w:rsid w:val="008A60EF"/>
    <w:rsid w:val="0B2E655C"/>
    <w:rsid w:val="49326003"/>
    <w:rsid w:val="66E85C11"/>
    <w:rsid w:val="7139659A"/>
    <w:rsid w:val="771E1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1126</Words>
  <Characters>6419</Characters>
  <Lines>53</Lines>
  <Paragraphs>15</Paragraphs>
  <TotalTime>6</TotalTime>
  <ScaleCrop>false</ScaleCrop>
  <LinksUpToDate>false</LinksUpToDate>
  <CharactersWithSpaces>7530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2022-07-08T08:41:07Z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49D4C63489964D6C975F43E75BFC6994</vt:lpwstr>
  </property>
</Properties>
</file>