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rPr>
      </w:pPr>
      <w:bookmarkStart w:id="2" w:name="_GoBack"/>
      <w:r>
        <w:rPr>
          <w:rFonts w:hint="eastAsia" w:ascii="Times New Roman" w:hAnsi="Times New Roman" w:eastAsia="方正小标宋简体" w:cs="Times New Roman"/>
          <w:sz w:val="44"/>
          <w:szCs w:val="44"/>
        </w:rPr>
        <w:t>中共</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广阳区委区直机关工作委员会</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_GB2312" w:hAnsi="仿宋_GB2312" w:eastAsia="仿宋_GB2312" w:cs="仿宋_GB2312"/>
          <w:sz w:val="32"/>
          <w:szCs w:val="32"/>
        </w:rPr>
        <w:t>中共廊坊市广阳区委区直机关工作委员会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根据《中共廊坊市广阳区委区直机关工作委员会职能配置、内设机构和人员编制规定》， 中共廊坊市广阳区委区直机关工作委员会的主要职责是：</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(一）统一组织、规划、部署区直机关党的工作，提出加强和改进机关党的建设的意见和建议，研究制定工作规划，并抓好组织实施。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(二）指导区直机关党的政治建设、思想建设、组织建设、作风建设、纪律建设，把制度建设贯彻其中，深入推进反腐败斗争。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(三）指导区直机关各级党组织和广大党员学习马克思列宁主义、毛泽东思想、邓小平理论、“三个代表”重要思想、科学发展观、习近平新时代中国特色社会主义思想。</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(四）对区直机关各级党组织、党员领导干部落实党建责任制、遵守政治纪律和政治规矩情况进行监督检查，并向区委报告。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(五）指导区直机关各级党组织实施对党员特别是党员领导干部的监督和管理，监督党员领导干部过好双重组织生活。</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(六）督促指导区直机关各部门机关党委按期换届，审批关于召开党员大会或党员代表大会的请示。按照党章和基层党组织选举工作暂行条例规定，负责审批区直机关直属党组织设置及委员会组成。</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(七）指导各级党组织加强基层组织建设，做好党员发展、教育管理等工作。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(八）了解掌握区直机关工作人员的思想状况，指导区直机关各级党组织加强思想政治工作和精神文明建设。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(九）协同有关部门指导、规划、协调、监督区直机关党员干部教育培训工作，组织实施有关党员干部教育培训重点任务。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（十）协助有关部门协调区直机关各部门做好维护稳定等工作。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(十一）完成区委交办的其他任务。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中共廊坊市广阳区委区直机关工作委员会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0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hAnsi="仿宋_GB2312" w:eastAsia="仿宋_GB2312" w:cs="仿宋_GB2312"/>
          <w:sz w:val="32"/>
          <w:szCs w:val="32"/>
        </w:rPr>
        <w:t>中共廊坊市广阳区委区直机关工作委员会机关及所属事业单位的收支包含在部门预算中。</w:t>
      </w:r>
    </w:p>
    <w:p>
      <w:pPr>
        <w:spacing w:line="584" w:lineRule="exact"/>
        <w:ind w:firstLine="64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1、收入说明</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反映本部门当年全部收入。2021年预算收入151.65万元，其中：一般公共预算收入151.65万元，基金预算收入0万元，财政专户核拨收入0万元，其他来源收入0万元。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中共廊坊市广阳区委区直机关工作委员会2021年度部门预算中支出预算的总体情况。2021年支出预算151.65万元，其中基本支出151.65万元，包括</w:t>
      </w:r>
      <w:r>
        <w:rPr>
          <w:rFonts w:ascii="Times New Roman" w:hAnsi="Times New Roman" w:eastAsia="仿宋_GB2312" w:cs="Times New Roman"/>
          <w:sz w:val="32"/>
          <w:szCs w:val="32"/>
        </w:rPr>
        <w:t>人员类项目经费</w:t>
      </w:r>
      <w:r>
        <w:rPr>
          <w:rFonts w:hint="eastAsia" w:ascii="仿宋_GB2312" w:hAnsi="仿宋_GB2312" w:eastAsia="仿宋_GB2312" w:cs="仿宋_GB2312"/>
          <w:sz w:val="32"/>
          <w:szCs w:val="32"/>
        </w:rPr>
        <w:t>130.86万元和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仿宋_GB2312" w:hAnsi="仿宋_GB2312" w:eastAsia="仿宋_GB2312" w:cs="仿宋_GB2312"/>
          <w:sz w:val="32"/>
          <w:szCs w:val="32"/>
        </w:rPr>
        <w:t>20.79万元。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autoSpaceDE w:val="0"/>
        <w:autoSpaceDN w:val="0"/>
        <w:adjustRightInd w:val="0"/>
        <w:spacing w:line="584" w:lineRule="exact"/>
        <w:ind w:firstLine="640" w:firstLineChars="200"/>
        <w:jc w:val="left"/>
        <w:rPr>
          <w:rFonts w:ascii="Times New Roman" w:eastAsia="方正仿宋_GBK"/>
          <w:sz w:val="28"/>
        </w:rPr>
      </w:pPr>
      <w:r>
        <w:rPr>
          <w:rFonts w:hint="eastAsia" w:ascii="仿宋_GB2312" w:hAnsi="仿宋_GB2312" w:eastAsia="仿宋_GB2312" w:cs="仿宋_GB2312"/>
          <w:sz w:val="32"/>
          <w:szCs w:val="32"/>
        </w:rPr>
        <w:t>2021年预算收支安排151.65万元，较2020年预算增加60.97万元，其中：基本支出增加60.97万元，主要为增加人员经费支出、日常公用经费。</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20.79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区直工委</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单位财政拨款“三公”经费预算安排2.19万元。其中，因公出国（境）费0万元；公务用车购置及运维费2.19万元（其中：公务用车购置费为0万元，公务用车运维费2.19万元)；公务接待费0万元。与2020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通过重点推进党员培训教育、区直党建督查、廉政文化宣传以及区直违纪案件审理等工作，全面提升区直机关党建工作水平，促进区直机关及窗口单位作风转变，为区直各项工作的良好推进打牢思想政治基础。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加强区直机关学习型、创新型、服务型党组织建设力度，发挥党建工作的政治优势推动事业发展。</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全年完成区直机关党务干部培训2次，提升区直机关党员政治素质。2、促进党员干部素质提升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进一步提升区直机关党员干部职工践行社会主义核心价值观的能力，提振精神状态，提升服务质量，为提升廊坊软实力夯实基础。</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组织75%以上区直单位党务干部培训2次，持续提升区直机关党员干部整体素质。</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开拓创新工作思路，确保区直机关党建工作提升、作风转变、效能提高。</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年度内对区直单位进行至少3次培训，至少每季度组织一次对区直机关党建的督查。</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进一步推进区直机关作风转变，推进区直机关党风廉政建设和反腐败工作扎实开展。</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年度内开展3次以上廉政教育培训，对80%以上的区直单位进行作风纪律督导，积极审理科级以及下党员违纪案件。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完善制度建设。结合本部门实际情况，制定和完善切实可行的预算绩效管理制度、资金管理办法、工作保障制度等，明确各科室各项工作职责，为全年绩效目标的实现奠定制度基础。在制度执行过程中，不断发现问题，优化制度，切实发挥制度效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2、加强支出管理。实施台账化管理，将全年工作与预算执行相结合，细化各项工作的资金安排。督促各职能科室尽快启动项目、及时支付资金等措施，确保支出进度达标。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3、加强绩效运行监控。按照预算绩效管理制度安排，严格开展绩效运行监控，发现问题及时采取措施，确保绩效目标如期保质实现。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做好绩效评价。按要求认真细化开展上年度部门预算绩效自评和重点评价工作。在评价中发现问题，在评价中挖掘原因，商讨对策。所有问题建立责任清单，及时对照整改，逐步销号。针对已经出现过的问题，及时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5、规范财务资产管理。根据实际情况，定期完善财务管理制度。对已经制度化的管理措施，严格执行，规范资金支出审批程序，加强固定资产登记、使用和报废处置管理，做到支出合理，物尽其用。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6、加强内部监控。加强内部监督制度建设，充分发挥市直纪检监察工委的内部监督职能，加强对绩效运行情况、重大支出决策、资产处置及其他重要经济业务事项的决策和执行进行督导，对会计资料进行内部审计。财务人员每年按期将上年度财务账目报送会计师事务所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7、加强宣传培训调研。根据财务最新规则，定期对本部门人员进行培训，提高本部门职工业务素质，使部门内所有人员懂财务懂绩效，在工作中能够更高效的使用财政资金；加强调研，加强与其他单位的交流学习，汲取优化财政资金配置、提高资金使用效益的方式方法；加大宣传力度，强化预算绩效管理意识，促进预算绩效管理水平进一步提升。</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实际发放数占总发放数的比例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工资按月发放</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工资按月发放</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一周工作日</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保证工作正常运转</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保障工资正常发放，维护社会稳定</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基本维护</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10</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64920910"/>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0"/>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283</w:t>
            </w:r>
            <w:r>
              <w:rPr>
                <w:rFonts w:ascii="方正书宋_GBK" w:eastAsia="方正书宋_GBK" w:cs="Times New Roman"/>
                <w:sz w:val="24"/>
              </w:rPr>
              <w:t>中共廊坊市广阳区委区直机关工作委员会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bookmarkEnd w:id="1"/>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00" w:lineRule="exact"/>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中共廊坊市广阳区委区直机关工作委员会（</w:t>
      </w:r>
      <w:r>
        <w:rPr>
          <w:rFonts w:ascii="宋体" w:hAnsi="宋体" w:cs="宋体"/>
          <w:sz w:val="32"/>
          <w:szCs w:val="32"/>
        </w:rPr>
        <w:t>含所属单位）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5.01</w:t>
      </w:r>
      <w:r>
        <w:rPr>
          <w:rFonts w:ascii="Times New Roman" w:hAnsi="Times New Roman" w:eastAsia="仿宋_GB2312" w:cs="Times New Roman"/>
          <w:sz w:val="32"/>
          <w:szCs w:val="32"/>
        </w:rPr>
        <w:t>万元（详见下表），本年度我部门拟购置固定资产总额为0万元。</w:t>
      </w:r>
    </w:p>
    <w:p>
      <w:pPr>
        <w:spacing w:line="500" w:lineRule="exact"/>
        <w:jc w:val="left"/>
        <w:rPr>
          <w:rFonts w:hint="eastAsia" w:ascii="Times New Roman" w:hAnsi="Times New Roman" w:eastAsia="仿宋_GB2312" w:cs="Times New Roman"/>
          <w:sz w:val="32"/>
          <w:szCs w:val="32"/>
        </w:rPr>
      </w:pPr>
    </w:p>
    <w:p>
      <w:pPr>
        <w:spacing w:line="500" w:lineRule="exact"/>
        <w:jc w:val="left"/>
        <w:rPr>
          <w:rFonts w:hint="eastAsia" w:ascii="Times New Roman" w:hAnsi="Times New Roman" w:eastAsia="仿宋_GB2312" w:cs="Times New Roman"/>
          <w:sz w:val="32"/>
          <w:szCs w:val="32"/>
        </w:rPr>
      </w:pPr>
    </w:p>
    <w:p>
      <w:pPr>
        <w:spacing w:line="500" w:lineRule="exact"/>
        <w:jc w:val="left"/>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中共廊坊市广阳区委区直机关工作委员会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中共廊坊市广阳区委区直机关工作委员会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5.01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0</w:t>
            </w:r>
          </w:p>
        </w:tc>
        <w:tc>
          <w:tcPr>
            <w:tcW w:w="5103"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0</w:t>
            </w:r>
          </w:p>
        </w:tc>
        <w:tc>
          <w:tcPr>
            <w:tcW w:w="5103"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1</w:t>
            </w:r>
          </w:p>
        </w:tc>
        <w:tc>
          <w:tcPr>
            <w:tcW w:w="5103"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0</w:t>
            </w:r>
          </w:p>
        </w:tc>
        <w:tc>
          <w:tcPr>
            <w:tcW w:w="5103"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00" w:lineRule="exact"/>
              <w:ind w:firstLine="560" w:firstLineChars="200"/>
              <w:jc w:val="center"/>
              <w:rPr>
                <w:rFonts w:ascii="Times New Roman" w:eastAsia="方正仿宋_GBK"/>
                <w:sz w:val="28"/>
              </w:rPr>
            </w:pPr>
            <w:r>
              <w:rPr>
                <w:rFonts w:ascii="Times New Roman" w:eastAsia="方正仿宋_GBK"/>
                <w:sz w:val="28"/>
              </w:rPr>
              <w:t>1.91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73E0A"/>
    <w:rsid w:val="0014010B"/>
    <w:rsid w:val="00301F9F"/>
    <w:rsid w:val="00356683"/>
    <w:rsid w:val="003613F3"/>
    <w:rsid w:val="0046139B"/>
    <w:rsid w:val="004637AF"/>
    <w:rsid w:val="004A54AA"/>
    <w:rsid w:val="0072010D"/>
    <w:rsid w:val="00807A76"/>
    <w:rsid w:val="008871EE"/>
    <w:rsid w:val="008B5394"/>
    <w:rsid w:val="008F0EB4"/>
    <w:rsid w:val="00A218C6"/>
    <w:rsid w:val="00B17B32"/>
    <w:rsid w:val="00B80935"/>
    <w:rsid w:val="00D347CC"/>
    <w:rsid w:val="00E27CE3"/>
    <w:rsid w:val="09B93C1B"/>
    <w:rsid w:val="18DC60B9"/>
    <w:rsid w:val="445B68D1"/>
    <w:rsid w:val="48DD0F0F"/>
    <w:rsid w:val="6FE0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655</Words>
  <Characters>3738</Characters>
  <Lines>31</Lines>
  <Paragraphs>8</Paragraphs>
  <TotalTime>14</TotalTime>
  <ScaleCrop>false</ScaleCrop>
  <LinksUpToDate>false</LinksUpToDate>
  <CharactersWithSpaces>4385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2022-07-08T08:47:09Z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7B5AC6EB1B1E48C480CE72A12AA4EC61</vt:lpwstr>
  </property>
</Properties>
</file>