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广阳区文化广电和旅游局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00"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（一）贯彻执行党和国家文化、广电、旅游和文物工作方针政策和法律法规。研究拟订全区文化、广电、旅游和文物政策措施。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（二）拟订全区文化事业、旅游产业、广播电视、文物领域发展规划并组织实施，加快文化和旅游融合发展，推进文化、广电、旅游和文物体制机制改革。</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（三）管理全区性重大文化活动。指导全区重点文化设施建设，组织广阳旅游整体形象推广，促进文化和旅游产业对外合作和国际市场推广，制定全区旅游市场开发营销战略并组织实施，指导推进全域旅游。</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（四）指导、管理全区文艺事业。指导艺术创作生产，扶持体现社会主义核心价值观、具有导向性代表性示范性的文艺作品，推动全区各门类艺术、各艺术品种发展。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（五）负责全区公共文化事业发展。推进全区文化、旅游和广播电视公共服务体系建设；深入实施文化惠民工程，统筹推进全区基本公共文化服务标准化、均等化。</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（六）指导推进全区文化、旅游行业信息化、标准化建设，推进广播电视科技创新发展。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（七）负责全区非物质文化遗产保护，推动非物质文化遗产的保护、传承、普及、弘扬和振兴。</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（八）统筹规划全区文化产业和旅游产业。组织实施文化和旅游资源普查、挖掘、保护和利用工作，促进文化产业和旅游产业发展。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（九）指导全区文化、广电和旅游市场发展。对文化、旅游和广播电视市场经营进行行业监管，推进全市文化、旅游和广播电视行业信用体系建设，依法规范文化、旅游和广播电视市场。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指导协调广播电视全区性重大宣传活动。负责对全区各类广播电视机构进行业务指导和行业监管，监管全区广播电视节目、网络视听节目和公共视听载体播放的视听节目，会同有关部门对全区网络视听节目服务机构进行管理，指导、监管全区广播电视广告播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一）指导和监管全区广播电视重点基础设施建设。指导、推进全区广播电视领域体制机制改革。组织实施全区广播电视公共服务重大公益工程和公益活动，负责推进广播电视与新媒体新技术新业态融合发展，推进广电网与电信网、互联网三网融合，促进智慧广电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（十二）负责对全区广播电视节目传输覆盖、监听、监看、监测的监管，推进全区应急广播体系建设，监管协调调度全区广播电视安全播出。负责全区广播电视统计工作。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（十三）指导全区文化市场综合执法。指导查处全区性文化、文物、广播电视、旅游市场以及文物保护领域的违法行为，做好案件查办工作，维护市场秩序。</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四）指导、管理全区文化、旅游、广播电视、文物领域对外交流、合作和宣传、推广工作。代表区政府签订对外文化和旅游合作协定，组织大型文化和旅游对外及对港澳台交流活动，推动中华文化和廊坊特色文化走出去。</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（十五）负责全区文物资源的调查、勘探、发掘工作；组织、协调全区文物保护和考古项目的实施工作；组织指导文物保护宣传工作；拟订文物保护制度和办法并负责督促检查；协调和指导文物保护工作。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（十六）完成区委、区政府交办的其他任务。</w:t>
      </w:r>
    </w:p>
    <w:p>
      <w:pPr>
        <w:spacing w:line="584" w:lineRule="exact"/>
        <w:ind w:firstLine="643" w:firstLineChars="200"/>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3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3"/>
        <w:gridCol w:w="3015"/>
        <w:gridCol w:w="1605"/>
        <w:gridCol w:w="3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单位名称</w:t>
            </w:r>
          </w:p>
        </w:tc>
        <w:tc>
          <w:tcPr>
            <w:tcW w:w="3015"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单位性质</w:t>
            </w:r>
          </w:p>
        </w:tc>
        <w:tc>
          <w:tcPr>
            <w:tcW w:w="1605"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单位规格</w:t>
            </w:r>
          </w:p>
        </w:tc>
        <w:tc>
          <w:tcPr>
            <w:tcW w:w="3761"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3015"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605"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3761"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廊坊市广阳区文化广电和旅游局</w:t>
            </w:r>
          </w:p>
        </w:tc>
        <w:tc>
          <w:tcPr>
            <w:tcW w:w="3015"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行政单位</w:t>
            </w:r>
          </w:p>
        </w:tc>
        <w:tc>
          <w:tcPr>
            <w:tcW w:w="1605"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正科级</w:t>
            </w:r>
          </w:p>
        </w:tc>
        <w:tc>
          <w:tcPr>
            <w:tcW w:w="3761"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财务拨款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廊坊市广阳区群众艺术馆</w:t>
            </w:r>
          </w:p>
        </w:tc>
        <w:tc>
          <w:tcPr>
            <w:tcW w:w="3015" w:type="dxa"/>
            <w:shd w:val="clear" w:color="auto" w:fill="auto"/>
            <w:vAlign w:val="center"/>
          </w:tcPr>
          <w:p>
            <w:pPr>
              <w:widowControl/>
              <w:spacing w:line="570" w:lineRule="exact"/>
              <w:jc w:val="center"/>
              <w:rPr>
                <w:rFonts w:ascii="仿宋" w:eastAsia="仿宋" w:cs="仿宋"/>
                <w:kern w:val="0"/>
                <w:sz w:val="32"/>
                <w:szCs w:val="32"/>
                <w:highlight w:val="yellow"/>
              </w:rPr>
            </w:pPr>
            <w:r>
              <w:rPr>
                <w:rFonts w:hint="eastAsia" w:ascii="仿宋" w:eastAsia="仿宋" w:cs="仿宋"/>
                <w:kern w:val="0"/>
                <w:sz w:val="32"/>
                <w:szCs w:val="32"/>
              </w:rPr>
              <w:t>全额事业单位</w:t>
            </w:r>
          </w:p>
        </w:tc>
        <w:tc>
          <w:tcPr>
            <w:tcW w:w="1605"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正股级</w:t>
            </w:r>
          </w:p>
        </w:tc>
        <w:tc>
          <w:tcPr>
            <w:tcW w:w="3761"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ascii="仿宋_GB2312" w:eastAsia="仿宋_GB2312" w:cs="宋体"/>
                <w:kern w:val="0"/>
                <w:sz w:val="32"/>
                <w:szCs w:val="32"/>
              </w:rPr>
            </w:pPr>
            <w:r>
              <w:rPr>
                <w:rFonts w:hint="eastAsia" w:ascii="仿宋" w:eastAsia="仿宋" w:cs="仿宋"/>
                <w:kern w:val="0"/>
                <w:sz w:val="32"/>
                <w:szCs w:val="32"/>
              </w:rPr>
              <w:t>廊坊市广阳区公共图书馆</w:t>
            </w:r>
          </w:p>
        </w:tc>
        <w:tc>
          <w:tcPr>
            <w:tcW w:w="3015" w:type="dxa"/>
            <w:shd w:val="clear" w:color="auto" w:fill="auto"/>
            <w:vAlign w:val="center"/>
          </w:tcPr>
          <w:p>
            <w:pPr>
              <w:widowControl/>
              <w:spacing w:line="570" w:lineRule="exact"/>
              <w:jc w:val="center"/>
              <w:rPr>
                <w:rFonts w:ascii="仿宋_GB2312" w:eastAsia="仿宋_GB2312" w:cs="宋体"/>
                <w:kern w:val="0"/>
                <w:sz w:val="32"/>
                <w:szCs w:val="32"/>
                <w:highlight w:val="yellow"/>
              </w:rPr>
            </w:pPr>
            <w:r>
              <w:rPr>
                <w:rFonts w:hint="eastAsia" w:ascii="仿宋" w:eastAsia="仿宋" w:cs="仿宋"/>
                <w:kern w:val="0"/>
                <w:sz w:val="32"/>
                <w:szCs w:val="32"/>
              </w:rPr>
              <w:t>全额事业单位</w:t>
            </w:r>
          </w:p>
        </w:tc>
        <w:tc>
          <w:tcPr>
            <w:tcW w:w="1605" w:type="dxa"/>
            <w:shd w:val="clear" w:color="auto" w:fill="auto"/>
            <w:vAlign w:val="center"/>
          </w:tcPr>
          <w:p>
            <w:pPr>
              <w:widowControl/>
              <w:spacing w:line="570" w:lineRule="exact"/>
              <w:jc w:val="center"/>
              <w:rPr>
                <w:rFonts w:ascii="仿宋_GB2312" w:eastAsia="仿宋_GB2312" w:cs="宋体"/>
                <w:kern w:val="0"/>
                <w:sz w:val="32"/>
                <w:szCs w:val="32"/>
              </w:rPr>
            </w:pPr>
            <w:r>
              <w:rPr>
                <w:rFonts w:hint="eastAsia" w:ascii="仿宋" w:eastAsia="仿宋" w:cs="仿宋"/>
                <w:kern w:val="0"/>
                <w:sz w:val="32"/>
                <w:szCs w:val="32"/>
              </w:rPr>
              <w:t>正股级</w:t>
            </w:r>
          </w:p>
        </w:tc>
        <w:tc>
          <w:tcPr>
            <w:tcW w:w="3761" w:type="dxa"/>
            <w:shd w:val="clear" w:color="auto" w:fill="auto"/>
            <w:vAlign w:val="center"/>
          </w:tcPr>
          <w:p>
            <w:pPr>
              <w:widowControl/>
              <w:spacing w:line="570" w:lineRule="exact"/>
              <w:jc w:val="center"/>
              <w:rPr>
                <w:rFonts w:ascii="仿宋_GB2312" w:eastAsia="仿宋_GB2312" w:cs="宋体"/>
                <w:kern w:val="0"/>
                <w:sz w:val="32"/>
                <w:szCs w:val="32"/>
              </w:rPr>
            </w:pPr>
            <w:r>
              <w:rPr>
                <w:rFonts w:hint="eastAsia" w:ascii="仿宋" w:eastAsia="仿宋" w:cs="仿宋"/>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廊坊市广阳区电影发行放映公司</w:t>
            </w:r>
          </w:p>
        </w:tc>
        <w:tc>
          <w:tcPr>
            <w:tcW w:w="3015"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自收自支事业单位</w:t>
            </w:r>
          </w:p>
        </w:tc>
        <w:tc>
          <w:tcPr>
            <w:tcW w:w="1605" w:type="dxa"/>
            <w:shd w:val="clear" w:color="auto" w:fill="auto"/>
            <w:vAlign w:val="center"/>
          </w:tcPr>
          <w:p>
            <w:pPr>
              <w:widowControl/>
              <w:spacing w:line="570" w:lineRule="exact"/>
              <w:jc w:val="center"/>
              <w:rPr>
                <w:rFonts w:ascii="仿宋" w:eastAsia="仿宋" w:cs="仿宋"/>
                <w:kern w:val="0"/>
                <w:sz w:val="32"/>
                <w:szCs w:val="32"/>
              </w:rPr>
            </w:pPr>
            <w:r>
              <w:rPr>
                <w:rFonts w:hint="eastAsia" w:ascii="仿宋" w:eastAsia="仿宋" w:cs="仿宋"/>
                <w:kern w:val="0"/>
                <w:sz w:val="32"/>
                <w:szCs w:val="32"/>
              </w:rPr>
              <w:t>正股级</w:t>
            </w:r>
          </w:p>
        </w:tc>
        <w:tc>
          <w:tcPr>
            <w:tcW w:w="3761" w:type="dxa"/>
            <w:shd w:val="clear" w:color="auto" w:fill="auto"/>
            <w:vAlign w:val="center"/>
          </w:tcPr>
          <w:p>
            <w:pPr>
              <w:widowControl/>
              <w:spacing w:line="570" w:lineRule="exact"/>
              <w:jc w:val="center"/>
              <w:rPr>
                <w:rFonts w:ascii="仿宋" w:eastAsia="仿宋" w:cs="仿宋"/>
                <w:sz w:val="32"/>
                <w:szCs w:val="32"/>
              </w:rPr>
            </w:pPr>
            <w:r>
              <w:rPr>
                <w:rFonts w:hint="eastAsia" w:ascii="仿宋" w:eastAsia="仿宋" w:cs="仿宋"/>
                <w:sz w:val="32"/>
                <w:szCs w:val="32"/>
              </w:rPr>
              <w:t>财政性资金零补助</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1109.4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1109.4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1109.4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811.54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771.01</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40.53</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297.86</w:t>
      </w:r>
      <w:r>
        <w:rPr>
          <w:rFonts w:ascii="Times New Roman" w:hAnsi="Times New Roman" w:eastAsia="仿宋_GB2312" w:cs="Times New Roman"/>
          <w:sz w:val="32"/>
          <w:szCs w:val="32"/>
        </w:rPr>
        <w:t>万元，主要为</w:t>
      </w:r>
      <w:r>
        <w:rPr>
          <w:rFonts w:hint="c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免费开放区级配套资金、电影公司职工保险及生活补助、提前下达</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年公共文化服务体系建设市级补助资金等支出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1109.4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减少88.59万</w:t>
      </w:r>
      <w:r>
        <w:rPr>
          <w:rFonts w:ascii="Times New Roman" w:hAnsi="Times New Roman" w:eastAsia="仿宋_GB2312" w:cs="Times New Roman"/>
          <w:sz w:val="32"/>
          <w:szCs w:val="32"/>
        </w:rPr>
        <w:t>元，其中：基本支出增</w:t>
      </w:r>
      <w:r>
        <w:rPr>
          <w:rFonts w:hint="eastAsia" w:ascii="Times New Roman" w:hAnsi="Times New Roman" w:eastAsia="仿宋_GB2312" w:cs="Times New Roman"/>
          <w:sz w:val="32"/>
          <w:szCs w:val="32"/>
        </w:rPr>
        <w:t>加53.65</w:t>
      </w:r>
      <w:r>
        <w:rPr>
          <w:rFonts w:ascii="Times New Roman" w:hAnsi="Times New Roman" w:eastAsia="仿宋_GB2312" w:cs="Times New Roman"/>
          <w:sz w:val="32"/>
          <w:szCs w:val="32"/>
        </w:rPr>
        <w:t>万元，主要为增</w:t>
      </w:r>
      <w:r>
        <w:rPr>
          <w:rFonts w:hint="eastAsia" w:ascii="Times New Roman" w:hAnsi="Times New Roman" w:eastAsia="仿宋_GB2312" w:cs="Times New Roman"/>
          <w:sz w:val="32"/>
          <w:szCs w:val="32"/>
        </w:rPr>
        <w:t>加人员经费的</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减少142.24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减少了上级财政提前转移支付的</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40.53</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文化方面。继续开展好两节文化活动、民俗文化艺术节、青少年文化艺术节、戏曲下乡等文化惠民演出活动，以群众喜闻乐见的艺术形式不断满足人民群众的文化需求；积极配合市级做好公共文化服务体系建设工作，落实好我区的各项指标任务；大力推进群艺馆、图书馆总分馆制建设，依托区级两馆、文化站等基层公共文化设施，不断提高公共文化服务水平和效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旅游方面。一是指导和推进新朝阳文旅综合体、伊尔假日汤泉创建A级旅游景区。二是充分发挥我区乡村旅游示范创建的带头作用，发动指导旅游基础条件好的工（农）业企业和村落积极参加申报创建市级工（农）业旅游示范点和市级乡村旅游示范村。三是按照《河北省旅游厕所建设管理新三年行动计划（2018-2020）》要求，根据全区旅游厕所建设管理三年行动计划，我局按照工作任务开展旅游厕所建设管理行动，2020年计划建设旅游厕所10座，争取省、市级旅游公共服务设施资金支持，着力解决“找厕难”问题，确保将“厕所革命”引向深入、落到实处。四是召开2020年广阳区文化旅游产业发展大会。在成功举办2019广阳区首届文旅产业发展大会的基础上，召开2020年广阳区文化旅游产业发展大会，以乡村振兴和产业结构调整为立足点，实现以会促建，以会促产，以会促品，推动文化和旅游产业深度融合，扩大广阳在京津冀的区域影响力，推动实现创新发展、绿色发展、高质</w:t>
      </w:r>
      <w:r>
        <w:rPr>
          <w:rFonts w:hint="eastAsia" w:ascii="Times New Roman" w:hAnsi="Times New Roman" w:eastAsia="仿宋_GB2312" w:cs="Times New Roman"/>
          <w:sz w:val="32"/>
          <w:szCs w:val="32"/>
          <w:lang w:eastAsia="zh-CN"/>
        </w:rPr>
        <w:t>量</w:t>
      </w:r>
      <w:r>
        <w:rPr>
          <w:rFonts w:ascii="Times New Roman" w:hAnsi="Times New Roman" w:eastAsia="仿宋_GB2312" w:cs="Times New Roman"/>
          <w:sz w:val="32"/>
          <w:szCs w:val="32"/>
        </w:rPr>
        <w:t>发展，为建设经济强区做出新贡献。</w:t>
      </w:r>
      <w:bookmarkStart w:id="18" w:name="_GoBack"/>
      <w:bookmarkEnd w:id="18"/>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文化市场管理方面。一是继续严查政治性非法出版物。始终保持高度政治敏感性，无论何时发现此类出版物，必须追根溯源，一查到底，坚决予以打击。二是加大监管力度。对文化广电和旅游市场加大日常监管执法力度，重点排查辖区网吧、歌舞、游艺娱乐等公众聚集文化经营场所，查找场所在经营管理、消防安全等方面的死角和漏洞，及时预防并排除苗头性、倾向性问题。深入推进本行业领域安全生产“双控”机制建设，在生产经营单位全面建立制度健全、职责明晰、运行规范、管控有效的“双控”机制，形成生产经营单位“风险自查、隐患自改、责任自负”的工作模式，把风险控制在隐患形成之前，把隐患消灭在事故发生之前，全面提升生产经营单位安全生产管理水平，确保本行业领域安全生产形势稳定。三是组织安全生产培训活动。每年至少举办一次文广旅系统的安全生产培训会，并传达相关部门的文件及工作要求，督导企业制定实施。四是提高业务能力。加强执法人员的自身学习、熟悉掌握文化市场的法律法规，钻研业务，提高每个同志的政策、业务水平。</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文化艺术管理主要是管理和指导全区文化建设，推进文化发展环境能力建设，提供公共文化服务、文化艺术资源建设和文化艺术生产，使文化发展环境健康向上，文化发展能力不断增强，文化艺术资源丰富，公共文化服务和文化艺术生产水平不断提高，河北文化影响力日益扩大。主要通过送公益流动文化服务进基层完成率、公共文化场馆免费率和文化设施达标率三项绩效指标，使公共文化设施达标，机构和队伍健全，实现公共文化资源共享，形成城乡一体公共文化服务网络；公共文化产品生产和服务能力提高，基本公共文化服务标准化、均等化水平不断提高。全年送公益流动文化服务进基层完成率优秀达到100%；公共文化场馆免费率优秀大于等于90%；文化设施达标率优秀大于等于90%。</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文化宣传交流是指导、组织区优秀文化产品、服务和品牌活动宣传推介；组织全县对外文化交流活动。使对外文化交流档次和水平提升，对外文化贸易不断发展，我省文化国内国际影响力扩大。主要通过实际组织推介申报占应申报推介的比重、推介和获奖项目媒体宣传率和推介成功率和获奖率三项绩效指标，推动更多文化项目入选世界、国家名录和扶持项目；推动更多文化项目取得大赛名次和被认知；提高县文化的影响力。全年实际组织推介申报占应申报推介的比重、推介和获奖项目媒体宣传率和推介成功率和获奖率三项绩效指标优秀达到100%。</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文化保护和旅游发展规划是指导、组织开展文化保护工作；组织实施优秀民族文化的传承普及工作；维护国家文化安全。策划、推广全区旅游产品及旅游线路，开展国内外旅游市场促销工作，指导支持旅游市场开发工作。构建健全的文化保护体系，文化保护工作得到全面加强，优秀文化得到传承和发扬。通过旅游市场开发推广及交流合作，有效提高知名度、美誉度和影响力，吸引更多游客来旅游。主要通过项目完工率、展示和传承优秀项目占比率、濒危和重点项目有效保护覆盖率、工程完工率、工程验收合格率、综合利用率、新建和改建旅游厕所质量达标率、受益群体满意度等绩效指标，使得珍贵、濒危的非物质文化遗产得到有效抢救和保护，优秀特色文化得到传承和发扬。对全区旅游公共服务设施建设考察、验收，有效提高全区旅游规划目标，对省、市旅游专项资金进行合理分配、发放，完成其他旅游领域发展目标，提高游客满意度。全年项目完工率优秀大于等于85%；展示和传承优秀项目占比率优秀率大于等于60%；濒危和重点项目有效保护覆盖率优秀大于等于90%；工程完工率优秀达到100%；工程验收合格率优秀达到100%；综合利用率优秀大于等于90%；、新建和改建旅游厕所质量达标率优秀达到100%；、受益群体满意度大于等于90%。</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文化政务管理是负责系统综合业务管理和机关综合事务管理。确保各项业务工作谋划到位、顺利开展。保障机关工作正常高效运转。主要通过综合业务管理工作完成率、市场秩序状况达标率、违规违法查处案件完成率、行政管理工作目标达标率、综合事务管理工作完成率和专项业务工作组织管理目标达标率这几项绩效指标，拟定全区文化艺术方面有关发展规划、政策制度，开展调查研究，履行文化市场监管职责，开展文化宣传、保护等业务管理工作。改善文化管理和发展硬件、软件水平；加强文化队伍和艺术教育建设；加快文化科研和信息化建设，保障机关运转。确保各项业务工作谋划到位、顺利开展。保障机关工作正常高效运转。全年综合业务管理工作完成率、市场秩序状况达标率、违规违法查处案件完成率、行政管理工作目标达标率、综合事务管理工作完成率和专项业务工作组织管理目标达标率这几项绩效指标优秀达到100%。</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广电管理和产业发展拟订全区文化产业政策和发展规划并组织实施；指导、促进文化产业相关门类及新型业态发展；推动全区文化产业投融资体系建设；指导全区文化产业园区、基地建设。指导文化产业科研工作及成果推广；组织协调全区文化行业信息化、标准化工作；指导全区文化产业装备技术提升。负责全区“文化+”相关工作，促进文化与旅游等相关产业融合发展；承担全区文化产业调研与统计工作。拟订全区广播电视传输覆盖网和监测监管网的规划并推进建设；指导协调广播电视重大宣传活动及重大突发事件报道和应急播报；指导、监管全区广播电视安全播出工作和设施保护工作；指导推进全区应急广播体系建设；指导、监督电视动画片的制作与播出；指导、监督管理广播电视广告播放及影视文艺节目统一供片工作；对广播电视公益广告创作、制作、播出进行管理；协调推进三网融合，推进广播电视与新媒体技术新业态创新融合发展；协调推进广播电视公共服务均等化和城乡一体化发展，组织监督全区广播电视“户户通”工程；对信息网络和公共载体传播的视听节目进行监管，承担节目应急处置工作；负责全区广播电视统计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旅游管理拟订全区旅游公共服务政策及公共旅游事业发展规划并组织实施；拟订全区旅游公共服务标准并监督实施；拟订全区旅游产业政策和发展规划并组织实施。指导、促进旅游产业相关门类及新型业态发展；推动全区旅游产业投融资体系建设；促进旅游、文化与相关产业融合发展；指导全区旅游产业项目建设；组织协调全区旅游行业信息化、标准化工作；指导全区旅游装备技术提升；指导全区旅游行业职业教育工作。承担全区旅游资源普查、规划、开发和保护；负责全区乡村旅游发展工作；指导、推进全区全域旅游示范区、旅游度假区创建工作；指导全区重点旅游区域、目的地、线路的规划工作；指导全区旅游产品创新及开发体系建设。指导文化公园建设；承担红色旅游相关工作。指导、管理、协调、组织旅游对外宣传、交流、合作。负责全区性旅游统计工作。工程完工率优秀达到100%；工程验收合格率优秀达到100%；综合利用率优秀大于等于90%；新建和改建旅游厕所质量达标率优秀达到100%；受益群体满意度优秀大于等于90%。</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加强组织领导。强化领导班子和文体局内部各部门之间的分工合作，加大对全区文化、体育、旅游工作的统筹和指导力度。建立健全局党组统一领导、部门单位分工负责的工作机制，从而形成合力，共同推动各项工作的实施。</w:t>
      </w:r>
    </w:p>
    <w:p>
      <w:pPr>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落实投入资金。充分发挥政府在公共文化建设中的主导作用，建立公共文化、体育、旅游设施建设的刚性投入机制，为文化设施建设和文化活动开展提供财力保障。将公共文化、体育、旅游基础设施的建设以及维护、管理资金，列入基本建设投资计划和财政预算，对各建设项目进行分解，明确责任主体、落实建设经费。</w:t>
      </w:r>
    </w:p>
    <w:p>
      <w:pPr>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3、建立反馈机制。建立以群众需求为导向的动态评价和反馈机制，使公共文化围绕群众需要提供服务、根据</w:t>
      </w:r>
      <w:bookmarkStart w:id="1" w:name="baidusnap4"/>
      <w:bookmarkEnd w:id="1"/>
      <w:r>
        <w:rPr>
          <w:rFonts w:hint="eastAsia" w:ascii="仿宋_GB2312" w:hAnsi="Times New Roman" w:eastAsia="仿宋_GB2312" w:cs="Times New Roman"/>
          <w:sz w:val="32"/>
          <w:szCs w:val="32"/>
        </w:rPr>
        <w:t>群众评价改进服务，从而不断提升公共文化服务的针对性、吸引力和满意度，最大限度地发挥其公共文化服务职能。</w:t>
      </w:r>
    </w:p>
    <w:p>
      <w:pPr>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4、强化目标考核。将文化、体育、旅游工作的总体任务进行分解并纳入年度目标考核，使各部门进一步落实工作责任，明确工作任务、进度时间，确保按计划、按目标完成各项工作。对于完成较好、提前完成并通过检查验收的给予奖励，对于工作推动落实不力的，予以通报。 </w:t>
      </w:r>
    </w:p>
    <w:p>
      <w:pPr>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5、支持产业发展。找准广阳文化、体育、旅游产业定位和发展方向，主动接受和吸收京津产业的辐射和转移，发挥自身优势，借力首都资源，形成既具有广阳特色又具有现代水准的产业发展格局。</w:t>
      </w:r>
    </w:p>
    <w:p>
      <w:pPr>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6、加强队伍建设。一是建立和完善奖励激励机制，调动文体旅游工作者的积极性，二是在各类工程建设中注重引进人才来广阳创业，三是加强文化辅导和培训，建设一支懂经营、会管理的复合型人才队伍。</w:t>
      </w:r>
    </w:p>
    <w:p>
      <w:pPr>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7、营造良好氛围。积极采取专项治理、行业自治、社会监督等有效措施，加大文化、新闻出版市场整顿规范工作的力度，促进其健康有序发展，营造良好的社会文化环境。</w:t>
      </w:r>
    </w:p>
    <w:p>
      <w:pPr>
        <w:spacing w:line="500" w:lineRule="exact"/>
        <w:ind w:firstLine="643" w:firstLineChars="200"/>
        <w:jc w:val="left"/>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专项资金绩效目标</w:t>
      </w:r>
    </w:p>
    <w:p>
      <w:pPr>
        <w:ind w:firstLine="562" w:firstLineChars="200"/>
        <w:jc w:val="left"/>
        <w:outlineLvl w:val="1"/>
        <w:rPr>
          <w:rFonts w:ascii="方正仿宋_GBK" w:eastAsia="方正仿宋_GBK"/>
          <w:b/>
          <w:sz w:val="28"/>
        </w:rPr>
      </w:pPr>
      <w:r>
        <w:rPr>
          <w:rFonts w:hint="eastAsia" w:ascii="方正仿宋_GBK" w:eastAsia="方正仿宋_GBK"/>
          <w:b/>
          <w:sz w:val="28"/>
        </w:rPr>
        <w:t>1、</w:t>
      </w:r>
      <w:r>
        <w:rPr>
          <w:rFonts w:ascii="方正仿宋_GBK" w:eastAsia="方正仿宋_GBK"/>
          <w:b/>
          <w:sz w:val="28"/>
        </w:rPr>
        <w:t xml:space="preserve"> </w:t>
      </w:r>
      <w:r>
        <w:rPr>
          <w:rFonts w:hint="eastAsia" w:ascii="方正仿宋_GBK" w:eastAsia="方正仿宋_GBK"/>
          <w:b/>
          <w:sz w:val="28"/>
        </w:rPr>
        <w:t>“三馆一站”免费开放区级配套资金绩效目标表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759825"/>
      <w:r>
        <w:rPr>
          <w:rFonts w:hint="eastAsia" w:ascii="方正仿宋_GBK" w:eastAsia="方正仿宋_GBK"/>
          <w:b/>
          <w:sz w:val="28"/>
        </w:rPr>
        <w:instrText xml:space="preserve">2、\“三馆一站\”免费开放区级配套资金绩效目标表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、公共文化产品生产和服务能力提高，基本公共文化服务标准化、均等化水平不断提高。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年度内提供文化服务的比率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稳定增长</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2、广阳区电影公司职工保险及生活补助绩效目标表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2759826"/>
      <w:r>
        <w:rPr>
          <w:rFonts w:hint="eastAsia" w:ascii="方正仿宋_GBK" w:eastAsia="方正仿宋_GBK"/>
          <w:b/>
          <w:sz w:val="28"/>
        </w:rPr>
        <w:instrText xml:space="preserve">3、广阳区电影公司职工保险及生活补助绩效目标表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、积极协调相关部门，确保到达法定退休年龄的职工能按时退休，享受正常的医疗保障，确实达到病有所医。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、为确保和维护电影公司退休和在职职工的稳定团结，能按时享受相应的合理福利费用。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按照要求和计划发放电影公司在职职工补助的按时发放比例（百分比）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财政局关于电影公司补助资金到位情况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电影公司退休职工数量占总数量的满意度比例（百分比）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电影公司职工补助发放率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能够长期较好地为职工做到病有所医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通过区政府相关政策确保职工稳定及生活水平逐步提高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在职职工对所提供服务的满意程度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廊坊市广阳区人民政府常务会议纪要五届第</w:t>
            </w:r>
            <w:r>
              <w:rPr>
                <w:rFonts w:ascii="方正书宋_GBK" w:eastAsia="方正书宋_GBK"/>
              </w:rPr>
              <w:t>42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bookmarkEnd w:id="0"/>
    <w:p>
      <w:pPr>
        <w:ind w:firstLine="643" w:firstLineChars="200"/>
        <w:jc w:val="left"/>
        <w:outlineLvl w:val="1"/>
        <w:rPr>
          <w:rFonts w:ascii="Times New Roman" w:hAnsi="宋体"/>
          <w:b/>
          <w:sz w:val="28"/>
        </w:rPr>
      </w:pPr>
      <w:r>
        <w:rPr>
          <w:rFonts w:hint="eastAsia" w:ascii="Times New Roman" w:hAnsi="Times New Roman" w:eastAsia="楷体_GB2312" w:cs="Times New Roman"/>
          <w:b/>
          <w:sz w:val="32"/>
          <w:szCs w:val="32"/>
        </w:rPr>
        <w:t>3</w:t>
      </w:r>
      <w:r>
        <w:rPr>
          <w:rFonts w:hint="eastAsia" w:ascii="方正仿宋_GBK" w:eastAsia="方正仿宋_GBK"/>
          <w:b/>
          <w:sz w:val="28"/>
        </w:rPr>
        <w:t>、提前下达2020年公共图书馆 文化馆（站）免费开放市级补助资金绩效目标表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2759827"/>
      <w:r>
        <w:rPr>
          <w:rFonts w:hint="eastAsia" w:ascii="方正仿宋_GBK" w:eastAsia="方正仿宋_GBK"/>
          <w:b/>
          <w:sz w:val="28"/>
        </w:rPr>
        <w:instrText xml:space="preserve">1、提前下达2020年公共图书馆</w:instrText>
      </w:r>
      <w:bookmarkEnd w:id="4"/>
      <w:r>
        <w:rPr>
          <w:rFonts w:hint="eastAsia" w:ascii="方正仿宋_GBK" w:eastAsia="方正仿宋_GBK"/>
          <w:b/>
          <w:sz w:val="28"/>
        </w:rPr>
        <w:instrText xml:space="preserve"> 文化馆（站）免费开放市级补助资金绩效目标表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、公共文化产品生产和服务能力提高，基本公共文化服务标准化、均等化水平不断提高。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年度内送公益文艺展览、演出的实际场次数占计划场次数的比率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省内实际文化设施达标数量占文化设施总数的比率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年度内提供文化服务的比率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稳定增长</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4、提前下达2020年公共文化服务体系建设市级补助资金绩效目标表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2759828"/>
      <w:r>
        <w:rPr>
          <w:rFonts w:hint="eastAsia" w:ascii="方正仿宋_GBK" w:eastAsia="方正仿宋_GBK"/>
          <w:b/>
          <w:sz w:val="28"/>
        </w:rPr>
        <w:instrText xml:space="preserve">2、提前下达2020年公共文化服务体系建设市级补助资金绩效目标表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、保障公共文化设施完善健全和公共文化活动的持续开展</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、满足农村群众随时看书、借书阅读需求，营造全民阅读的良好文化氛围。满足农村群众就近观看电影的需求</w:t>
            </w:r>
            <w:r>
              <w:rPr>
                <w:rFonts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年度内送公益文艺展览、演出的实际场次数占计划场次数的比率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省内实际文化设施达标数量占文化设施总数的比率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年度内提供文化服务的比率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稳定增长</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5、提前下达2020年省级非物质文化遗产保护专项资金绩效目标表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2759829"/>
      <w:r>
        <w:rPr>
          <w:rFonts w:hint="eastAsia" w:ascii="方正仿宋_GBK" w:eastAsia="方正仿宋_GBK"/>
          <w:b/>
          <w:sz w:val="28"/>
        </w:rPr>
        <w:instrText xml:space="preserve">3、提前下达2020年省级非物质文化遗产保护专项资金绩效目标表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、补助省级非物质文化遗产代表性项目相关的调差研究、传承人记录和保存、传承人群研修研习培训、理论及技艺研究、出版、展示推广、民俗活动支出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、传承人开展传习活动，推动非遗传承保护</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传承人记录实施完成率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传承人记录实施完成率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理论研究及出版率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理论研究及出版数比率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对中华优秀传统文化传承影响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对中华优秀传统文化传承影响度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促进传承人群增长</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促进传承人群增长率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非遗传承人增长率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非遗传承人数逐年提高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社会公众对非物质文化遗产保护满意度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社会公众对非物质文化遗产保护满意度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6、提前下达2020年中央补助地方公共图书馆文化馆（站）免费开放资金绩效目标表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2759830"/>
      <w:r>
        <w:rPr>
          <w:rFonts w:hint="eastAsia" w:ascii="方正仿宋_GBK" w:eastAsia="方正仿宋_GBK"/>
          <w:b/>
          <w:sz w:val="28"/>
        </w:rPr>
        <w:instrText xml:space="preserve">4、提前下达2020年中央补助地方公共图书馆文化馆（站）免费开放资金绩效目标表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、公共文化产品生产和服务能力提高，基本公共文化服务标准化、均等化水平不断提高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年度内送公益文艺展览、演出的实际场次数占计划场次数的比率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省内实际文化设施达标数量占文化设施总数的比率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年度内提供文化服务的比率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稳定增长</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7、提前下达2020年中央补助地方公共文化服务体系建设专项资金绩效目标表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2759831"/>
      <w:r>
        <w:rPr>
          <w:rFonts w:hint="eastAsia" w:ascii="方正仿宋_GBK" w:eastAsia="方正仿宋_GBK"/>
          <w:b/>
          <w:sz w:val="28"/>
        </w:rPr>
        <w:instrText xml:space="preserve">5、提前下达2020年中央补助地方公共文化服务体系建设专项资金绩效目标表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、保障公共文化设施完善健全和公共文化活动的持续开展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、满足农村群众随时看书、借书阅读需求，营造全民阅读的良好文化氛围。满足农村群众就近观看电影的需求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年度内送公益文艺展览、演出的实际场次数占计划场次数的比率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省内实际文化设施达标数量占文化设施总数的比率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年度内提供文化服务的比率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稳定增长</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8、“三馆一站”免费开放区级配套资金绩效目标表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2759832"/>
      <w:r>
        <w:rPr>
          <w:rFonts w:hint="eastAsia" w:ascii="方正仿宋_GBK" w:eastAsia="方正仿宋_GBK"/>
          <w:b/>
          <w:sz w:val="28"/>
        </w:rPr>
        <w:instrText xml:space="preserve">6、\“三馆一站\”免费开放区级配套资金绩效目标表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、群众对文化服务的满意度逐步提升，基本公共文化服务水平有效提升，群众对公共文化活动参与率稳步提升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、梳理各项管理制度，进一步强化项目管理制度的标准化和流程的规范性</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320</w:t>
            </w:r>
            <w:r>
              <w:rPr>
                <w:rFonts w:hint="eastAsia" w:ascii="方正书宋_GBK" w:eastAsia="方正书宋_GBK"/>
              </w:rPr>
              <w:t>天</w:t>
            </w:r>
            <w:r>
              <w:rPr>
                <w:rFonts w:ascii="方正书宋_GBK" w:eastAsia="方正书宋_GBK"/>
              </w:rPr>
              <w:t>2400</w:t>
            </w:r>
            <w:r>
              <w:rPr>
                <w:rFonts w:hint="eastAsia" w:ascii="方正书宋_GBK" w:eastAsia="方正书宋_GBK"/>
              </w:rPr>
              <w:t>小时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小时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各项业务活动举办成功率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各项业务活动举办成功完成占总活动数的比率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讲座培训业务按年度计划及时完成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群众对公共文化活动的参与率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群众对公共文化活动完成情况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基本公共文化服务水平稳步提升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做好政策宣传，提高政策知晓比率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r>
              <w:rPr>
                <w:rFonts w:ascii="方正书宋_GBK" w:eastAsia="方正书宋_GBK"/>
              </w:rPr>
              <w:t>=5</w:t>
            </w:r>
            <w:r>
              <w:rPr>
                <w:rFonts w:hint="eastAsia" w:ascii="方正书宋_GBK" w:eastAsia="方正书宋_GBK"/>
              </w:rPr>
              <w:t>，良</w:t>
            </w:r>
            <w:r>
              <w:rPr>
                <w:rFonts w:ascii="方正书宋_GBK" w:eastAsia="方正书宋_GBK"/>
              </w:rPr>
              <w:t>=4</w:t>
            </w:r>
            <w:r>
              <w:rPr>
                <w:rFonts w:hint="eastAsia" w:ascii="方正书宋_GBK" w:eastAsia="方正书宋_GBK"/>
              </w:rPr>
              <w:t>，中</w:t>
            </w:r>
            <w:r>
              <w:rPr>
                <w:rFonts w:ascii="方正书宋_GBK" w:eastAsia="方正书宋_GBK"/>
              </w:rPr>
              <w:t>=3</w:t>
            </w:r>
            <w:r>
              <w:rPr>
                <w:rFonts w:hint="eastAsia" w:ascii="方正书宋_GBK" w:eastAsia="方正书宋_GBK"/>
              </w:rPr>
              <w:t>，差</w:t>
            </w:r>
            <w:r>
              <w:rPr>
                <w:rFonts w:ascii="方正书宋_GBK" w:eastAsia="方正书宋_GBK"/>
              </w:rPr>
              <w:t>=2</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9、提前下达2020年公共图书馆 文化馆（站）免费开放市级补助资金绩效目标表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2759833"/>
      <w:r>
        <w:rPr>
          <w:rFonts w:hint="eastAsia" w:ascii="方正仿宋_GBK" w:eastAsia="方正仿宋_GBK"/>
          <w:b/>
          <w:sz w:val="28"/>
        </w:rPr>
        <w:instrText xml:space="preserve">7、提前下达2020年公共图书馆</w:instrText>
      </w:r>
      <w:bookmarkEnd w:id="10"/>
      <w:r>
        <w:rPr>
          <w:rFonts w:hint="eastAsia" w:ascii="方正仿宋_GBK" w:eastAsia="方正仿宋_GBK"/>
          <w:b/>
          <w:sz w:val="28"/>
        </w:rPr>
        <w:instrText xml:space="preserve"> 文化馆（站）免费开放市级补助资金绩效目标表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、群众对文化服务的满意度逐步提升，基本公共文化服务水平有效提升，群众对公共文化活动参与率稳步提升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、梳理各项管理制度，进一步强化项目管理制度的标准化和流程的规范性</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320</w:t>
            </w:r>
            <w:r>
              <w:rPr>
                <w:rFonts w:hint="eastAsia" w:ascii="方正书宋_GBK" w:eastAsia="方正书宋_GBK"/>
              </w:rPr>
              <w:t>天</w:t>
            </w:r>
            <w:r>
              <w:rPr>
                <w:rFonts w:ascii="方正书宋_GBK" w:eastAsia="方正书宋_GBK"/>
              </w:rPr>
              <w:t>2400</w:t>
            </w:r>
            <w:r>
              <w:rPr>
                <w:rFonts w:hint="eastAsia" w:ascii="方正书宋_GBK" w:eastAsia="方正书宋_GBK"/>
              </w:rPr>
              <w:t>小时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小时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各项业务活动举办成功率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各项业务活动举办成功完成占总活动数的比率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讲座培训业务按年度计划及时完成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群众对公共文化活动的参与率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群众对公共文化活动完成情况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基本公共文化服务水平稳步提升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做好政策宣传，提高政策知晓比率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10、提前下达2020年省级非物质文化遗产保护专项资金绩效目标表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2759834"/>
      <w:r>
        <w:rPr>
          <w:rFonts w:hint="eastAsia" w:ascii="方正仿宋_GBK" w:eastAsia="方正仿宋_GBK"/>
          <w:b/>
          <w:sz w:val="28"/>
        </w:rPr>
        <w:instrText xml:space="preserve">8、提前下达2020年省级非物质文化遗产保护专项资金绩效目标表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、科学预算、规范评定、合理安排、监督使用，保证各项工作开展并取得阶段性成效，使项目保护更加规范有效，优秀非物质文化遗产的社会认知度和保护工作的社会参与度持续提升。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、传承有利于保护当地的非物质文化遗产，保存文化的多样性，促进社会的和谐稳定可持续发展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补助省级代表性传承人传习活动人数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定期举行文化传承活动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省级代表性传承人传习活动补助发放到位率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及时发放补助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促进传承人群增长</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长期稳定增长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稳定增长</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非遗传承人群增长率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长期稳定增长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社会公众对非物质文化遗产保护满意度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11、提前下达2020年中央补助地方公共图书馆文化馆（站）免费开放资金绩效目标表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2759835"/>
      <w:r>
        <w:rPr>
          <w:rFonts w:hint="eastAsia" w:ascii="方正仿宋_GBK" w:eastAsia="方正仿宋_GBK"/>
          <w:b/>
          <w:sz w:val="28"/>
        </w:rPr>
        <w:instrText xml:space="preserve">9、提前下达2020年中央补助地方公共图书馆文化馆（站）免费开放资金绩效目标表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、群众对文化服务的满意度逐步提升，基本公共文化服务水平有效提升，群众对公共文化活动参与率稳步提升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、梳理各项管理制度，进一步强化项目管理制度的标准化和流程的规范性</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320</w:t>
            </w:r>
            <w:r>
              <w:rPr>
                <w:rFonts w:hint="eastAsia" w:ascii="方正书宋_GBK" w:eastAsia="方正书宋_GBK"/>
              </w:rPr>
              <w:t>天</w:t>
            </w:r>
            <w:r>
              <w:rPr>
                <w:rFonts w:ascii="方正书宋_GBK" w:eastAsia="方正书宋_GBK"/>
              </w:rPr>
              <w:t>2400</w:t>
            </w:r>
            <w:r>
              <w:rPr>
                <w:rFonts w:hint="eastAsia" w:ascii="方正书宋_GBK" w:eastAsia="方正书宋_GBK"/>
              </w:rPr>
              <w:t>小时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小时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各项业务活动举办成功率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各项业务活动举办成功完成占总活动数的比率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讲座培训业务按年度计划及时完成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群众对公共文化活动的参与率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群众对公共文化活动完成情况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基本公共文化服务水平稳步提升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做好政策宣传，提高政策知晓比率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12、“三馆一站”免费开放区级配套资金绩效目标表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2759836"/>
      <w:r>
        <w:rPr>
          <w:rFonts w:hint="eastAsia" w:ascii="方正仿宋_GBK" w:eastAsia="方正仿宋_GBK"/>
          <w:b/>
          <w:sz w:val="28"/>
        </w:rPr>
        <w:instrText xml:space="preserve">10、\“三馆一站\”免费开放区级配套资金绩效目标表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、图书馆公共文化设施达标，机构和队伍健全，实现公共文化资源共享，形成城乡一体公共图书馆总分馆服务网络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查中满意和较满意的受训学员数量占调查总人数的比率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13、提前下达2020年公共图书馆 文化馆（站）免费开放市级补助资金绩效目标表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2759837"/>
      <w:r>
        <w:rPr>
          <w:rFonts w:hint="eastAsia" w:ascii="方正仿宋_GBK" w:eastAsia="方正仿宋_GBK"/>
          <w:b/>
          <w:sz w:val="28"/>
        </w:rPr>
        <w:instrText xml:space="preserve">11、提前下达2020年公共图书馆</w:instrText>
      </w:r>
      <w:bookmarkEnd w:id="14"/>
      <w:r>
        <w:rPr>
          <w:rFonts w:hint="eastAsia" w:ascii="方正仿宋_GBK" w:eastAsia="方正仿宋_GBK"/>
          <w:b/>
          <w:sz w:val="28"/>
        </w:rPr>
        <w:instrText xml:space="preserve"> 文化馆（站）免费开放市级补助资金绩效目标表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、图书馆公共文化设施达标，机构和队伍健全，实现公共文化资源共享，形成城乡一体公共图书馆总分馆服务网络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查中满意和较满意的受训学员数量占调查总人数的比率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[2019]61</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14、提前下达2020年中央补助地方公共图书馆文化馆（站）免费开放资金绩效目标表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2759838"/>
      <w:r>
        <w:rPr>
          <w:rFonts w:hint="eastAsia" w:ascii="方正仿宋_GBK" w:eastAsia="方正仿宋_GBK"/>
          <w:b/>
          <w:sz w:val="28"/>
        </w:rPr>
        <w:instrText xml:space="preserve">12、提前下达2020年中央补助地方公共图书馆文化馆（站）免费开放资金绩效目标表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、图书馆公共文化设施达标，机构和队伍健全，实现公共文化资源共享，形成城乡一体公共图书馆总分馆服务网络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查中满意和较满意的受训学员数量占调查总人数的比率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6"/>
    <w:p>
      <w:pPr>
        <w:spacing w:line="584" w:lineRule="exact"/>
        <w:jc w:val="center"/>
        <w:outlineLvl w:val="0"/>
        <w:rPr>
          <w:rFonts w:ascii="Times New Roman" w:hAnsi="Times New Roman" w:eastAsia="仿宋_GB2312" w:cs="Times New Roman"/>
          <w:sz w:val="32"/>
        </w:rPr>
      </w:pPr>
      <w:bookmarkStart w:id="17" w:name="_Toc504489153"/>
      <w:r>
        <w:rPr>
          <w:rFonts w:ascii="Times New Roman" w:hAnsi="Times New Roman" w:eastAsia="仿宋_GB2312" w:cs="Times New Roman"/>
          <w:sz w:val="32"/>
        </w:rPr>
        <w:t>部门政府采购预算</w:t>
      </w:r>
      <w:bookmarkEnd w:id="17"/>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506廊坊市广阳区文化广电和旅游局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428.73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本年度我部门无拟购置固定资产。</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广阳区文化广电和旅游局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 w:hAnsi="仿宋" w:eastAsia="仿宋" w:cs="仿宋"/>
                <w:kern w:val="0"/>
                <w:sz w:val="22"/>
              </w:rPr>
            </w:pPr>
            <w:r>
              <w:rPr>
                <w:rFonts w:hint="eastAsia" w:ascii="仿宋" w:hAnsi="仿宋" w:eastAsia="仿宋" w:cs="仿宋"/>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 w:hAnsi="仿宋" w:eastAsia="仿宋" w:cs="仿宋"/>
                <w:sz w:val="22"/>
              </w:rPr>
            </w:pPr>
            <w:r>
              <w:rPr>
                <w:rFonts w:hint="eastAsia" w:ascii="仿宋" w:hAnsi="仿宋" w:eastAsia="仿宋" w:cs="仿宋"/>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 w:hAnsi="仿宋" w:eastAsia="仿宋" w:cs="仿宋"/>
                <w:sz w:val="22"/>
              </w:rPr>
            </w:pPr>
            <w:r>
              <w:rPr>
                <w:rFonts w:hint="eastAsia" w:ascii="仿宋" w:hAnsi="仿宋" w:eastAsia="仿宋" w:cs="仿宋"/>
                <w:sz w:val="22"/>
              </w:rPr>
              <w:t>428.73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 w:hAnsi="仿宋" w:eastAsia="仿宋" w:cs="仿宋"/>
                <w:kern w:val="0"/>
                <w:sz w:val="22"/>
              </w:rPr>
            </w:pPr>
            <w:r>
              <w:rPr>
                <w:rFonts w:hint="eastAsia" w:ascii="仿宋" w:hAnsi="仿宋" w:eastAsia="仿宋" w:cs="仿宋"/>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 w:hAnsi="仿宋" w:eastAsia="仿宋" w:cs="仿宋"/>
                <w:sz w:val="22"/>
              </w:rPr>
            </w:pPr>
            <w:r>
              <w:rPr>
                <w:rFonts w:hint="eastAsia" w:ascii="仿宋" w:hAnsi="仿宋" w:eastAsia="仿宋" w:cs="仿宋"/>
                <w:sz w:val="22"/>
              </w:rPr>
              <w:t>3290.2</w:t>
            </w:r>
          </w:p>
        </w:tc>
        <w:tc>
          <w:tcPr>
            <w:tcW w:w="5103" w:type="dxa"/>
            <w:tcBorders>
              <w:top w:val="nil"/>
              <w:left w:val="nil"/>
              <w:bottom w:val="single" w:color="auto" w:sz="4" w:space="0"/>
              <w:right w:val="single" w:color="auto" w:sz="4" w:space="0"/>
            </w:tcBorders>
            <w:shd w:val="clear" w:color="auto" w:fill="auto"/>
            <w:noWrap/>
            <w:vAlign w:val="center"/>
          </w:tcPr>
          <w:p>
            <w:pPr>
              <w:widowControl/>
              <w:spacing w:line="570" w:lineRule="exact"/>
              <w:jc w:val="center"/>
              <w:rPr>
                <w:rFonts w:ascii="仿宋" w:hAnsi="仿宋" w:eastAsia="仿宋" w:cs="仿宋"/>
                <w:kern w:val="0"/>
                <w:sz w:val="22"/>
              </w:rPr>
            </w:pPr>
            <w:r>
              <w:rPr>
                <w:rFonts w:hint="eastAsia" w:ascii="仿宋" w:hAnsi="仿宋" w:eastAsia="仿宋" w:cs="仿宋"/>
                <w:kern w:val="0"/>
                <w:sz w:val="22"/>
              </w:rPr>
              <w:t>106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 w:hAnsi="仿宋" w:eastAsia="仿宋" w:cs="仿宋"/>
                <w:kern w:val="0"/>
                <w:sz w:val="22"/>
              </w:rPr>
            </w:pPr>
            <w:r>
              <w:rPr>
                <w:rFonts w:hint="eastAsia" w:ascii="仿宋" w:hAnsi="仿宋" w:eastAsia="仿宋" w:cs="仿宋"/>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 w:hAnsi="仿宋" w:eastAsia="仿宋" w:cs="仿宋"/>
                <w:sz w:val="22"/>
              </w:rPr>
            </w:pPr>
            <w:r>
              <w:rPr>
                <w:rFonts w:hint="eastAsia" w:ascii="仿宋" w:hAnsi="仿宋" w:eastAsia="仿宋" w:cs="仿宋"/>
                <w:sz w:val="22"/>
              </w:rPr>
              <w:t>300</w:t>
            </w:r>
          </w:p>
        </w:tc>
        <w:tc>
          <w:tcPr>
            <w:tcW w:w="5103" w:type="dxa"/>
            <w:tcBorders>
              <w:top w:val="nil"/>
              <w:left w:val="nil"/>
              <w:bottom w:val="single" w:color="auto" w:sz="4" w:space="0"/>
              <w:right w:val="single" w:color="auto" w:sz="4" w:space="0"/>
            </w:tcBorders>
            <w:shd w:val="clear" w:color="auto" w:fill="auto"/>
            <w:noWrap/>
            <w:vAlign w:val="center"/>
          </w:tcPr>
          <w:p>
            <w:pPr>
              <w:widowControl/>
              <w:spacing w:line="570" w:lineRule="exact"/>
              <w:jc w:val="center"/>
              <w:rPr>
                <w:rFonts w:ascii="仿宋" w:hAnsi="仿宋" w:eastAsia="仿宋" w:cs="仿宋"/>
                <w:kern w:val="0"/>
                <w:sz w:val="22"/>
              </w:rPr>
            </w:pPr>
            <w:r>
              <w:rPr>
                <w:rFonts w:hint="eastAsia" w:ascii="仿宋" w:hAnsi="仿宋" w:eastAsia="仿宋" w:cs="仿宋"/>
                <w:kern w:val="0"/>
                <w:sz w:val="22"/>
              </w:rPr>
              <w:t>29.16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 w:hAnsi="仿宋" w:eastAsia="仿宋" w:cs="仿宋"/>
                <w:kern w:val="0"/>
                <w:sz w:val="22"/>
              </w:rPr>
            </w:pPr>
            <w:r>
              <w:rPr>
                <w:rFonts w:hint="eastAsia" w:ascii="仿宋" w:hAnsi="仿宋" w:eastAsia="仿宋" w:cs="仿宋"/>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spacing w:line="570" w:lineRule="exact"/>
              <w:jc w:val="center"/>
              <w:rPr>
                <w:rFonts w:ascii="仿宋" w:hAnsi="仿宋" w:eastAsia="仿宋" w:cs="仿宋"/>
                <w:kern w:val="0"/>
                <w:sz w:val="22"/>
              </w:rPr>
            </w:pPr>
            <w:r>
              <w:rPr>
                <w:rFonts w:hint="eastAsia" w:ascii="仿宋" w:hAnsi="仿宋" w:eastAsia="仿宋" w:cs="仿宋"/>
                <w:kern w:val="0"/>
                <w:sz w:val="22"/>
              </w:rPr>
              <w:t>4</w:t>
            </w:r>
          </w:p>
        </w:tc>
        <w:tc>
          <w:tcPr>
            <w:tcW w:w="5103" w:type="dxa"/>
            <w:tcBorders>
              <w:top w:val="nil"/>
              <w:left w:val="nil"/>
              <w:bottom w:val="single" w:color="auto" w:sz="4" w:space="0"/>
              <w:right w:val="single" w:color="auto" w:sz="4" w:space="0"/>
            </w:tcBorders>
            <w:shd w:val="clear" w:color="auto" w:fill="auto"/>
            <w:noWrap/>
            <w:vAlign w:val="center"/>
          </w:tcPr>
          <w:p>
            <w:pPr>
              <w:widowControl/>
              <w:spacing w:line="570" w:lineRule="exact"/>
              <w:jc w:val="center"/>
              <w:rPr>
                <w:rFonts w:ascii="仿宋" w:hAnsi="仿宋" w:eastAsia="仿宋" w:cs="仿宋"/>
                <w:kern w:val="0"/>
                <w:sz w:val="22"/>
              </w:rPr>
            </w:pPr>
            <w:r>
              <w:rPr>
                <w:rFonts w:hint="eastAsia" w:ascii="仿宋" w:hAnsi="仿宋" w:eastAsia="仿宋" w:cs="仿宋"/>
                <w:kern w:val="0"/>
                <w:sz w:val="22"/>
              </w:rPr>
              <w:t>71.04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 w:hAnsi="仿宋" w:eastAsia="仿宋" w:cs="仿宋"/>
                <w:kern w:val="0"/>
                <w:sz w:val="22"/>
              </w:rPr>
            </w:pPr>
            <w:r>
              <w:rPr>
                <w:rFonts w:hint="eastAsia" w:ascii="仿宋" w:hAnsi="仿宋" w:eastAsia="仿宋" w:cs="仿宋"/>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 w:hAnsi="仿宋" w:eastAsia="仿宋" w:cs="仿宋"/>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 w:hAnsi="仿宋" w:eastAsia="仿宋" w:cs="仿宋"/>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 w:hAnsi="仿宋" w:eastAsia="仿宋" w:cs="仿宋"/>
                <w:kern w:val="0"/>
                <w:sz w:val="22"/>
              </w:rPr>
            </w:pPr>
            <w:r>
              <w:rPr>
                <w:rFonts w:hint="eastAsia" w:ascii="仿宋" w:hAnsi="仿宋" w:eastAsia="仿宋" w:cs="仿宋"/>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 w:hAnsi="仿宋" w:eastAsia="仿宋" w:cs="仿宋"/>
                <w:sz w:val="22"/>
              </w:rPr>
            </w:pPr>
            <w:r>
              <w:rPr>
                <w:rFonts w:hint="eastAsia" w:ascii="仿宋" w:hAnsi="仿宋" w:eastAsia="仿宋" w:cs="仿宋"/>
                <w:sz w:val="22"/>
              </w:rPr>
              <w:t>61873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 w:hAnsi="仿宋" w:eastAsia="仿宋" w:cs="仿宋"/>
                <w:sz w:val="22"/>
              </w:rPr>
            </w:pPr>
            <w:r>
              <w:rPr>
                <w:rFonts w:hint="eastAsia" w:ascii="仿宋" w:hAnsi="仿宋" w:eastAsia="仿宋" w:cs="仿宋"/>
                <w:sz w:val="22"/>
              </w:rPr>
              <w:t>251.69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28</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26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132D7"/>
    <w:rsid w:val="00414BD3"/>
    <w:rsid w:val="00424943"/>
    <w:rsid w:val="0042727E"/>
    <w:rsid w:val="0043175C"/>
    <w:rsid w:val="0043326A"/>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B6B88"/>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BE65CC"/>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03A415BB"/>
    <w:rsid w:val="051C3A9D"/>
    <w:rsid w:val="75B42F41"/>
    <w:rsid w:val="79ED0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7CA25-57B0-4312-9FD0-EE5C6779F9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2492</Words>
  <Characters>14209</Characters>
  <Lines>118</Lines>
  <Paragraphs>33</Paragraphs>
  <TotalTime>10</TotalTime>
  <ScaleCrop>false</ScaleCrop>
  <LinksUpToDate>false</LinksUpToDate>
  <CharactersWithSpaces>16668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2024-08-16T08:04:57Z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E6E514890A4D4D12886F8DDDBBAB9CB0</vt:lpwstr>
  </property>
</Properties>
</file>