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rPr>
          <w:rFonts w:ascii="Times New Roman" w:hAnsi="Times New Roman" w:eastAsia="仿宋_GB2312" w:cs="Times New Roman"/>
          <w:sz w:val="44"/>
          <w:szCs w:val="44"/>
        </w:rPr>
      </w:pPr>
    </w:p>
    <w:p>
      <w:pPr>
        <w:spacing w:line="584" w:lineRule="exact"/>
        <w:ind w:firstLine="880" w:firstLineChars="200"/>
        <w:jc w:val="center"/>
        <w:rPr>
          <w:rFonts w:ascii="宋体" w:cs="Times New Roman"/>
          <w:sz w:val="44"/>
          <w:szCs w:val="44"/>
        </w:rPr>
      </w:pPr>
      <w:r>
        <w:rPr>
          <w:rFonts w:hint="eastAsia" w:ascii="宋体" w:cs="Times New Roman"/>
          <w:sz w:val="44"/>
          <w:szCs w:val="44"/>
        </w:rPr>
        <w:t>廊坊市广阳</w:t>
      </w:r>
      <w:r>
        <w:rPr>
          <w:rFonts w:hint="eastAsia" w:ascii="宋体" w:cs="Times New Roman"/>
          <w:sz w:val="44"/>
          <w:szCs w:val="44"/>
          <w:lang w:eastAsia="zh-CN"/>
        </w:rPr>
        <w:t>区委</w:t>
      </w:r>
      <w:r>
        <w:rPr>
          <w:rFonts w:hint="eastAsia" w:ascii="宋体" w:cs="Times New Roman"/>
          <w:sz w:val="44"/>
          <w:szCs w:val="44"/>
        </w:rPr>
        <w:t>2020年部门预算信息公开情况说明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w:t>
      </w:r>
      <w:r>
        <w:rPr>
          <w:rFonts w:hint="eastAsia" w:ascii="Times New Roman" w:hAnsi="Times New Roman" w:eastAsia="仿宋_GB2312" w:cs="Times New Roman"/>
          <w:sz w:val="32"/>
          <w:szCs w:val="32"/>
          <w:lang w:eastAsia="zh-CN"/>
        </w:rPr>
        <w:t>中华人民共和国</w:t>
      </w:r>
      <w:r>
        <w:rPr>
          <w:rFonts w:ascii="Times New Roman" w:hAnsi="Times New Roman" w:eastAsia="仿宋_GB2312" w:cs="Times New Roman"/>
          <w:sz w:val="32"/>
          <w:szCs w:val="32"/>
        </w:rPr>
        <w:t>预算法》、《地方预决算公开操作规程》和《河北省省级预算公开办法》规定，现将廊坊市</w:t>
      </w:r>
      <w:r>
        <w:rPr>
          <w:rFonts w:hint="eastAsia" w:ascii="Times New Roman" w:hAnsi="Times New Roman" w:eastAsia="仿宋_GB2312" w:cs="Times New Roman"/>
          <w:sz w:val="32"/>
          <w:szCs w:val="32"/>
        </w:rPr>
        <w:t>广阳</w:t>
      </w:r>
      <w:r>
        <w:rPr>
          <w:rFonts w:hint="eastAsia" w:ascii="Times New Roman" w:hAnsi="Times New Roman" w:eastAsia="仿宋_GB2312" w:cs="Times New Roman"/>
          <w:sz w:val="32"/>
          <w:szCs w:val="32"/>
          <w:lang w:eastAsia="zh-CN"/>
        </w:rPr>
        <w:t>区委</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bookmarkStart w:id="18" w:name="_GoBack"/>
      <w:bookmarkEnd w:id="18"/>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numPr>
          <w:ilvl w:val="0"/>
          <w:numId w:val="1"/>
        </w:num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负责推动党中央和省、市、区委决策部署的落实，按照区委要求协调有关方面开展工作，承担区委运行保障具体事务。</w:t>
      </w:r>
    </w:p>
    <w:p>
      <w:pPr>
        <w:numPr>
          <w:ilvl w:val="0"/>
          <w:numId w:val="1"/>
        </w:num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负责区委和区委办公室文件、区委领导讲话稿的起草、修改等工作。</w:t>
      </w:r>
    </w:p>
    <w:p>
      <w:pPr>
        <w:numPr>
          <w:ilvl w:val="0"/>
          <w:numId w:val="1"/>
        </w:num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负责党中央和省、市、区委重要决策部署贯彻落实的督促检查，中央和省、市、区委领导批示和交办事项的催办反馈，区委统一部署的重大专项活动的推进落实。</w:t>
      </w:r>
    </w:p>
    <w:p>
      <w:pPr>
        <w:numPr>
          <w:ilvl w:val="0"/>
          <w:numId w:val="1"/>
        </w:num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围绕党中央和省、市、区委总体工作部署开展调查研究，收集和处理信息、反映动态；负责社情民意的搜集、整理和编报工作。</w:t>
      </w:r>
    </w:p>
    <w:p>
      <w:pPr>
        <w:numPr>
          <w:ilvl w:val="0"/>
          <w:numId w:val="1"/>
        </w:num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负责区委全会、区委常委会和区委其他重要会议的会务工作；负责区委领导参加重大活动和日常工作活动的组织安排。</w:t>
      </w:r>
    </w:p>
    <w:p>
      <w:pPr>
        <w:numPr>
          <w:ilvl w:val="0"/>
          <w:numId w:val="1"/>
        </w:num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负责区委日常文书处理；负责区委文件和区委办公室代区委行文的审核工作；负责区委制定党内法规和规范性文件的服务工作；负责统筹协调和督促指导全区党务公开工作。</w:t>
      </w:r>
    </w:p>
    <w:p>
      <w:pPr>
        <w:numPr>
          <w:ilvl w:val="0"/>
          <w:numId w:val="1"/>
        </w:num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负责全区档案事业宏观管理和执法复议、监督指导等工作。</w:t>
      </w:r>
    </w:p>
    <w:p>
      <w:pPr>
        <w:numPr>
          <w:ilvl w:val="0"/>
          <w:numId w:val="1"/>
        </w:num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负责部分原区级领导同志和本室离退休人员的服务工作；负责区委机关行政后勤、安全保卫和区委办公室财务管理工作。</w:t>
      </w:r>
    </w:p>
    <w:p>
      <w:pPr>
        <w:numPr>
          <w:ilvl w:val="0"/>
          <w:numId w:val="1"/>
        </w:numPr>
        <w:spacing w:line="584" w:lineRule="exact"/>
        <w:rPr>
          <w:rFonts w:ascii="Times New Roman" w:hAnsi="Times New Roman" w:eastAsia="仿宋_GB2312" w:cs="Times New Roman"/>
          <w:sz w:val="32"/>
          <w:szCs w:val="32"/>
        </w:rPr>
      </w:pPr>
      <w:r>
        <w:rPr>
          <w:rFonts w:hint="eastAsia" w:ascii="仿宋" w:eastAsia="仿宋"/>
          <w:sz w:val="32"/>
          <w:szCs w:val="32"/>
        </w:rPr>
        <w:t>主持制定党员和干部培训工作规划和年度工作计划;协同有关部门对党员在校期间的表现进行考核、考察;对基层党校进行指导和帮助;完成区委和上级党校交办的其他事项。</w:t>
      </w:r>
    </w:p>
    <w:p>
      <w:pPr>
        <w:numPr>
          <w:ilvl w:val="0"/>
          <w:numId w:val="1"/>
        </w:numPr>
        <w:spacing w:line="584" w:lineRule="exact"/>
        <w:rPr>
          <w:rFonts w:ascii="Times New Roman" w:hAnsi="Times New Roman" w:eastAsia="仿宋_GB2312" w:cs="Times New Roman"/>
          <w:sz w:val="32"/>
          <w:szCs w:val="32"/>
        </w:rPr>
      </w:pPr>
      <w:r>
        <w:rPr>
          <w:rFonts w:hint="eastAsia" w:ascii="仿宋_GB2312" w:eastAsia="仿宋_GB2312" w:cs="宋体"/>
          <w:color w:val="000000"/>
          <w:kern w:val="0"/>
          <w:sz w:val="32"/>
          <w:szCs w:val="32"/>
        </w:rPr>
        <w:t>团结动员妇女参加经济社会建设：团结、教育全区妇女及各类妇女组织同党中央在思想上、政治上、行动上保持高度一致，全面提高妇女素质。职责目标：把广大妇女紧密团结在党中央周围，围绕中央、区委区政府中心工作。</w:t>
      </w:r>
    </w:p>
    <w:p>
      <w:pPr>
        <w:numPr>
          <w:ilvl w:val="0"/>
          <w:numId w:val="1"/>
        </w:numPr>
        <w:spacing w:line="584" w:lineRule="exact"/>
        <w:rPr>
          <w:rFonts w:ascii="Times New Roman" w:hAnsi="Times New Roman" w:eastAsia="仿宋_GB2312" w:cs="Times New Roman"/>
          <w:sz w:val="32"/>
          <w:szCs w:val="32"/>
        </w:rPr>
      </w:pPr>
      <w:r>
        <w:rPr>
          <w:rFonts w:hint="eastAsia" w:ascii="仿宋_GB2312" w:eastAsia="仿宋_GB2312" w:cs="宋体"/>
          <w:color w:val="000000"/>
          <w:kern w:val="0"/>
          <w:sz w:val="32"/>
          <w:szCs w:val="32"/>
        </w:rPr>
        <w:t>维护妇女儿童合法权益促进妇女儿童发展：关注并加强研究涉及妇女切身利益的热点、难点问题，及时向区委和区政府反映社情民意，提出对策建议。职责目标：妇女综合素质和发展能力有较大提升。妇女儿童合法权益得到有效维护，男女平等基本国策宣传进一步深入人心。</w:t>
      </w:r>
    </w:p>
    <w:p>
      <w:pPr>
        <w:numPr>
          <w:ilvl w:val="0"/>
          <w:numId w:val="1"/>
        </w:num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组织开展调研，向区政协提交大会发言和集体提案，反映社情民意，与区政府对口单位紧密联系。开展各种相关业务活动及会议。积极搭建服务平台，举办银企对接会、及政策知识进民企活动。加强与国内外知名企业、海外工商社团的合作交流，组织会员企业参加与农村面貌改造提升行动、社会扶贫和公益事业。</w:t>
      </w:r>
    </w:p>
    <w:p>
      <w:pPr>
        <w:numPr>
          <w:ilvl w:val="0"/>
          <w:numId w:val="1"/>
        </w:num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贯彻全国和省市工商联组织建设工作方针，维护会员合法权益；组织换届、培训、思想政治工作；对非公有制经济优秀人士进行宣传。</w:t>
      </w:r>
    </w:p>
    <w:p>
      <w:pPr>
        <w:numPr>
          <w:ilvl w:val="0"/>
          <w:numId w:val="1"/>
        </w:num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撰写廊坊市广阳区历史专著，编辑出版党史书籍。完成专题资料、口述资料、照片资料等搜集工作。围绕党委、政府中心工作，充分发挥党史资政育人作用。让全区人民，特别是广大党员干部全面、系统地了解我区地方党组织的历史发展脉络以及党在领导全区人民革命、建设、改革工作中取得的成果。努力建设一支具有丰富的党史知识，具有较高的理论素养和研究能力的党史工作者队伍。</w:t>
      </w:r>
    </w:p>
    <w:p>
      <w:pPr>
        <w:numPr>
          <w:ilvl w:val="0"/>
          <w:numId w:val="1"/>
        </w:num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拟定全区宣传思想文化工作重大方针政策和事业发展总体规划，统筹协调推进宣传思想文化领域法治建设，按照区委统一部署，协调宣传思想文化系统各部门之间的工作。</w:t>
      </w:r>
    </w:p>
    <w:p>
      <w:pPr>
        <w:numPr>
          <w:ilvl w:val="0"/>
          <w:numId w:val="1"/>
        </w:num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统筹协调全区党的意识形态工作，贯彻落实区委关于议事协调工作决策部署，组织协调意识形态工作责任制落实和日常监督检查，结合巡察工作开展专项检查。</w:t>
      </w:r>
    </w:p>
    <w:p>
      <w:pPr>
        <w:numPr>
          <w:ilvl w:val="0"/>
          <w:numId w:val="1"/>
        </w:num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统筹指导协调全区理论研究、理论学习、理论宣传工作，组织推动理论武装工作，推动落实马克思主义理论研究和建设工程任务，负责区委理论学习中心组理论学习的有关工作。</w:t>
      </w:r>
    </w:p>
    <w:p>
      <w:pPr>
        <w:numPr>
          <w:ilvl w:val="0"/>
          <w:numId w:val="1"/>
        </w:num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负责规划组织全区全局性思想政治工作任务，组织对全区先进典型的学习推广，配合区委组织部做好基层党员教育工作，指导协调编写党员教育教材，会同有关部门研究和改进群众思想教育工作，负责全区爱国主义教育基地的建设、管理、使用，负责全区国防教育工作。</w:t>
      </w:r>
    </w:p>
    <w:p>
      <w:pPr>
        <w:numPr>
          <w:ilvl w:val="0"/>
          <w:numId w:val="1"/>
        </w:num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统筹分析研判和引导全区社会舆论，指导协调区直各新闻单位的工作，组织全区突发公共事件应急新闻工作，承担区突发公共事件应急新闻办公室日常工作。</w:t>
      </w:r>
    </w:p>
    <w:p>
      <w:pPr>
        <w:numPr>
          <w:ilvl w:val="0"/>
          <w:numId w:val="1"/>
        </w:num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拟定全区新闻出版业的管理政策并督促落实，管理新闻出版行政事务，统筹规划和指导协调新闻出版事业、产业发展，协助做好新闻出版物内容和质量的监督管理，监督管理印刷业，管理著作权等，组织指导协调全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扫黄打非</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工作。</w:t>
      </w:r>
    </w:p>
    <w:p>
      <w:pPr>
        <w:numPr>
          <w:ilvl w:val="0"/>
          <w:numId w:val="1"/>
        </w:num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从宏观上统筹指导协调全区互联网宣传和信息内容管理工作。统筹数字新媒体的建设和管理。</w:t>
      </w:r>
    </w:p>
    <w:p>
      <w:pPr>
        <w:numPr>
          <w:ilvl w:val="0"/>
          <w:numId w:val="1"/>
        </w:num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从宏观上统筹指导协调推动全区精神文化产品的创作和生产，协调组织中华优秀传统文化传承发展有关工作，指导协调推动群众文化建设和社区建设。</w:t>
      </w:r>
    </w:p>
    <w:p>
      <w:pPr>
        <w:numPr>
          <w:ilvl w:val="0"/>
          <w:numId w:val="1"/>
        </w:num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负责管理全区电影行政事务，指导监管电影制片、发行、放映工作，组织对电影内容进行审查，指导协调全区性重大电影活动。</w:t>
      </w:r>
    </w:p>
    <w:p>
      <w:pPr>
        <w:numPr>
          <w:ilvl w:val="0"/>
          <w:numId w:val="1"/>
        </w:num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对全区新闻出版、广播影视、文化艺术业改革发展研究提出政策性建议，统筹指导协调文化体制改革和文化事业、文化产业及旅游业发展，负责区级文化企业国有资产监督管理，承担区文化体制改革和发展工作领导小组办公室日常工作。</w:t>
      </w:r>
    </w:p>
    <w:p>
      <w:pPr>
        <w:numPr>
          <w:ilvl w:val="0"/>
          <w:numId w:val="1"/>
        </w:num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统筹指导全区舆论信息工作，组织协调开展区内外舆情信息收集分析研判工作，跟踪了解、研究掌握宣传舆情动态。</w:t>
      </w:r>
    </w:p>
    <w:p>
      <w:pPr>
        <w:numPr>
          <w:ilvl w:val="0"/>
          <w:numId w:val="1"/>
        </w:num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统筹研究拟定有关全区精神文明建设的方针、政策，规划部署全区精神文明建设工作，组织指导全区群众性精神文明创建活动。</w:t>
      </w:r>
    </w:p>
    <w:p>
      <w:pPr>
        <w:numPr>
          <w:ilvl w:val="0"/>
          <w:numId w:val="1"/>
        </w:num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统筹协调全区对外宣传工作，指导协调有关部门研究拟订全区对外宣传事业发展规划，组织协调我区对外宣传文化交流工作，会同有关部门做好境外记者采访事务方面工作。</w:t>
      </w:r>
    </w:p>
    <w:p>
      <w:pPr>
        <w:numPr>
          <w:ilvl w:val="0"/>
          <w:numId w:val="1"/>
        </w:num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统筹协调组织开展新闻发布工作。承担区委新闻发布有关组织协调工作，负责区政府新闻发布组织实施工作。指导协调区政府各部门和各乡镇（街道）的新闻发布工作，推动新闻发言人制度落实。拟定我区重大问题对外宣传口径。</w:t>
      </w:r>
    </w:p>
    <w:p>
      <w:pPr>
        <w:numPr>
          <w:ilvl w:val="0"/>
          <w:numId w:val="1"/>
        </w:num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统筹指导协调全区哲学社会科学发展工作。组织制定发展战略、中长期规划和专项计划。负责组织开展区级新型智库建设工作，协调推动全区中国特色新型智库建设。组织哲学社会科学研究课题成果转化应用等工作。</w:t>
      </w:r>
    </w:p>
    <w:p>
      <w:pPr>
        <w:numPr>
          <w:ilvl w:val="0"/>
          <w:numId w:val="1"/>
        </w:num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受区委委托，会同区委组织部管理新闻、文化、出版、社会科学研究和互联网信息等方面区直文化单位的领导干部。对各乡镇（街道）党工委宣传委员的任免提出意见。负责有关重要宣传舆论阵地和重要岗位领导干部管理工作。负责组织开展宣传思想文化系统干部教育培训和人才工作。</w:t>
      </w:r>
    </w:p>
    <w:p>
      <w:pPr>
        <w:numPr>
          <w:ilvl w:val="0"/>
          <w:numId w:val="1"/>
        </w:num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对区互联网信息办公室互联网宣传和信息内容管理方面的工作实施方针、政策的指导，归口领导《时代广阳》编辑部、区文化广电和旅游局、区广播电视台。</w:t>
      </w:r>
    </w:p>
    <w:p>
      <w:pPr>
        <w:numPr>
          <w:ilvl w:val="0"/>
          <w:numId w:val="1"/>
        </w:num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完成领导交办的其他任务。</w:t>
      </w:r>
    </w:p>
    <w:p>
      <w:pPr>
        <w:spacing w:line="584" w:lineRule="exact"/>
        <w:ind w:left="660"/>
        <w:rPr>
          <w:rFonts w:ascii="Times New Roman" w:hAnsi="Times New Roman" w:eastAsia="仿宋_GB2312" w:cs="Times New Roman"/>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hint="eastAsia" w:ascii="Times New Roman" w:hAnsi="Times New Roman" w:eastAsia="仿宋_GB2312" w:cs="Times New Roman"/>
                <w:b/>
                <w:lang w:eastAsia="zh-CN"/>
              </w:rPr>
            </w:pPr>
            <w:r>
              <w:rPr>
                <w:rFonts w:ascii="Times New Roman" w:hAnsi="Times New Roman" w:eastAsia="仿宋_GB2312" w:cs="Times New Roman"/>
                <w:b/>
              </w:rPr>
              <w:t>廊坊市广阳</w:t>
            </w:r>
            <w:r>
              <w:rPr>
                <w:rFonts w:hint="eastAsia" w:ascii="Times New Roman" w:hAnsi="Times New Roman" w:eastAsia="仿宋_GB2312" w:cs="Times New Roman"/>
                <w:b/>
                <w:lang w:eastAsia="zh-CN"/>
              </w:rPr>
              <w:t>区委</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党政机关</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6"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中共廊坊市广阳区委员会宣传部</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党政机关</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6"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广阳区妇女儿童联合会</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党政机关</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6"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广阳区团委</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党政机关</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6"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广阳区委党校</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党政机关</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6"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广阳区党史研究室</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党政机关</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6"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广阳区工商联</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党政机关</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w:t>
      </w:r>
      <w:r>
        <w:rPr>
          <w:rFonts w:hint="eastAsia" w:ascii="Times New Roman" w:hAnsi="Times New Roman" w:eastAsia="仿宋_GB2312" w:cs="Times New Roman"/>
          <w:sz w:val="32"/>
          <w:szCs w:val="32"/>
          <w:lang w:eastAsia="zh-CN"/>
        </w:rPr>
        <w:t>区委</w:t>
      </w:r>
      <w:r>
        <w:rPr>
          <w:rFonts w:ascii="Times New Roman" w:hAnsi="Times New Roman" w:eastAsia="仿宋_GB2312" w:cs="Times New Roman"/>
          <w:sz w:val="32"/>
          <w:szCs w:val="32"/>
        </w:rPr>
        <w:t>机关及所属事业单位的收支包含在部门预算中。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2583.59</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2464.59</w:t>
      </w:r>
      <w:r>
        <w:rPr>
          <w:rFonts w:ascii="Times New Roman" w:hAnsi="Times New Roman" w:eastAsia="仿宋_GB2312" w:cs="Times New Roman"/>
          <w:sz w:val="32"/>
          <w:szCs w:val="32"/>
        </w:rPr>
        <w:t>万元，基金预算收入119万元，财政专户核拨收入0万元，其他来源收入0万元。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w:t>
      </w:r>
      <w:r>
        <w:rPr>
          <w:rFonts w:hint="eastAsia" w:ascii="Times New Roman" w:hAnsi="Times New Roman" w:eastAsia="仿宋_GB2312" w:cs="Times New Roman"/>
          <w:sz w:val="32"/>
          <w:szCs w:val="32"/>
          <w:lang w:eastAsia="zh-CN"/>
        </w:rPr>
        <w:t>区委</w:t>
      </w:r>
      <w:r>
        <w:rPr>
          <w:rFonts w:ascii="Times New Roman" w:hAnsi="Times New Roman" w:eastAsia="仿宋_GB2312" w:cs="Times New Roman"/>
          <w:sz w:val="32"/>
          <w:szCs w:val="32"/>
        </w:rPr>
        <w:t>2020年度部门预算中支出预算的总体情况。20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2583.59</w:t>
      </w:r>
      <w:r>
        <w:rPr>
          <w:rFonts w:ascii="Times New Roman" w:hAnsi="Times New Roman" w:eastAsia="仿宋_GB2312" w:cs="Times New Roman"/>
          <w:sz w:val="32"/>
          <w:szCs w:val="32"/>
        </w:rPr>
        <w:t>万元，其中基本支出1719.43万元，包括人员经费1475.42万元和日常公用经费244.01万元；项目支出</w:t>
      </w:r>
      <w:r>
        <w:rPr>
          <w:rFonts w:hint="eastAsia" w:ascii="Times New Roman" w:hAnsi="Times New Roman" w:eastAsia="仿宋_GB2312" w:cs="Times New Roman"/>
          <w:sz w:val="32"/>
          <w:szCs w:val="32"/>
        </w:rPr>
        <w:t>745.16</w:t>
      </w:r>
      <w:r>
        <w:rPr>
          <w:rFonts w:ascii="Times New Roman" w:hAnsi="Times New Roman" w:eastAsia="仿宋_GB2312" w:cs="Times New Roman"/>
          <w:sz w:val="32"/>
          <w:szCs w:val="32"/>
        </w:rPr>
        <w:t>万元，主要为妇女儿童活动中心房租、时代广阳运行经费、国防教育、宣传栏更新维护费、文明城市创建经费、对外宣传经费、政务服务管理经费、保安保洁等临时人员工资</w:t>
      </w:r>
      <w:r>
        <w:rPr>
          <w:rFonts w:hint="eastAsia" w:ascii="Times New Roman" w:hAnsi="Times New Roman" w:eastAsia="仿宋_GB2312" w:cs="Times New Roman"/>
          <w:sz w:val="32"/>
          <w:szCs w:val="32"/>
        </w:rPr>
        <w:t>支出</w:t>
      </w:r>
      <w:r>
        <w:rPr>
          <w:rFonts w:ascii="Times New Roman" w:hAnsi="Times New Roman" w:eastAsia="仿宋_GB2312" w:cs="Times New Roman"/>
          <w:sz w:val="32"/>
          <w:szCs w:val="32"/>
        </w:rPr>
        <w:t>；其他支出</w:t>
      </w:r>
      <w:r>
        <w:rPr>
          <w:rFonts w:hint="eastAsia" w:ascii="Times New Roman" w:hAnsi="Times New Roman" w:eastAsia="仿宋_GB2312" w:cs="Times New Roman"/>
          <w:sz w:val="32"/>
          <w:szCs w:val="32"/>
        </w:rPr>
        <w:t>119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,主要是国家电影事业发展专项资金等支出。</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2583.59</w:t>
      </w:r>
      <w:r>
        <w:rPr>
          <w:rFonts w:ascii="Times New Roman" w:hAnsi="Times New Roman" w:eastAsia="仿宋_GB2312" w:cs="Times New Roman"/>
          <w:sz w:val="32"/>
          <w:szCs w:val="32"/>
        </w:rPr>
        <w:t>万元；较201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年预算</w:t>
      </w:r>
      <w:r>
        <w:rPr>
          <w:rFonts w:hint="eastAsia" w:ascii="Times New Roman" w:hAnsi="Times New Roman" w:eastAsia="仿宋_GB2312" w:cs="Times New Roman"/>
          <w:sz w:val="32"/>
          <w:szCs w:val="32"/>
        </w:rPr>
        <w:t>减少5475.37</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减少1436.52</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减少人员经费及日常公用经费</w:t>
      </w:r>
      <w:r>
        <w:rPr>
          <w:rFonts w:ascii="Times New Roman" w:hAnsi="Times New Roman" w:eastAsia="仿宋_GB2312" w:cs="Times New Roman"/>
          <w:sz w:val="32"/>
          <w:szCs w:val="32"/>
        </w:rPr>
        <w:t>支出；项目支出</w:t>
      </w:r>
      <w:r>
        <w:rPr>
          <w:rFonts w:hint="eastAsia" w:ascii="Times New Roman" w:hAnsi="Times New Roman" w:eastAsia="仿宋_GB2312" w:cs="Times New Roman"/>
          <w:sz w:val="32"/>
          <w:szCs w:val="32"/>
        </w:rPr>
        <w:t>减少4157.85</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机构改革部分</w:t>
      </w:r>
      <w:r>
        <w:rPr>
          <w:rFonts w:ascii="Times New Roman" w:hAnsi="Times New Roman" w:eastAsia="仿宋_GB2312" w:cs="Times New Roman"/>
          <w:sz w:val="32"/>
          <w:szCs w:val="32"/>
        </w:rPr>
        <w:t>项目</w:t>
      </w:r>
      <w:r>
        <w:rPr>
          <w:rFonts w:hint="eastAsia" w:ascii="Times New Roman" w:hAnsi="Times New Roman" w:eastAsia="仿宋_GB2312" w:cs="Times New Roman"/>
          <w:sz w:val="32"/>
          <w:szCs w:val="32"/>
        </w:rPr>
        <w:t>减少</w:t>
      </w:r>
      <w:r>
        <w:rPr>
          <w:rFonts w:ascii="Times New Roman" w:hAnsi="Times New Roman" w:eastAsia="仿宋_GB2312" w:cs="Times New Roman"/>
          <w:sz w:val="32"/>
          <w:szCs w:val="32"/>
        </w:rPr>
        <w:t>支出</w:t>
      </w:r>
      <w:r>
        <w:rPr>
          <w:rFonts w:hint="eastAsia" w:ascii="Times New Roman" w:hAnsi="Times New Roman" w:eastAsia="仿宋_GB2312" w:cs="Times New Roman"/>
          <w:sz w:val="32"/>
          <w:szCs w:val="32"/>
        </w:rPr>
        <w:t>；其他支出</w:t>
      </w:r>
      <w:r>
        <w:rPr>
          <w:rFonts w:ascii="Times New Roman" w:hAnsi="Times New Roman" w:eastAsia="仿宋_GB2312" w:cs="Times New Roman"/>
          <w:sz w:val="32"/>
          <w:szCs w:val="32"/>
        </w:rPr>
        <w:t>增加</w:t>
      </w:r>
      <w:r>
        <w:rPr>
          <w:rFonts w:hint="eastAsia" w:ascii="Times New Roman" w:hAnsi="Times New Roman" w:eastAsia="仿宋_GB2312" w:cs="Times New Roman"/>
          <w:sz w:val="32"/>
          <w:szCs w:val="32"/>
        </w:rPr>
        <w:t>119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，主要为国家电影事业发展专项资金等支出</w:t>
      </w:r>
      <w:r>
        <w:rPr>
          <w:rFonts w:ascii="Times New Roman" w:hAnsi="Times New Roman" w:eastAsia="仿宋_GB2312" w:cs="Times New Roman"/>
          <w:sz w:val="32"/>
          <w:szCs w:val="32"/>
        </w:rPr>
        <w:t>。</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244.01</w:t>
      </w:r>
      <w:r>
        <w:rPr>
          <w:rFonts w:ascii="Times New Roman" w:hAnsi="Times New Roman" w:eastAsia="仿宋_GB2312" w:cs="Times New Roman"/>
          <w:sz w:val="32"/>
          <w:szCs w:val="32"/>
        </w:rPr>
        <w:t>万元，主要用于日常</w:t>
      </w:r>
      <w:r>
        <w:rPr>
          <w:rFonts w:hint="eastAsia" w:ascii="Times New Roman" w:hAnsi="Times New Roman" w:eastAsia="仿宋_GB2312" w:cs="Times New Roman"/>
          <w:sz w:val="32"/>
          <w:szCs w:val="32"/>
        </w:rPr>
        <w:t>办公费、</w:t>
      </w:r>
      <w:r>
        <w:rPr>
          <w:rFonts w:ascii="Times New Roman" w:hAnsi="Times New Roman" w:eastAsia="仿宋_GB2312" w:cs="Times New Roman"/>
          <w:sz w:val="32"/>
          <w:szCs w:val="32"/>
        </w:rPr>
        <w:t>维修、水电费等日常运行支出。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spacing w:line="584" w:lineRule="exact"/>
        <w:ind w:firstLine="640" w:firstLineChars="200"/>
        <w:jc w:val="left"/>
        <w:rPr>
          <w:rFonts w:ascii="Times New Roman" w:hAnsi="Times New Roman" w:eastAsia="仿宋_GB2312" w:cs="Times New Roman"/>
          <w:color w:val="FF0000"/>
          <w:sz w:val="32"/>
          <w:szCs w:val="32"/>
        </w:rPr>
      </w:pPr>
      <w:r>
        <w:rPr>
          <w:rFonts w:hint="eastAsia" w:ascii="Times New Roman" w:hAnsi="Times New Roman" w:eastAsia="仿宋_GB2312" w:cs="Times New Roman"/>
          <w:sz w:val="32"/>
          <w:szCs w:val="32"/>
        </w:rPr>
        <w:t>2020年</w:t>
      </w: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财政拨款“三公”经费预算安排10</w:t>
      </w:r>
      <w:r>
        <w:rPr>
          <w:rFonts w:hint="eastAsia" w:ascii="Times New Roman" w:hAnsi="Times New Roman" w:eastAsia="仿宋_GB2312" w:cs="Times New Roman"/>
          <w:sz w:val="32"/>
          <w:szCs w:val="32"/>
        </w:rPr>
        <w:t>8.8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因公出国（境）费0万元；公务用车购置及运维费</w:t>
      </w:r>
      <w:r>
        <w:rPr>
          <w:rFonts w:hint="eastAsia" w:ascii="Times New Roman" w:hAnsi="Times New Roman" w:eastAsia="仿宋_GB2312" w:cs="Times New Roman"/>
          <w:sz w:val="32"/>
          <w:szCs w:val="32"/>
        </w:rPr>
        <w:t>32.8</w:t>
      </w:r>
      <w:r>
        <w:rPr>
          <w:rFonts w:ascii="Times New Roman" w:hAnsi="Times New Roman" w:eastAsia="仿宋_GB2312" w:cs="Times New Roman"/>
          <w:sz w:val="32"/>
          <w:szCs w:val="32"/>
        </w:rPr>
        <w:t>万元（其中：公务用车购置费为0万元，公务用车运维费</w:t>
      </w:r>
      <w:r>
        <w:rPr>
          <w:rFonts w:hint="eastAsia" w:ascii="Times New Roman" w:hAnsi="Times New Roman" w:eastAsia="仿宋_GB2312" w:cs="Times New Roman"/>
          <w:sz w:val="32"/>
          <w:szCs w:val="32"/>
        </w:rPr>
        <w:t>32.8</w:t>
      </w:r>
      <w:r>
        <w:rPr>
          <w:rFonts w:ascii="Times New Roman" w:hAnsi="Times New Roman" w:eastAsia="仿宋_GB2312" w:cs="Times New Roman"/>
          <w:sz w:val="32"/>
          <w:szCs w:val="32"/>
        </w:rPr>
        <w:t>万元)；公务接待费76万元。与201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减少2.19万元，主要是</w:t>
      </w:r>
      <w:r>
        <w:rPr>
          <w:rFonts w:hint="eastAsia" w:ascii="Times New Roman" w:hAnsi="Times New Roman" w:eastAsia="仿宋_GB2312" w:cs="Times New Roman"/>
          <w:sz w:val="32"/>
          <w:szCs w:val="32"/>
        </w:rPr>
        <w:t>根据实际执行情况，减少公务用车</w:t>
      </w:r>
      <w:r>
        <w:rPr>
          <w:rFonts w:ascii="Times New Roman" w:hAnsi="Times New Roman" w:eastAsia="仿宋_GB2312" w:cs="Times New Roman"/>
          <w:sz w:val="32"/>
          <w:szCs w:val="32"/>
        </w:rPr>
        <w:t>购置及</w:t>
      </w:r>
      <w:r>
        <w:rPr>
          <w:rFonts w:hint="eastAsia" w:ascii="Times New Roman" w:hAnsi="Times New Roman" w:eastAsia="仿宋_GB2312" w:cs="Times New Roman"/>
          <w:sz w:val="32"/>
          <w:szCs w:val="32"/>
        </w:rPr>
        <w:t>运维费预算。</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p>
    <w:p>
      <w:pPr>
        <w:spacing w:line="584" w:lineRule="exact"/>
        <w:ind w:firstLine="643" w:firstLineChars="200"/>
        <w:jc w:val="left"/>
        <w:rPr>
          <w:rFonts w:ascii="Times New Roman" w:hAnsi="Times New Roman" w:eastAsia="楷体_GB2312" w:cs="Times New Roman"/>
          <w:b/>
          <w:sz w:val="32"/>
          <w:szCs w:val="32"/>
        </w:rPr>
      </w:pPr>
      <w:bookmarkStart w:id="0" w:name="_Toc471398463"/>
      <w:r>
        <w:rPr>
          <w:rFonts w:hint="eastAsia" w:ascii="Times New Roman" w:hAnsi="Times New Roman" w:eastAsia="楷体_GB2312" w:cs="Times New Roman"/>
          <w:b/>
          <w:sz w:val="32"/>
          <w:szCs w:val="32"/>
        </w:rPr>
        <w:t>第一部分  部门整体绩效目标</w:t>
      </w:r>
    </w:p>
    <w:p>
      <w:pPr>
        <w:numPr>
          <w:ilvl w:val="0"/>
          <w:numId w:val="2"/>
        </w:numPr>
        <w:spacing w:line="584" w:lineRule="exact"/>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总体绩效目标：</w:t>
      </w:r>
    </w:p>
    <w:p>
      <w:pPr>
        <w:spacing w:line="576" w:lineRule="exact"/>
        <w:ind w:firstLine="640" w:firstLineChars="200"/>
        <w:rPr>
          <w:rFonts w:ascii="仿宋" w:eastAsia="仿宋"/>
          <w:sz w:val="32"/>
          <w:szCs w:val="32"/>
        </w:rPr>
      </w:pPr>
      <w:r>
        <w:rPr>
          <w:rFonts w:hint="eastAsia" w:ascii="仿宋" w:eastAsia="仿宋" w:cs="方正仿宋_GBK"/>
          <w:sz w:val="32"/>
          <w:szCs w:val="32"/>
        </w:rPr>
        <w:t>坚持以习近平新时代中国特色社会主义思想为指导，推动全</w:t>
      </w:r>
      <w:r>
        <w:rPr>
          <w:rFonts w:ascii="仿宋" w:eastAsia="仿宋" w:cs="方正仿宋_GBK"/>
          <w:sz w:val="32"/>
          <w:szCs w:val="32"/>
        </w:rPr>
        <w:t>区</w:t>
      </w:r>
      <w:r>
        <w:rPr>
          <w:rFonts w:hint="eastAsia" w:ascii="仿宋" w:eastAsia="仿宋" w:cs="方正仿宋_GBK"/>
          <w:sz w:val="32"/>
          <w:szCs w:val="32"/>
        </w:rPr>
        <w:t>上下深入贯彻落实习近平总书记的重要指示精神和</w:t>
      </w:r>
      <w:r>
        <w:rPr>
          <w:rFonts w:ascii="仿宋" w:eastAsia="仿宋" w:cs="方正仿宋_GBK"/>
          <w:sz w:val="32"/>
          <w:szCs w:val="32"/>
        </w:rPr>
        <w:t>上级各部门的</w:t>
      </w:r>
      <w:r>
        <w:rPr>
          <w:rFonts w:hint="eastAsia" w:ascii="仿宋" w:eastAsia="仿宋" w:cs="方正仿宋_GBK"/>
          <w:sz w:val="32"/>
          <w:szCs w:val="32"/>
        </w:rPr>
        <w:t>决策部署，以有力有效措施不断扩大贯彻落实成效。根据</w:t>
      </w:r>
      <w:r>
        <w:rPr>
          <w:rFonts w:ascii="仿宋" w:eastAsia="仿宋" w:cs="方正仿宋_GBK"/>
          <w:sz w:val="32"/>
          <w:szCs w:val="32"/>
        </w:rPr>
        <w:t>区</w:t>
      </w:r>
      <w:r>
        <w:rPr>
          <w:rFonts w:hint="eastAsia" w:ascii="仿宋" w:eastAsia="仿宋" w:cs="方正仿宋_GBK"/>
          <w:sz w:val="32"/>
          <w:szCs w:val="32"/>
        </w:rPr>
        <w:t>委中心工作和领导关注问题，加强督促检查，确保</w:t>
      </w:r>
      <w:r>
        <w:rPr>
          <w:rFonts w:ascii="仿宋" w:eastAsia="仿宋" w:cs="方正仿宋_GBK"/>
          <w:sz w:val="32"/>
          <w:szCs w:val="32"/>
        </w:rPr>
        <w:t>区</w:t>
      </w:r>
      <w:r>
        <w:rPr>
          <w:rFonts w:hint="eastAsia" w:ascii="仿宋" w:eastAsia="仿宋" w:cs="方正仿宋_GBK"/>
          <w:sz w:val="32"/>
          <w:szCs w:val="32"/>
        </w:rPr>
        <w:t>委</w:t>
      </w:r>
      <w:r>
        <w:rPr>
          <w:rFonts w:ascii="仿宋" w:eastAsia="仿宋" w:cs="方正仿宋_GBK"/>
          <w:sz w:val="32"/>
          <w:szCs w:val="32"/>
        </w:rPr>
        <w:t>区</w:t>
      </w:r>
      <w:r>
        <w:rPr>
          <w:rFonts w:hint="eastAsia" w:ascii="仿宋" w:eastAsia="仿宋" w:cs="方正仿宋_GBK"/>
          <w:sz w:val="32"/>
          <w:szCs w:val="32"/>
        </w:rPr>
        <w:t>政府政令畅通；开展专题调研，更好发挥参谋助手作用；加强统筹协调，保障全</w:t>
      </w:r>
      <w:r>
        <w:rPr>
          <w:rFonts w:ascii="仿宋" w:eastAsia="仿宋" w:cs="方正仿宋_GBK"/>
          <w:sz w:val="32"/>
          <w:szCs w:val="32"/>
        </w:rPr>
        <w:t>区</w:t>
      </w:r>
      <w:r>
        <w:rPr>
          <w:rFonts w:hint="eastAsia" w:ascii="仿宋" w:eastAsia="仿宋" w:cs="方正仿宋_GBK"/>
          <w:sz w:val="32"/>
          <w:szCs w:val="32"/>
        </w:rPr>
        <w:t>性重要会议和重大活动开展；发挥信息主渠道作用，为</w:t>
      </w:r>
      <w:r>
        <w:rPr>
          <w:rFonts w:ascii="仿宋" w:eastAsia="仿宋" w:cs="方正仿宋_GBK"/>
          <w:sz w:val="32"/>
          <w:szCs w:val="32"/>
        </w:rPr>
        <w:t>区</w:t>
      </w:r>
      <w:r>
        <w:rPr>
          <w:rFonts w:hint="eastAsia" w:ascii="仿宋" w:eastAsia="仿宋" w:cs="方正仿宋_GBK"/>
          <w:sz w:val="32"/>
          <w:szCs w:val="32"/>
        </w:rPr>
        <w:t>委领导提供高质量信息服务。加强</w:t>
      </w:r>
      <w:r>
        <w:rPr>
          <w:rFonts w:ascii="仿宋" w:eastAsia="仿宋" w:cs="方正仿宋_GBK"/>
          <w:sz w:val="32"/>
          <w:szCs w:val="32"/>
        </w:rPr>
        <w:t>区委各部门</w:t>
      </w:r>
      <w:r>
        <w:rPr>
          <w:rFonts w:hint="eastAsia" w:ascii="仿宋" w:eastAsia="仿宋" w:cs="方正仿宋_GBK"/>
          <w:sz w:val="32"/>
          <w:szCs w:val="32"/>
        </w:rPr>
        <w:t>体制机制建设，改进运转保障工作，确保</w:t>
      </w:r>
      <w:r>
        <w:rPr>
          <w:rFonts w:ascii="仿宋" w:eastAsia="仿宋" w:cs="方正仿宋_GBK"/>
          <w:sz w:val="32"/>
          <w:szCs w:val="32"/>
        </w:rPr>
        <w:t>区</w:t>
      </w:r>
      <w:r>
        <w:rPr>
          <w:rFonts w:hint="eastAsia" w:ascii="仿宋" w:eastAsia="仿宋" w:cs="方正仿宋_GBK"/>
          <w:sz w:val="32"/>
          <w:szCs w:val="32"/>
        </w:rPr>
        <w:t>委</w:t>
      </w:r>
      <w:r>
        <w:rPr>
          <w:rFonts w:ascii="仿宋" w:eastAsia="仿宋" w:cs="方正仿宋_GBK"/>
          <w:sz w:val="32"/>
          <w:szCs w:val="32"/>
        </w:rPr>
        <w:t>各部门</w:t>
      </w:r>
      <w:r>
        <w:rPr>
          <w:rFonts w:hint="eastAsia" w:ascii="仿宋" w:eastAsia="仿宋" w:cs="方正仿宋_GBK"/>
          <w:sz w:val="32"/>
          <w:szCs w:val="32"/>
        </w:rPr>
        <w:t>运转通畅、高效快捷，不断提升</w:t>
      </w:r>
      <w:r>
        <w:rPr>
          <w:rFonts w:ascii="仿宋" w:eastAsia="仿宋" w:cs="方正仿宋_GBK"/>
          <w:sz w:val="32"/>
          <w:szCs w:val="32"/>
        </w:rPr>
        <w:t>各部门</w:t>
      </w:r>
      <w:r>
        <w:rPr>
          <w:rFonts w:hint="eastAsia" w:ascii="仿宋" w:eastAsia="仿宋" w:cs="方正仿宋_GBK"/>
          <w:sz w:val="32"/>
          <w:szCs w:val="32"/>
        </w:rPr>
        <w:t>“三服务”质量和水平。</w:t>
      </w:r>
    </w:p>
    <w:p>
      <w:pPr>
        <w:numPr>
          <w:ilvl w:val="0"/>
          <w:numId w:val="3"/>
        </w:num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分项绩效目标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76" w:lineRule="exact"/>
        <w:ind w:firstLine="645"/>
        <w:rPr>
          <w:rFonts w:ascii="仿宋" w:hAnsi="仿宋" w:eastAsia="仿宋" w:cs="仿宋"/>
          <w:sz w:val="32"/>
        </w:rPr>
      </w:pPr>
      <w:r>
        <w:rPr>
          <w:rFonts w:hint="eastAsia" w:ascii="新宋体" w:hAnsi="新宋体" w:eastAsia="新宋体"/>
          <w:sz w:val="32"/>
        </w:rPr>
        <w:t xml:space="preserve"> </w:t>
      </w:r>
      <w:r>
        <w:rPr>
          <w:rFonts w:hint="eastAsia" w:ascii="仿宋" w:hAnsi="仿宋" w:eastAsia="仿宋" w:cs="仿宋"/>
          <w:sz w:val="32"/>
        </w:rPr>
        <w:t>2020年，区委办公室将紧紧围绕区委中心工作，坚持以习近平新时代中国特色社会主义思想为统领，忠诚践行“五个坚持”，强化政治担当，聚焦党中央重大决策部署和省、市、区委工作要求，加大改革创新力度，不断提高“三服务”工作水平，</w:t>
      </w:r>
      <w:r>
        <w:rPr>
          <w:rFonts w:hint="eastAsia" w:ascii="仿宋" w:hAnsi="仿宋" w:eastAsia="仿宋" w:cs="仿宋"/>
          <w:color w:val="000000"/>
          <w:sz w:val="32"/>
          <w:shd w:val="clear" w:color="auto" w:fill="FFFFFF"/>
        </w:rPr>
        <w:t>努力在服务全区改革发展稳定大局中走在前、作表率。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76" w:lineRule="exact"/>
        <w:ind w:firstLine="643"/>
        <w:rPr>
          <w:rFonts w:ascii="仿宋" w:hAnsi="仿宋" w:eastAsia="仿宋" w:cs="仿宋"/>
          <w:sz w:val="32"/>
        </w:rPr>
      </w:pPr>
      <w:r>
        <w:rPr>
          <w:rFonts w:hint="eastAsia" w:ascii="仿宋" w:hAnsi="仿宋" w:eastAsia="仿宋" w:cs="仿宋"/>
          <w:b/>
          <w:sz w:val="32"/>
        </w:rPr>
        <w:t>（一）加强参谋服务，进一步提升以文辅政水平。一是提高调查研究质量。</w:t>
      </w:r>
      <w:r>
        <w:rPr>
          <w:rFonts w:hint="eastAsia" w:ascii="仿宋" w:hAnsi="仿宋" w:eastAsia="仿宋" w:cs="仿宋"/>
          <w:sz w:val="32"/>
        </w:rPr>
        <w:t>在调研工作上下功夫，提高调研的针对性，聚焦总结经验、推广典型、研究对策，重点抓好产业发展、城市治理、乡村振兴等重大课题的调查研究，力求多出思路、多出谋划、多出精品。</w:t>
      </w:r>
      <w:r>
        <w:rPr>
          <w:rFonts w:hint="eastAsia" w:ascii="仿宋" w:hAnsi="仿宋" w:eastAsia="仿宋" w:cs="仿宋"/>
          <w:b/>
          <w:sz w:val="32"/>
        </w:rPr>
        <w:t>二是着力做好信息服务。</w:t>
      </w:r>
      <w:r>
        <w:rPr>
          <w:rFonts w:hint="eastAsia" w:ascii="仿宋" w:hAnsi="仿宋" w:eastAsia="仿宋" w:cs="仿宋"/>
          <w:sz w:val="32"/>
        </w:rPr>
        <w:t>努力抓好工作动态、社情民意、经验典型、意见建议等各类信息的报送和编发，努力做到下发的信息对基层工作有指导作用，呈送的信息对领导的决策有参谋意义。定期下发通报，年底对信息工作先进单位和个人进行通报，激发信息员队伍工作活力。组织信息员业务培训和信息工作会议，全面提升信息工作水平。</w:t>
      </w:r>
      <w:r>
        <w:rPr>
          <w:rFonts w:hint="eastAsia" w:ascii="仿宋" w:hAnsi="仿宋" w:eastAsia="仿宋" w:cs="仿宋"/>
          <w:b/>
          <w:sz w:val="32"/>
        </w:rPr>
        <w:t>三是提升综合文稿水平。</w:t>
      </w:r>
      <w:r>
        <w:rPr>
          <w:rFonts w:hint="eastAsia" w:ascii="仿宋" w:hAnsi="仿宋" w:eastAsia="仿宋" w:cs="仿宋"/>
          <w:sz w:val="32"/>
        </w:rPr>
        <w:t>提倡“短、实、新”的优良文风，力求言简意赅、准确规范，不断增强文稿的思想性、指导性和可操作性，更好地指导实践、解决问题、推动工作。</w:t>
      </w:r>
      <w:r>
        <w:rPr>
          <w:rFonts w:hint="eastAsia" w:ascii="仿宋" w:hAnsi="仿宋" w:eastAsia="仿宋" w:cs="仿宋"/>
          <w:b/>
          <w:sz w:val="32"/>
        </w:rPr>
        <w:t>四是做好公文处理工作。</w:t>
      </w:r>
      <w:r>
        <w:rPr>
          <w:rFonts w:hint="eastAsia" w:ascii="仿宋" w:hAnsi="仿宋" w:eastAsia="仿宋" w:cs="仿宋"/>
          <w:sz w:val="32"/>
        </w:rPr>
        <w:t>全面优化公文办理流程，完善紧急发文处理办法，提高公文运转效率，降低公文运转的时间成本和人力成本。适应中央和省、市委公文办理工作的新特点新要求，特别是对省、市委主要领导批示件，要“立即办、零停留”“当日件、当日清”，确保事事有着落、件件有回音。</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76" w:lineRule="exact"/>
        <w:ind w:firstLine="641"/>
        <w:rPr>
          <w:rFonts w:ascii="仿宋" w:hAnsi="仿宋" w:eastAsia="仿宋" w:cs="仿宋"/>
          <w:sz w:val="32"/>
        </w:rPr>
      </w:pPr>
      <w:r>
        <w:rPr>
          <w:rFonts w:hint="eastAsia" w:ascii="仿宋" w:hAnsi="仿宋" w:eastAsia="仿宋" w:cs="仿宋"/>
          <w:b/>
          <w:sz w:val="32"/>
        </w:rPr>
        <w:t>（二）加强综合协调，进一步提升中枢运转水平。一是做好协调服务工作。</w:t>
      </w:r>
      <w:r>
        <w:rPr>
          <w:rFonts w:hint="eastAsia" w:ascii="仿宋" w:hAnsi="仿宋" w:eastAsia="仿宋" w:cs="仿宋"/>
          <w:sz w:val="32"/>
        </w:rPr>
        <w:t>对领导交办的任务，全力以赴协调，保证任务完成;对各部门提出的需求，兼顾各方需要，协助及时落实;对基层群众反映的问题，耐心及时协调，认真听取意见，满腔热情办好办实。</w:t>
      </w:r>
      <w:r>
        <w:rPr>
          <w:rFonts w:hint="eastAsia" w:ascii="仿宋" w:hAnsi="仿宋" w:eastAsia="仿宋" w:cs="仿宋"/>
          <w:b/>
          <w:sz w:val="32"/>
        </w:rPr>
        <w:t>二是提高后勤保障能力。</w:t>
      </w:r>
      <w:r>
        <w:rPr>
          <w:rFonts w:hint="eastAsia" w:ascii="仿宋" w:hAnsi="仿宋" w:eastAsia="仿宋" w:cs="仿宋"/>
          <w:sz w:val="32"/>
        </w:rPr>
        <w:t>积极探索加强和改进后勤保障的新途径，加强办公室公务用车、耗材管理，从严控制公务接待，加强会议场所管理，坚持日常巡查巡防，及时对办公设施进行维护修缮，保障机关的正常运转。</w:t>
      </w:r>
      <w:r>
        <w:rPr>
          <w:rFonts w:hint="eastAsia" w:ascii="仿宋" w:hAnsi="仿宋" w:eastAsia="仿宋" w:cs="仿宋"/>
          <w:b/>
          <w:sz w:val="32"/>
        </w:rPr>
        <w:t>三是切实做好值班工作。</w:t>
      </w:r>
      <w:r>
        <w:rPr>
          <w:rFonts w:hint="eastAsia" w:ascii="仿宋" w:hAnsi="仿宋" w:eastAsia="仿宋" w:cs="仿宋"/>
          <w:sz w:val="32"/>
        </w:rPr>
        <w:t>严格值班管理，坚持值班制度和重大紧急情况处理报告制度，保证“收、发、办、传、接、值”等各项工作规范有序。</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76" w:lineRule="exact"/>
        <w:ind w:firstLine="641"/>
        <w:rPr>
          <w:rFonts w:ascii="仿宋" w:hAnsi="仿宋" w:eastAsia="仿宋" w:cs="仿宋"/>
          <w:sz w:val="32"/>
        </w:rPr>
      </w:pPr>
      <w:r>
        <w:rPr>
          <w:rFonts w:hint="eastAsia" w:ascii="仿宋" w:hAnsi="仿宋" w:eastAsia="仿宋" w:cs="仿宋"/>
          <w:b/>
          <w:sz w:val="32"/>
        </w:rPr>
        <w:t>（三）加强督查落实，进一步提升服务决策水平。一是突出重点督查督办。</w:t>
      </w:r>
      <w:r>
        <w:rPr>
          <w:rFonts w:hint="eastAsia" w:ascii="仿宋" w:hAnsi="仿宋" w:eastAsia="仿宋" w:cs="仿宋"/>
          <w:sz w:val="32"/>
        </w:rPr>
        <w:t>将督查工作的突破口放在区委部署要求的督查落实、领导批示件的督查督办等方面，及时拟定督查方案，进行分解立项，将工作任务落实到各部门，明确责任，提出要求。进一步完善督查工作制度，加强督查计划性和前瞻性，深入实地调研督查，努力提高督查质量。注重抓落实，及时向区委领导反馈落实进程，确保各项工作部署推进有效。</w:t>
      </w:r>
      <w:r>
        <w:rPr>
          <w:rFonts w:hint="eastAsia" w:ascii="仿宋" w:hAnsi="仿宋" w:eastAsia="仿宋" w:cs="仿宋"/>
          <w:b/>
          <w:sz w:val="32"/>
        </w:rPr>
        <w:t>二是推进改革任务落实。</w:t>
      </w:r>
      <w:r>
        <w:rPr>
          <w:rFonts w:hint="eastAsia" w:ascii="仿宋" w:hAnsi="仿宋" w:eastAsia="仿宋" w:cs="仿宋"/>
          <w:sz w:val="32"/>
        </w:rPr>
        <w:t>区委改革工作在落实会议召开、台账管理等常规制度的基础上，实行上级改革任务落实情况报告、督察通报、专项调研三项制度，引导和推进全区上下各负其责、认真履职，力促每项改革举措落地见效。</w:t>
      </w:r>
      <w:r>
        <w:rPr>
          <w:rFonts w:hint="eastAsia" w:ascii="仿宋" w:hAnsi="仿宋" w:eastAsia="仿宋" w:cs="仿宋"/>
          <w:b/>
          <w:sz w:val="32"/>
        </w:rPr>
        <w:t>三是扎实做好国安工作。</w:t>
      </w:r>
      <w:r>
        <w:rPr>
          <w:rFonts w:hint="eastAsia" w:ascii="仿宋" w:hAnsi="仿宋" w:eastAsia="仿宋" w:cs="仿宋"/>
          <w:sz w:val="32"/>
        </w:rPr>
        <w:t>紧紧聚焦政治安全、经济、科技、社会稳定、公共安全、生态环境、外部环境、意识形态、党的建设等九大领域，积极协调区委国安委成员单位，全面深入摸排风险隐患，及时采取有效措施进行化解，确保全区经济社会发展大局和谐稳定。</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76" w:lineRule="exact"/>
        <w:ind w:firstLine="643"/>
        <w:rPr>
          <w:rFonts w:ascii="仿宋" w:hAnsi="仿宋" w:eastAsia="仿宋" w:cs="仿宋"/>
          <w:sz w:val="32"/>
        </w:rPr>
      </w:pPr>
      <w:r>
        <w:rPr>
          <w:rFonts w:hint="eastAsia" w:ascii="仿宋" w:hAnsi="仿宋" w:eastAsia="仿宋" w:cs="仿宋"/>
          <w:b/>
          <w:sz w:val="32"/>
        </w:rPr>
        <w:t>（四）加强自身建设，进一步提升“三服务”工作水平。一是加强政治建设。</w:t>
      </w:r>
      <w:r>
        <w:rPr>
          <w:rFonts w:hint="eastAsia" w:ascii="仿宋" w:hAnsi="仿宋" w:eastAsia="仿宋" w:cs="仿宋"/>
          <w:sz w:val="32"/>
        </w:rPr>
        <w:t>始终把“政治上忠诚可靠”作为第一要求，坚决落实“两个维护”，严肃党内政治生活，自觉加强党性锤炼，持续推进“两学一做”学习教育常态化制度化。</w:t>
      </w:r>
      <w:r>
        <w:rPr>
          <w:rFonts w:hint="eastAsia" w:ascii="仿宋" w:hAnsi="仿宋" w:eastAsia="仿宋" w:cs="仿宋"/>
          <w:b/>
          <w:sz w:val="32"/>
        </w:rPr>
        <w:t>二是加强干部作风建设。</w:t>
      </w:r>
      <w:r>
        <w:rPr>
          <w:rFonts w:hint="eastAsia" w:ascii="仿宋" w:hAnsi="仿宋" w:eastAsia="仿宋" w:cs="仿宋"/>
          <w:sz w:val="32"/>
        </w:rPr>
        <w:t>办公室干部要带头遵守政治纪律、组织纪律、保密纪律，持续开展纠正“四风”和作风纪律专项整治，认真查找在服务群众、文风会风、履职尽责等方面的突出问题，坚决整改到位；加强纪律教育和纪律执行，强化监督执纪问责，让党员干部知敬畏、存戒惧、守底线，习惯在受监督和约束的环境中工作生活。</w:t>
      </w:r>
      <w:r>
        <w:rPr>
          <w:rFonts w:hint="eastAsia" w:ascii="仿宋" w:hAnsi="仿宋" w:eastAsia="仿宋" w:cs="仿宋"/>
          <w:b/>
          <w:sz w:val="32"/>
        </w:rPr>
        <w:t>三是加强对全区党办系统指导。</w:t>
      </w:r>
      <w:r>
        <w:rPr>
          <w:rFonts w:hint="eastAsia" w:ascii="仿宋" w:hAnsi="仿宋" w:eastAsia="仿宋" w:cs="仿宋"/>
          <w:sz w:val="32"/>
        </w:rPr>
        <w:t>深入推进业务指导与互动，坚持跟班学习制度，采取集中培训、座谈交流、业务练兵等方式，提高干部业务能力，以实际行动维护党办系统的良好形象。</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rPr>
          <w:rFonts w:ascii="仿宋" w:hAnsi="仿宋" w:eastAsia="仿宋" w:cs="仿宋"/>
          <w:color w:val="000000"/>
          <w:sz w:val="32"/>
        </w:rPr>
      </w:pPr>
      <w:r>
        <w:rPr>
          <w:rFonts w:hint="eastAsia" w:ascii="仿宋" w:hAnsi="仿宋" w:eastAsia="仿宋" w:cs="仿宋"/>
          <w:sz w:val="32"/>
        </w:rPr>
        <w:t>2020</w:t>
      </w:r>
      <w:r>
        <w:rPr>
          <w:rFonts w:hint="eastAsia" w:ascii="仿宋" w:hAnsi="仿宋" w:eastAsia="仿宋" w:cs="仿宋"/>
          <w:color w:val="000000"/>
          <w:sz w:val="32"/>
        </w:rPr>
        <w:t>年，区妇联将继续高举习近平新时代中国特色社会主义思想伟大旗帜，深入学习贯彻党的十九大精神、党的十九届四中全会精神，中央党的群团工作会议精神，中国妇女十二大、河北妇女十四大精神，认真贯彻落实中央和省、市、区委各项决策部署，在区委和市妇联的坚强领导下，围绕中心服务大局，立足基层服务妇女，团结带领全区妇女勇于担当、乐于奉献、创新实干，为加快建设经济强区、美丽广阳贡献半边天力量。</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rPr>
          <w:rFonts w:ascii="仿宋" w:hAnsi="仿宋" w:eastAsia="仿宋" w:cs="仿宋"/>
          <w:sz w:val="32"/>
        </w:rPr>
      </w:pPr>
      <w:r>
        <w:rPr>
          <w:rFonts w:hint="eastAsia" w:ascii="仿宋" w:hAnsi="仿宋" w:eastAsia="仿宋" w:cs="仿宋"/>
          <w:b/>
          <w:sz w:val="32"/>
        </w:rPr>
        <w:t>着力推进青年志愿者服务行动。</w:t>
      </w:r>
      <w:r>
        <w:rPr>
          <w:rFonts w:hint="eastAsia" w:ascii="仿宋" w:hAnsi="仿宋" w:eastAsia="仿宋" w:cs="仿宋"/>
          <w:sz w:val="32"/>
        </w:rPr>
        <w:t>以创建文明城市为载体，以学雷锋月和庆祝“</w:t>
      </w:r>
      <w:r>
        <w:rPr>
          <w:rFonts w:hint="eastAsia" w:ascii="仿宋" w:hAnsi="仿宋" w:eastAsia="仿宋" w:cs="仿宋"/>
          <w:sz w:val="32"/>
          <w:lang w:eastAsia="zh-CN"/>
        </w:rPr>
        <w:t>五四运动</w:t>
      </w:r>
      <w:r>
        <w:rPr>
          <w:rFonts w:hint="eastAsia" w:ascii="仿宋" w:hAnsi="仿宋" w:eastAsia="仿宋" w:cs="仿宋"/>
          <w:sz w:val="32"/>
        </w:rPr>
        <w:t>100周年为抓手，组织青年志愿者服务队深入社区、周边街道及敬老院，开展“弘扬雷锋精神 谱写青春华章”、“青春心向党 建功新时代”和“寸草心爱老敬老”等志愿服务活动，为社区居民、孤寡老人进行宣传、义诊、理发、清扫垃圾和清理小广告等服务。</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rPr>
          <w:rFonts w:ascii="仿宋" w:hAnsi="仿宋" w:eastAsia="仿宋" w:cs="仿宋"/>
          <w:sz w:val="32"/>
        </w:rPr>
      </w:pPr>
      <w:r>
        <w:rPr>
          <w:rFonts w:hint="eastAsia" w:ascii="仿宋" w:hAnsi="仿宋" w:eastAsia="仿宋" w:cs="仿宋"/>
          <w:b/>
          <w:sz w:val="32"/>
        </w:rPr>
        <w:t>着力开展青少年自护教育。一是开展中考减压活动。</w:t>
      </w:r>
      <w:r>
        <w:rPr>
          <w:rFonts w:hint="eastAsia" w:ascii="仿宋" w:hAnsi="仿宋" w:eastAsia="仿宋" w:cs="仿宋"/>
          <w:sz w:val="32"/>
        </w:rPr>
        <w:t>在中考前夕，邀请心理咨询师郭琳走进廊坊市第六中学，为初三学生们作了一次考前减压辅导专题讲座。通过生动有趣的案例剖析，形象直观的肢体动作以及互动小游戏，进一步增强了考生考前心理素质，引导学生们积极调整心态迎接中考。</w:t>
      </w:r>
      <w:r>
        <w:rPr>
          <w:rFonts w:hint="eastAsia" w:ascii="仿宋" w:hAnsi="仿宋" w:eastAsia="仿宋" w:cs="仿宋"/>
          <w:b/>
          <w:sz w:val="32"/>
        </w:rPr>
        <w:t>二是开展禁毒主题教育活动。</w:t>
      </w:r>
      <w:r>
        <w:rPr>
          <w:rFonts w:hint="eastAsia" w:ascii="仿宋" w:hAnsi="仿宋" w:eastAsia="仿宋" w:cs="仿宋"/>
          <w:sz w:val="32"/>
        </w:rPr>
        <w:t>在第32个国际禁毒日之际，在市强制戒毒所组织开展了“珍爱生命 远离毒品”主题教育活动。通过戒毒所工作人员讲解和观看展板、签名寄语以及观看戒毒人员表演，使广大学生加深对毒品危害性的认识，并了解了艾滋病的传播途径，进一步加强防范意识，切实做到拒绝毒品、抵制毒品。</w:t>
      </w:r>
      <w:r>
        <w:rPr>
          <w:rFonts w:hint="eastAsia" w:ascii="仿宋" w:hAnsi="仿宋" w:eastAsia="仿宋" w:cs="仿宋"/>
          <w:b/>
          <w:sz w:val="32"/>
        </w:rPr>
        <w:t>三是签订框架协议。</w:t>
      </w:r>
      <w:r>
        <w:rPr>
          <w:rFonts w:hint="eastAsia" w:ascii="仿宋" w:hAnsi="仿宋" w:eastAsia="仿宋" w:cs="仿宋"/>
          <w:sz w:val="32"/>
        </w:rPr>
        <w:t>为进一步提高权益保护和预防青少年违法犯罪工作水平，11月18日，团区委与区检察院举行了构建未成年人检察工作社会支持体系合作框架协议会签仪式。通过座谈交流，双方就未成年人司法保护制度、加强青少年法治宣传和犯罪预防、强化未成年人权益保护、推动完善相关法律和政策等方面达成共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40"/>
        <w:rPr>
          <w:rFonts w:ascii="仿宋" w:hAnsi="仿宋" w:eastAsia="仿宋" w:cs="仿宋"/>
          <w:b/>
          <w:sz w:val="32"/>
          <w:szCs w:val="32"/>
        </w:rPr>
      </w:pPr>
      <w:r>
        <w:rPr>
          <w:rFonts w:hint="eastAsia" w:ascii="仿宋" w:hAnsi="仿宋" w:eastAsia="仿宋" w:cs="仿宋"/>
          <w:sz w:val="32"/>
        </w:rPr>
        <w:t>我校将围绕全区中心工作，坚持党校姓党，继续从严从实，狠抓管理，提升服务区委中心工作的能力和水平。继续抓好习近平新时代中国特色社会主义思想和党的十九大、十九届四中全会精神的学习宣传贯彻，引导党员干部自觉用习近平新时代中国特色社会主义思想武装头脑、指导实践。</w:t>
      </w:r>
      <w:r>
        <w:rPr>
          <w:rFonts w:hint="eastAsia" w:ascii="仿宋" w:hAnsi="仿宋" w:eastAsia="仿宋" w:cs="仿宋"/>
          <w:b/>
          <w:sz w:val="32"/>
        </w:rPr>
        <w:t>一是强化政治引领，提升服务大局能力。</w:t>
      </w:r>
      <w:r>
        <w:rPr>
          <w:rFonts w:hint="eastAsia" w:ascii="仿宋" w:hAnsi="仿宋" w:eastAsia="仿宋" w:cs="仿宋"/>
          <w:sz w:val="32"/>
        </w:rPr>
        <w:t>认真贯彻落实《中国共产党党校（行政学院）工作条例》，教育引导干部职工牢固树立“四个意识”，坚定“四个自信”，做到“两个维护”，进一步展现党校人“走在前、作表率”的政治担当。</w:t>
      </w:r>
      <w:r>
        <w:rPr>
          <w:rFonts w:hint="eastAsia" w:ascii="仿宋" w:hAnsi="仿宋" w:eastAsia="仿宋" w:cs="仿宋"/>
          <w:b/>
          <w:sz w:val="32"/>
        </w:rPr>
        <w:t>二是把握培训需求、精心设计培训内容。</w:t>
      </w:r>
      <w:r>
        <w:rPr>
          <w:rFonts w:hint="eastAsia" w:ascii="仿宋" w:hAnsi="仿宋" w:eastAsia="仿宋" w:cs="仿宋"/>
          <w:sz w:val="32"/>
        </w:rPr>
        <w:t>深入贯彻落实《2018-2022年全国干部教育培训规划》《2019－2023年全国党员教育培训工作规划》要求，进一步突出党史党性教育和理论教育主课地位，围绕区委区政府中心工作培训党员干部，精细安排培训课程，不断提高党员干部适应新时代、实现新目标、落实新部署的能力。</w:t>
      </w:r>
      <w:r>
        <w:rPr>
          <w:rFonts w:hint="eastAsia" w:ascii="仿宋" w:hAnsi="仿宋" w:eastAsia="仿宋" w:cs="仿宋"/>
          <w:b/>
          <w:sz w:val="32"/>
        </w:rPr>
        <w:t>三是大力开展理论宣讲</w:t>
      </w:r>
      <w:r>
        <w:rPr>
          <w:rFonts w:hint="eastAsia" w:ascii="仿宋" w:hAnsi="仿宋" w:eastAsia="仿宋" w:cs="仿宋"/>
          <w:sz w:val="32"/>
        </w:rPr>
        <w:t>，进一步加强思想理论引领，坚定干部“四个自信”，增强民族自信和自豪感。</w:t>
      </w:r>
      <w:r>
        <w:rPr>
          <w:rFonts w:hint="eastAsia" w:ascii="仿宋" w:hAnsi="仿宋" w:eastAsia="仿宋" w:cs="仿宋"/>
          <w:b/>
          <w:sz w:val="32"/>
        </w:rPr>
        <w:t>四是坚持“党校姓党”根本办学原则</w:t>
      </w:r>
      <w:r>
        <w:rPr>
          <w:rFonts w:hint="eastAsia" w:ascii="仿宋" w:hAnsi="仿宋" w:eastAsia="仿宋" w:cs="仿宋"/>
          <w:sz w:val="32"/>
        </w:rPr>
        <w:t>，始终把突出政治建设作为党校办学的首要遵循，加强课堂准入机制建设，强化上讲台前的政治审查与内容核准，确保不出“杂音”“噪音”，确保意识形态方面不出问题。</w:t>
      </w:r>
    </w:p>
    <w:p>
      <w:pPr>
        <w:spacing w:line="584" w:lineRule="exact"/>
        <w:ind w:firstLine="643" w:firstLineChars="200"/>
        <w:jc w:val="left"/>
        <w:rPr>
          <w:rFonts w:ascii="仿宋" w:hAnsi="仿宋" w:eastAsia="仿宋" w:cs="仿宋"/>
          <w:b/>
          <w:sz w:val="32"/>
          <w:szCs w:val="32"/>
        </w:rPr>
      </w:pPr>
      <w:r>
        <w:rPr>
          <w:rFonts w:hint="eastAsia" w:ascii="仿宋" w:hAnsi="仿宋" w:eastAsia="仿宋" w:cs="仿宋"/>
          <w:b/>
          <w:sz w:val="32"/>
          <w:szCs w:val="32"/>
        </w:rPr>
        <w:t>（三）工作保障措施</w:t>
      </w:r>
    </w:p>
    <w:p>
      <w:pPr>
        <w:spacing w:line="576" w:lineRule="exact"/>
        <w:ind w:firstLine="643" w:firstLineChars="200"/>
        <w:rPr>
          <w:rFonts w:ascii="仿宋" w:hAnsi="仿宋" w:eastAsia="仿宋" w:cs="仿宋"/>
          <w:sz w:val="32"/>
          <w:szCs w:val="32"/>
        </w:rPr>
      </w:pPr>
      <w:r>
        <w:rPr>
          <w:rFonts w:hint="eastAsia" w:ascii="仿宋" w:hAnsi="仿宋" w:eastAsia="仿宋" w:cs="仿宋"/>
          <w:b/>
          <w:bCs/>
          <w:sz w:val="32"/>
          <w:szCs w:val="32"/>
        </w:rPr>
        <w:t>一是加强政治建设。</w:t>
      </w:r>
      <w:r>
        <w:rPr>
          <w:rFonts w:hint="eastAsia" w:ascii="仿宋" w:hAnsi="仿宋" w:eastAsia="仿宋" w:cs="仿宋"/>
          <w:sz w:val="32"/>
          <w:szCs w:val="32"/>
        </w:rPr>
        <w:t>始终把“政治上忠诚可靠”作为第一要求，坚决落实“两个维护”，严肃党内政治生活，自觉加强党性锤炼，持续推进“两学一做”学习教育常态化制度化。</w:t>
      </w:r>
      <w:r>
        <w:rPr>
          <w:rFonts w:hint="eastAsia" w:ascii="仿宋" w:hAnsi="仿宋" w:eastAsia="仿宋" w:cs="仿宋"/>
          <w:b/>
          <w:bCs/>
          <w:sz w:val="32"/>
          <w:szCs w:val="32"/>
        </w:rPr>
        <w:t>二是加强干部作风建设。</w:t>
      </w:r>
      <w:r>
        <w:rPr>
          <w:rFonts w:hint="eastAsia" w:ascii="仿宋" w:hAnsi="仿宋" w:eastAsia="仿宋" w:cs="仿宋"/>
          <w:sz w:val="32"/>
          <w:szCs w:val="32"/>
        </w:rPr>
        <w:t>办公室干部要带头遵守政治纪律、组织纪律、保密纪律，持续开展纠正“四风”和作风纪律专项整治，认真查找在服务群众、文风会风、履职尽责等方面的突出问题，坚决整改到位；加强纪律教育和纪律执行，强化监督执纪问责，让党员干部知敬畏、存戒惧、守底线，习惯在受监督和约束的环境中工作生活。</w:t>
      </w:r>
      <w:r>
        <w:rPr>
          <w:rFonts w:hint="eastAsia" w:ascii="仿宋" w:hAnsi="仿宋" w:eastAsia="仿宋" w:cs="仿宋"/>
          <w:b/>
          <w:bCs/>
          <w:sz w:val="32"/>
          <w:szCs w:val="32"/>
        </w:rPr>
        <w:t>三是加强对全区党办系统指导。</w:t>
      </w:r>
      <w:r>
        <w:rPr>
          <w:rFonts w:hint="eastAsia" w:ascii="仿宋" w:hAnsi="仿宋" w:eastAsia="仿宋" w:cs="仿宋"/>
          <w:sz w:val="32"/>
          <w:szCs w:val="32"/>
        </w:rPr>
        <w:t>深入推进业务指导与互动，坚持跟班学习制度，采取集中培训、座谈交流、业务练兵等方式，提高干部业务能力，以实际行动维护党办系统的良好形象。</w:t>
      </w:r>
    </w:p>
    <w:p>
      <w:pPr>
        <w:spacing w:line="584" w:lineRule="exact"/>
        <w:ind w:left="643"/>
        <w:jc w:val="left"/>
        <w:rPr>
          <w:rFonts w:ascii="Times New Roman" w:hAnsi="Times New Roman" w:eastAsia="楷体_GB2312" w:cs="Times New Roman"/>
          <w:b/>
          <w:sz w:val="32"/>
          <w:szCs w:val="32"/>
        </w:rPr>
      </w:pPr>
    </w:p>
    <w:p>
      <w:pPr>
        <w:spacing w:line="584" w:lineRule="exact"/>
        <w:ind w:left="643"/>
        <w:jc w:val="left"/>
        <w:rPr>
          <w:rFonts w:ascii="Times New Roman" w:hAnsi="Times New Roman" w:eastAsia="楷体_GB2312" w:cs="Times New Roman"/>
          <w:b/>
          <w:sz w:val="32"/>
          <w:szCs w:val="32"/>
        </w:rPr>
      </w:pPr>
    </w:p>
    <w:p>
      <w:pPr>
        <w:spacing w:line="584" w:lineRule="exact"/>
        <w:ind w:left="643"/>
        <w:jc w:val="left"/>
        <w:rPr>
          <w:rFonts w:ascii="Times New Roman" w:hAnsi="Times New Roman" w:eastAsia="楷体_GB2312" w:cs="Times New Roman"/>
          <w:b/>
          <w:sz w:val="32"/>
          <w:szCs w:val="32"/>
        </w:rPr>
      </w:pPr>
    </w:p>
    <w:p>
      <w:pPr>
        <w:spacing w:line="584" w:lineRule="exact"/>
        <w:ind w:left="643"/>
        <w:jc w:val="left"/>
        <w:rPr>
          <w:rFonts w:ascii="Times New Roman" w:hAnsi="Times New Roman" w:eastAsia="楷体_GB2312" w:cs="Times New Roman"/>
          <w:b/>
          <w:sz w:val="32"/>
          <w:szCs w:val="32"/>
        </w:rPr>
      </w:pPr>
    </w:p>
    <w:p>
      <w:pPr>
        <w:spacing w:line="584" w:lineRule="exact"/>
        <w:ind w:left="643"/>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第二部分  资金绩效目标</w:t>
      </w:r>
    </w:p>
    <w:p>
      <w:pPr>
        <w:spacing w:line="584" w:lineRule="exact"/>
        <w:ind w:left="643"/>
        <w:jc w:val="left"/>
        <w:rPr>
          <w:rFonts w:ascii="Times New Roman" w:hAnsi="Times New Roman" w:eastAsia="楷体_GB2312" w:cs="Times New Roman"/>
          <w:b/>
          <w:sz w:val="32"/>
          <w:szCs w:val="32"/>
        </w:rPr>
      </w:pPr>
      <w:r>
        <w:rPr>
          <w:rFonts w:hint="eastAsia" w:ascii="方正仿宋_GBK" w:eastAsia="方正仿宋_GBK"/>
          <w:b/>
          <w:sz w:val="28"/>
        </w:rPr>
        <w:t>1、村级组织运转经费绩效目标表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 w:name="_Toc33344265"/>
      <w:r>
        <w:rPr>
          <w:rFonts w:hint="eastAsia" w:ascii="方正仿宋_GBK" w:eastAsia="方正仿宋_GBK"/>
          <w:b/>
          <w:sz w:val="28"/>
        </w:rPr>
        <w:instrText xml:space="preserve">1、村级组织运转经费绩效目标表</w:instrText>
      </w:r>
      <w:bookmarkEnd w:id="1"/>
      <w:r>
        <w:rPr>
          <w:rFonts w:hint="eastAsia" w:ascii="方正仿宋_GBK" w:eastAsia="方正仿宋_GBK"/>
          <w:b/>
          <w:sz w:val="28"/>
        </w:rPr>
        <w:instrText xml:space="preserve"> \f B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、充分调动农村干部工资积极性</w:t>
            </w:r>
            <w:r>
              <w:rPr>
                <w:rFonts w:ascii="方正书宋_GBK" w:eastAsia="方正书宋_GBK"/>
              </w:rPr>
              <w:t>,</w:t>
            </w:r>
            <w:r>
              <w:rPr>
                <w:rFonts w:hint="eastAsia" w:ascii="方正书宋_GBK" w:eastAsia="方正书宋_GBK"/>
              </w:rPr>
              <w:t>妥善解决村党组织书记、村委会主任</w:t>
            </w:r>
            <w:r>
              <w:rPr>
                <w:rFonts w:hint="cs" w:ascii="方正书宋_GBK" w:eastAsia="方正书宋_GBK"/>
              </w:rPr>
              <w:t>“</w:t>
            </w:r>
            <w:r>
              <w:rPr>
                <w:rFonts w:hint="eastAsia" w:ascii="方正书宋_GBK" w:eastAsia="方正书宋_GBK"/>
              </w:rPr>
              <w:t>退后有所养</w:t>
            </w:r>
            <w:r>
              <w:rPr>
                <w:rFonts w:hint="cs" w:ascii="方正书宋_GBK" w:eastAsia="方正书宋_GBK"/>
              </w:rPr>
              <w:t>”</w:t>
            </w:r>
            <w:r>
              <w:rPr>
                <w:rFonts w:hint="eastAsia" w:ascii="方正书宋_GBK" w:eastAsia="方正书宋_GBK"/>
              </w:rPr>
              <w:t>的问题。</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、全面落实河北省委</w:t>
            </w:r>
            <w:r>
              <w:rPr>
                <w:rFonts w:ascii="方正书宋_GBK" w:eastAsia="方正书宋_GBK"/>
              </w:rPr>
              <w:t>"</w:t>
            </w:r>
            <w:r>
              <w:rPr>
                <w:rFonts w:hint="eastAsia" w:ascii="方正书宋_GBK" w:eastAsia="方正书宋_GBK"/>
              </w:rPr>
              <w:t>一定三有</w:t>
            </w:r>
            <w:r>
              <w:rPr>
                <w:rFonts w:ascii="方正书宋_GBK" w:eastAsia="方正书宋_GBK"/>
              </w:rPr>
              <w:t>"</w:t>
            </w:r>
            <w:r>
              <w:rPr>
                <w:rFonts w:hint="eastAsia" w:ascii="方正书宋_GBK" w:eastAsia="方正书宋_GBK"/>
              </w:rPr>
              <w:t>激励保障机制</w:t>
            </w:r>
            <w:r>
              <w:rPr>
                <w:rFonts w:ascii="方正书宋_GBK" w:eastAsia="方正书宋_GBK"/>
              </w:rPr>
              <w:t>,</w:t>
            </w:r>
            <w:r>
              <w:rPr>
                <w:rFonts w:hint="eastAsia" w:ascii="方正书宋_GBK" w:eastAsia="方正书宋_GBK"/>
              </w:rPr>
              <w:t>通过给予正常离退村干部补贴，激发村干部干事创业热情。</w:t>
            </w:r>
          </w:p>
        </w:tc>
      </w:tr>
    </w:tbl>
    <w:p>
      <w:pPr>
        <w:pStyle w:val="14"/>
        <w:numPr>
          <w:ilvl w:val="0"/>
          <w:numId w:val="4"/>
        </w:numPr>
        <w:spacing w:line="14" w:lineRule="exact"/>
        <w:ind w:firstLineChars="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拨付率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村干部工资拨付情况占应拨付村干部工资的比例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市委组织部、市财政局《关于认真落实省委组织部、省财政厅印发的</w:t>
            </w:r>
            <w:r>
              <w:rPr>
                <w:rFonts w:ascii="方正书宋_GBK" w:eastAsia="方正书宋_GBK"/>
              </w:rPr>
              <w:t>&lt;</w:t>
            </w:r>
            <w:r>
              <w:rPr>
                <w:rFonts w:hint="eastAsia" w:ascii="方正书宋_GBK" w:eastAsia="方正书宋_GBK"/>
              </w:rPr>
              <w:t>关于提高村级组织运转经费保障水平的意见</w:t>
            </w:r>
            <w:r>
              <w:rPr>
                <w:rFonts w:ascii="方正书宋_GBK" w:eastAsia="方正书宋_GBK"/>
              </w:rPr>
              <w:t>&gt;</w:t>
            </w:r>
            <w:r>
              <w:rPr>
                <w:rFonts w:hint="eastAsia" w:ascii="方正书宋_GBK" w:eastAsia="方正书宋_GBK"/>
              </w:rPr>
              <w:t>的通知》（廊组字〔</w:t>
            </w:r>
            <w:r>
              <w:rPr>
                <w:rFonts w:ascii="方正书宋_GBK" w:eastAsia="方正书宋_GBK"/>
              </w:rPr>
              <w:t>2018</w:t>
            </w:r>
            <w:r>
              <w:rPr>
                <w:rFonts w:hint="eastAsia" w:ascii="方正书宋_GBK" w:eastAsia="方正书宋_GBK"/>
              </w:rPr>
              <w:t>〕</w:t>
            </w:r>
            <w:r>
              <w:rPr>
                <w:rFonts w:ascii="方正书宋_GBK" w:eastAsia="方正书宋_GBK"/>
              </w:rPr>
              <w:t>94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当年拨付村干部工资完成情况占应拨付工资的比例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市委组织部、市财政局《关于认真落实省委组织部、省财政厅印发的</w:t>
            </w:r>
            <w:r>
              <w:rPr>
                <w:rFonts w:ascii="方正书宋_GBK" w:eastAsia="方正书宋_GBK"/>
              </w:rPr>
              <w:t>&lt;</w:t>
            </w:r>
            <w:r>
              <w:rPr>
                <w:rFonts w:hint="eastAsia" w:ascii="方正书宋_GBK" w:eastAsia="方正书宋_GBK"/>
              </w:rPr>
              <w:t>关于提高村级组织运转经费保障水平的意见</w:t>
            </w:r>
            <w:r>
              <w:rPr>
                <w:rFonts w:ascii="方正书宋_GBK" w:eastAsia="方正书宋_GBK"/>
              </w:rPr>
              <w:t>&gt;</w:t>
            </w:r>
            <w:r>
              <w:rPr>
                <w:rFonts w:hint="eastAsia" w:ascii="方正书宋_GBK" w:eastAsia="方正书宋_GBK"/>
              </w:rPr>
              <w:t>的通知》（廊组字〔</w:t>
            </w:r>
            <w:r>
              <w:rPr>
                <w:rFonts w:ascii="方正书宋_GBK" w:eastAsia="方正书宋_GBK"/>
              </w:rPr>
              <w:t>2018</w:t>
            </w:r>
            <w:r>
              <w:rPr>
                <w:rFonts w:hint="eastAsia" w:ascii="方正书宋_GBK" w:eastAsia="方正书宋_GBK"/>
              </w:rPr>
              <w:t>〕</w:t>
            </w:r>
            <w:r>
              <w:rPr>
                <w:rFonts w:ascii="方正书宋_GBK" w:eastAsia="方正书宋_GBK"/>
              </w:rPr>
              <w:t>94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长期使用性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能够长期较好满足正常离任村干部需求。</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&gt;0</w:t>
            </w:r>
            <w:r>
              <w:rPr>
                <w:rFonts w:hint="eastAsia" w:ascii="方正书宋_GBK" w:eastAsia="方正书宋_GBK"/>
              </w:rPr>
              <w:t>长期使用</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市委组织部、市财政局《关于认真落实省委组织部、省财政厅印发的</w:t>
            </w:r>
            <w:r>
              <w:rPr>
                <w:rFonts w:ascii="方正书宋_GBK" w:eastAsia="方正书宋_GBK"/>
              </w:rPr>
              <w:t>&lt;</w:t>
            </w:r>
            <w:r>
              <w:rPr>
                <w:rFonts w:hint="eastAsia" w:ascii="方正书宋_GBK" w:eastAsia="方正书宋_GBK"/>
              </w:rPr>
              <w:t>关于提高村级组织运转经费保障水平的意见</w:t>
            </w:r>
            <w:r>
              <w:rPr>
                <w:rFonts w:ascii="方正书宋_GBK" w:eastAsia="方正书宋_GBK"/>
              </w:rPr>
              <w:t>&gt;</w:t>
            </w:r>
            <w:r>
              <w:rPr>
                <w:rFonts w:hint="eastAsia" w:ascii="方正书宋_GBK" w:eastAsia="方正书宋_GBK"/>
              </w:rPr>
              <w:t>的通知》（廊组字〔</w:t>
            </w:r>
            <w:r>
              <w:rPr>
                <w:rFonts w:ascii="方正书宋_GBK" w:eastAsia="方正书宋_GBK"/>
              </w:rPr>
              <w:t>2018</w:t>
            </w:r>
            <w:r>
              <w:rPr>
                <w:rFonts w:hint="eastAsia" w:ascii="方正书宋_GBK" w:eastAsia="方正书宋_GBK"/>
              </w:rPr>
              <w:t>〕</w:t>
            </w:r>
            <w:r>
              <w:rPr>
                <w:rFonts w:ascii="方正书宋_GBK" w:eastAsia="方正书宋_GBK"/>
              </w:rPr>
              <w:t>94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妥善解决村党组织书记、村委会主任</w:t>
            </w:r>
            <w:r>
              <w:rPr>
                <w:rFonts w:hint="cs" w:ascii="方正书宋_GBK" w:eastAsia="方正书宋_GBK"/>
              </w:rPr>
              <w:t>“</w:t>
            </w:r>
            <w:r>
              <w:rPr>
                <w:rFonts w:hint="eastAsia" w:ascii="方正书宋_GBK" w:eastAsia="方正书宋_GBK"/>
              </w:rPr>
              <w:t>退后有所养</w:t>
            </w:r>
            <w:r>
              <w:rPr>
                <w:rFonts w:hint="cs" w:ascii="方正书宋_GBK" w:eastAsia="方正书宋_GBK"/>
              </w:rPr>
              <w:t>”</w:t>
            </w:r>
            <w:r>
              <w:rPr>
                <w:rFonts w:hint="eastAsia" w:ascii="方正书宋_GBK" w:eastAsia="方正书宋_GBK"/>
              </w:rPr>
              <w:t>的问题，增强党组织影响力。</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影响力有所提升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市委组织部、市财政局《关于认真落实省委组织部、省财政厅印发的</w:t>
            </w:r>
            <w:r>
              <w:rPr>
                <w:rFonts w:ascii="方正书宋_GBK" w:eastAsia="方正书宋_GBK"/>
              </w:rPr>
              <w:t>&lt;</w:t>
            </w:r>
            <w:r>
              <w:rPr>
                <w:rFonts w:hint="eastAsia" w:ascii="方正书宋_GBK" w:eastAsia="方正书宋_GBK"/>
              </w:rPr>
              <w:t>关于提高村级组织运转经费保障水平的意见</w:t>
            </w:r>
            <w:r>
              <w:rPr>
                <w:rFonts w:ascii="方正书宋_GBK" w:eastAsia="方正书宋_GBK"/>
              </w:rPr>
              <w:t>&gt;</w:t>
            </w:r>
            <w:r>
              <w:rPr>
                <w:rFonts w:hint="eastAsia" w:ascii="方正书宋_GBK" w:eastAsia="方正书宋_GBK"/>
              </w:rPr>
              <w:t>的通知》（廊组字〔</w:t>
            </w:r>
            <w:r>
              <w:rPr>
                <w:rFonts w:ascii="方正书宋_GBK" w:eastAsia="方正书宋_GBK"/>
              </w:rPr>
              <w:t>2018</w:t>
            </w:r>
            <w:r>
              <w:rPr>
                <w:rFonts w:hint="eastAsia" w:ascii="方正书宋_GBK" w:eastAsia="方正书宋_GBK"/>
              </w:rPr>
              <w:t>〕</w:t>
            </w:r>
            <w:r>
              <w:rPr>
                <w:rFonts w:ascii="方正书宋_GBK" w:eastAsia="方正书宋_GBK"/>
              </w:rPr>
              <w:t>94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市委组织部、市财政局《关于认真落实省委组织部、省财政厅印发的</w:t>
            </w:r>
            <w:r>
              <w:rPr>
                <w:rFonts w:ascii="方正书宋_GBK" w:eastAsia="方正书宋_GBK"/>
              </w:rPr>
              <w:t>&lt;</w:t>
            </w:r>
            <w:r>
              <w:rPr>
                <w:rFonts w:hint="eastAsia" w:ascii="方正书宋_GBK" w:eastAsia="方正书宋_GBK"/>
              </w:rPr>
              <w:t>关于提高村级组织运转经费保障水平的意见</w:t>
            </w:r>
            <w:r>
              <w:rPr>
                <w:rFonts w:ascii="方正书宋_GBK" w:eastAsia="方正书宋_GBK"/>
              </w:rPr>
              <w:t>&gt;</w:t>
            </w:r>
            <w:r>
              <w:rPr>
                <w:rFonts w:hint="eastAsia" w:ascii="方正书宋_GBK" w:eastAsia="方正书宋_GBK"/>
              </w:rPr>
              <w:t>的通知》（廊组字〔</w:t>
            </w:r>
            <w:r>
              <w:rPr>
                <w:rFonts w:ascii="方正书宋_GBK" w:eastAsia="方正书宋_GBK"/>
              </w:rPr>
              <w:t>2018</w:t>
            </w:r>
            <w:r>
              <w:rPr>
                <w:rFonts w:hint="eastAsia" w:ascii="方正书宋_GBK" w:eastAsia="方正书宋_GBK"/>
              </w:rPr>
              <w:t>〕</w:t>
            </w:r>
            <w:r>
              <w:rPr>
                <w:rFonts w:ascii="方正书宋_GBK" w:eastAsia="方正书宋_GBK"/>
              </w:rPr>
              <w:t>94</w:t>
            </w:r>
            <w:r>
              <w:rPr>
                <w:rFonts w:hint="eastAsia" w:ascii="方正书宋_GBK" w:eastAsia="方正书宋_GBK"/>
              </w:rPr>
              <w:t>号）</w:t>
            </w:r>
          </w:p>
        </w:tc>
      </w:tr>
    </w:tbl>
    <w:p>
      <w:pPr>
        <w:pStyle w:val="14"/>
        <w:numPr>
          <w:ilvl w:val="0"/>
          <w:numId w:val="4"/>
        </w:numPr>
        <w:spacing w:line="300" w:lineRule="exact"/>
        <w:ind w:firstLineChars="0"/>
        <w:jc w:val="left"/>
        <w:sectPr>
          <w:pgSz w:w="16839" w:h="11907" w:orient="landscape"/>
          <w:pgMar w:top="1304" w:right="1984" w:bottom="1304" w:left="1134" w:header="851" w:footer="992" w:gutter="0"/>
          <w:cols w:space="425" w:num="1"/>
          <w:docGrid w:type="lines" w:linePitch="312" w:charSpace="0"/>
        </w:sectPr>
      </w:pPr>
    </w:p>
    <w:p>
      <w:pPr>
        <w:jc w:val="left"/>
        <w:outlineLvl w:val="1"/>
        <w:rPr>
          <w:rFonts w:ascii="Times New Roman" w:hAnsi="宋体"/>
          <w:b/>
          <w:sz w:val="28"/>
        </w:rPr>
      </w:pPr>
      <w:r>
        <w:rPr>
          <w:rFonts w:hint="eastAsia" w:ascii="方正仿宋_GBK" w:eastAsia="方正仿宋_GBK"/>
          <w:b/>
          <w:sz w:val="28"/>
        </w:rPr>
        <w:t>2、国防教育绩效目标表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2" w:name="_Toc33344266"/>
      <w:r>
        <w:rPr>
          <w:rFonts w:hint="eastAsia" w:ascii="方正仿宋_GBK" w:eastAsia="方正仿宋_GBK"/>
          <w:b/>
          <w:sz w:val="28"/>
        </w:rPr>
        <w:instrText xml:space="preserve">2、国防教育绩效目标表</w:instrText>
      </w:r>
      <w:bookmarkEnd w:id="2"/>
      <w:r>
        <w:rPr>
          <w:rFonts w:hint="eastAsia" w:ascii="方正仿宋_GBK" w:eastAsia="方正仿宋_GBK"/>
          <w:b/>
          <w:sz w:val="28"/>
        </w:rPr>
        <w:instrText xml:space="preserve"> \f B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、对全体公民宣传国防基本教育。</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、积极推动我区国防教育工作的新发展，为我区经济建设和国防建设协同发展做出贡献。</w:t>
            </w:r>
          </w:p>
        </w:tc>
      </w:tr>
    </w:tbl>
    <w:p>
      <w:pPr>
        <w:pStyle w:val="14"/>
        <w:numPr>
          <w:ilvl w:val="0"/>
          <w:numId w:val="4"/>
        </w:numPr>
        <w:spacing w:line="14" w:lineRule="exact"/>
        <w:ind w:firstLineChars="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国防教育宣传覆盖率占实际覆盖的占比率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廊发【</w:t>
            </w:r>
            <w:r>
              <w:rPr>
                <w:rFonts w:ascii="方正书宋_GBK" w:eastAsia="方正书宋_GBK"/>
              </w:rPr>
              <w:t>2008</w:t>
            </w:r>
            <w:r>
              <w:rPr>
                <w:rFonts w:hint="eastAsia" w:ascii="方正书宋_GBK" w:eastAsia="方正书宋_GBK"/>
              </w:rPr>
              <w:t>】</w:t>
            </w:r>
            <w:r>
              <w:rPr>
                <w:rFonts w:ascii="方正书宋_GBK" w:eastAsia="方正书宋_GBK"/>
              </w:rPr>
              <w:t>12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国防教育活动宣传次数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开展全区性较大规模国防教育活动次数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次</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廊发【</w:t>
            </w:r>
            <w:r>
              <w:rPr>
                <w:rFonts w:ascii="方正书宋_GBK" w:eastAsia="方正书宋_GBK"/>
              </w:rPr>
              <w:t>2008</w:t>
            </w:r>
            <w:r>
              <w:rPr>
                <w:rFonts w:hint="eastAsia" w:ascii="方正书宋_GBK" w:eastAsia="方正书宋_GBK"/>
              </w:rPr>
              <w:t>】</w:t>
            </w:r>
            <w:r>
              <w:rPr>
                <w:rFonts w:ascii="方正书宋_GBK" w:eastAsia="方正书宋_GBK"/>
              </w:rPr>
              <w:t>12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编辑材料印刷数量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印刷国防宣传材料数量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5000</w:t>
            </w:r>
            <w:r>
              <w:rPr>
                <w:rFonts w:hint="eastAsia" w:ascii="方正书宋_GBK" w:eastAsia="方正书宋_GBK"/>
              </w:rPr>
              <w:t>册</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廊发【</w:t>
            </w:r>
            <w:r>
              <w:rPr>
                <w:rFonts w:ascii="方正书宋_GBK" w:eastAsia="方正书宋_GBK"/>
              </w:rPr>
              <w:t>2008</w:t>
            </w:r>
            <w:r>
              <w:rPr>
                <w:rFonts w:hint="eastAsia" w:ascii="方正书宋_GBK" w:eastAsia="方正书宋_GBK"/>
              </w:rPr>
              <w:t>】</w:t>
            </w:r>
            <w:r>
              <w:rPr>
                <w:rFonts w:ascii="方正书宋_GBK" w:eastAsia="方正书宋_GBK"/>
              </w:rPr>
              <w:t>12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群众对国防教育普及的的整体满意度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廊发【</w:t>
            </w:r>
            <w:r>
              <w:rPr>
                <w:rFonts w:ascii="方正书宋_GBK" w:eastAsia="方正书宋_GBK"/>
              </w:rPr>
              <w:t>2008</w:t>
            </w:r>
            <w:r>
              <w:rPr>
                <w:rFonts w:hint="eastAsia" w:ascii="方正书宋_GBK" w:eastAsia="方正书宋_GBK"/>
              </w:rPr>
              <w:t>】</w:t>
            </w:r>
            <w:r>
              <w:rPr>
                <w:rFonts w:ascii="方正书宋_GBK" w:eastAsia="方正书宋_GBK"/>
              </w:rPr>
              <w:t>12</w:t>
            </w:r>
            <w:r>
              <w:rPr>
                <w:rFonts w:hint="eastAsia" w:ascii="方正书宋_GBK" w:eastAsia="方正书宋_GBK"/>
              </w:rPr>
              <w:t>号</w:t>
            </w:r>
          </w:p>
        </w:tc>
      </w:tr>
    </w:tbl>
    <w:p>
      <w:pPr>
        <w:pStyle w:val="14"/>
        <w:numPr>
          <w:ilvl w:val="0"/>
          <w:numId w:val="4"/>
        </w:numPr>
        <w:spacing w:line="300" w:lineRule="exact"/>
        <w:ind w:firstLineChars="0"/>
        <w:jc w:val="left"/>
        <w:sectPr>
          <w:pgSz w:w="16839" w:h="11907" w:orient="landscape"/>
          <w:pgMar w:top="1304" w:right="1984" w:bottom="1304" w:left="1134" w:header="851" w:footer="992" w:gutter="0"/>
          <w:cols w:space="425" w:num="1"/>
          <w:docGrid w:type="lines" w:linePitch="312" w:charSpace="0"/>
        </w:sectPr>
      </w:pPr>
    </w:p>
    <w:p>
      <w:pPr>
        <w:pStyle w:val="14"/>
        <w:ind w:left="420" w:firstLine="0" w:firstLineChars="0"/>
        <w:jc w:val="left"/>
        <w:outlineLvl w:val="1"/>
        <w:rPr>
          <w:rFonts w:ascii="Times New Roman" w:hAnsi="宋体"/>
          <w:b/>
          <w:sz w:val="28"/>
        </w:rPr>
      </w:pPr>
      <w:r>
        <w:rPr>
          <w:rFonts w:hint="eastAsia" w:ascii="方正仿宋_GBK" w:eastAsia="方正仿宋_GBK"/>
          <w:b/>
          <w:sz w:val="28"/>
        </w:rPr>
        <w:t>3、平台维护、租赁费绩效目标表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3" w:name="_Toc33344267"/>
      <w:r>
        <w:rPr>
          <w:rFonts w:hint="eastAsia" w:ascii="方正仿宋_GBK" w:eastAsia="方正仿宋_GBK"/>
          <w:b/>
          <w:sz w:val="28"/>
        </w:rPr>
        <w:instrText xml:space="preserve">3、平台维护、租赁费绩效目标表</w:instrText>
      </w:r>
      <w:bookmarkEnd w:id="3"/>
      <w:r>
        <w:rPr>
          <w:rFonts w:hint="eastAsia" w:ascii="方正仿宋_GBK" w:eastAsia="方正仿宋_GBK"/>
          <w:b/>
          <w:sz w:val="28"/>
        </w:rPr>
        <w:instrText xml:space="preserve"> \f B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、打造国家治理体系和治理能力现代化重要载体、搭建面向群众和服务群众的重要平台</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、将全区融媒体中心建设成为主流舆论阵地，为广阳高质量发展提供强有力的全媒体舆论支持。</w:t>
            </w:r>
          </w:p>
        </w:tc>
      </w:tr>
    </w:tbl>
    <w:p>
      <w:pPr>
        <w:pStyle w:val="14"/>
        <w:numPr>
          <w:ilvl w:val="0"/>
          <w:numId w:val="4"/>
        </w:numPr>
        <w:spacing w:line="14" w:lineRule="exact"/>
        <w:ind w:firstLineChars="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全区融媒体平台的覆盖率，占所有平台的比例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冀办发【</w:t>
            </w:r>
            <w:r>
              <w:rPr>
                <w:rFonts w:ascii="方正书宋_GBK" w:eastAsia="方正书宋_GBK"/>
              </w:rPr>
              <w:t>2019</w:t>
            </w:r>
            <w:r>
              <w:rPr>
                <w:rFonts w:hint="eastAsia" w:ascii="方正书宋_GBK" w:eastAsia="方正书宋_GBK"/>
              </w:rPr>
              <w:t>】</w:t>
            </w:r>
            <w:r>
              <w:rPr>
                <w:rFonts w:ascii="方正书宋_GBK" w:eastAsia="方正书宋_GBK"/>
              </w:rPr>
              <w:t>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长期使用性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能够长期较好地开展展演、展映、展播、展示，长期满足人民群众对精神文化的需求。</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有所开展</w:t>
            </w:r>
          </w:p>
        </w:tc>
        <w:tc>
          <w:tcPr>
            <w:tcW w:w="1701" w:type="dxa"/>
            <w:shd w:val="clear" w:color="auto" w:fill="auto"/>
            <w:vAlign w:val="center"/>
          </w:tcPr>
          <w:p>
            <w:pPr>
              <w:spacing w:line="300" w:lineRule="exact"/>
              <w:jc w:val="left"/>
              <w:rPr>
                <w:rFonts w:ascii="方正书宋_GBK" w:eastAsia="方正书宋_GBK"/>
              </w:rPr>
            </w:pPr>
          </w:p>
          <w:p>
            <w:pPr>
              <w:spacing w:line="300" w:lineRule="exact"/>
              <w:jc w:val="left"/>
              <w:rPr>
                <w:rFonts w:ascii="方正书宋_GBK" w:eastAsia="方正书宋_GBK"/>
              </w:rPr>
            </w:pPr>
            <w:r>
              <w:rPr>
                <w:rFonts w:hint="eastAsia" w:ascii="方正书宋_GBK" w:eastAsia="方正书宋_GBK"/>
              </w:rPr>
              <w:t>冀办发【</w:t>
            </w:r>
            <w:r>
              <w:rPr>
                <w:rFonts w:ascii="方正书宋_GBK" w:eastAsia="方正书宋_GBK"/>
              </w:rPr>
              <w:t>2019</w:t>
            </w:r>
            <w:r>
              <w:rPr>
                <w:rFonts w:hint="eastAsia" w:ascii="方正书宋_GBK" w:eastAsia="方正书宋_GBK"/>
              </w:rPr>
              <w:t>】</w:t>
            </w:r>
            <w:r>
              <w:rPr>
                <w:rFonts w:ascii="方正书宋_GBK" w:eastAsia="方正书宋_GBK"/>
              </w:rPr>
              <w:t>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媒体宣传率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全区文化媒体宣传占所有媒体宣传的比例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冀办发【</w:t>
            </w:r>
            <w:r>
              <w:rPr>
                <w:rFonts w:ascii="方正书宋_GBK" w:eastAsia="方正书宋_GBK"/>
              </w:rPr>
              <w:t>2019</w:t>
            </w:r>
            <w:r>
              <w:rPr>
                <w:rFonts w:hint="eastAsia" w:ascii="方正书宋_GBK" w:eastAsia="方正书宋_GBK"/>
              </w:rPr>
              <w:t>】</w:t>
            </w:r>
            <w:r>
              <w:rPr>
                <w:rFonts w:ascii="方正书宋_GBK" w:eastAsia="方正书宋_GBK"/>
              </w:rPr>
              <w:t>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冀办发【</w:t>
            </w:r>
            <w:r>
              <w:rPr>
                <w:rFonts w:ascii="方正书宋_GBK" w:eastAsia="方正书宋_GBK"/>
              </w:rPr>
              <w:t>2019</w:t>
            </w:r>
            <w:r>
              <w:rPr>
                <w:rFonts w:hint="eastAsia" w:ascii="方正书宋_GBK" w:eastAsia="方正书宋_GBK"/>
              </w:rPr>
              <w:t>】</w:t>
            </w:r>
            <w:r>
              <w:rPr>
                <w:rFonts w:ascii="方正书宋_GBK" w:eastAsia="方正书宋_GBK"/>
              </w:rPr>
              <w:t>2</w:t>
            </w:r>
            <w:r>
              <w:rPr>
                <w:rFonts w:hint="eastAsia" w:ascii="方正书宋_GBK" w:eastAsia="方正书宋_GBK"/>
              </w:rPr>
              <w:t>号</w:t>
            </w:r>
          </w:p>
        </w:tc>
      </w:tr>
    </w:tbl>
    <w:p>
      <w:pPr>
        <w:pStyle w:val="14"/>
        <w:numPr>
          <w:ilvl w:val="0"/>
          <w:numId w:val="4"/>
        </w:numPr>
        <w:spacing w:line="300" w:lineRule="exact"/>
        <w:ind w:firstLineChars="0"/>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r>
        <w:rPr>
          <w:rFonts w:hint="eastAsia" w:ascii="方正仿宋_GBK" w:eastAsia="方正仿宋_GBK"/>
          <w:b/>
          <w:sz w:val="28"/>
        </w:rPr>
        <w:t>4、文明城市创建经费绩效目标表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4" w:name="_Toc33344268"/>
      <w:r>
        <w:rPr>
          <w:rFonts w:hint="eastAsia" w:ascii="方正仿宋_GBK" w:eastAsia="方正仿宋_GBK"/>
          <w:b/>
          <w:sz w:val="28"/>
        </w:rPr>
        <w:instrText xml:space="preserve">4、文明城市创建经费绩效目标表</w:instrText>
      </w:r>
      <w:bookmarkEnd w:id="4"/>
      <w:r>
        <w:rPr>
          <w:rFonts w:hint="eastAsia" w:ascii="方正仿宋_GBK" w:eastAsia="方正仿宋_GBK"/>
          <w:b/>
          <w:sz w:val="28"/>
        </w:rPr>
        <w:instrText xml:space="preserve"> \f B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、全面提升广阳区域内整体文明程度和群众文明素质的提升。</w:t>
            </w:r>
          </w:p>
          <w:p>
            <w:pPr>
              <w:spacing w:line="300" w:lineRule="exact"/>
              <w:jc w:val="left"/>
              <w:rPr>
                <w:rFonts w:ascii="方正书宋_GBK" w:eastAsia="方正书宋_GBK"/>
              </w:rPr>
            </w:pPr>
            <w:r>
              <w:rPr>
                <w:rFonts w:hint="eastAsia" w:ascii="方正书宋_GBK" w:eastAsia="方正书宋_GBK"/>
              </w:rPr>
              <w:t>全面提升广阳区域内整体文明程度和群众文明素质的提升。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、改善我区人民居住环境、提升市民幸福指数。</w:t>
            </w:r>
          </w:p>
        </w:tc>
      </w:tr>
    </w:tbl>
    <w:p>
      <w:pPr>
        <w:pStyle w:val="14"/>
        <w:numPr>
          <w:ilvl w:val="0"/>
          <w:numId w:val="4"/>
        </w:numPr>
        <w:spacing w:line="14" w:lineRule="exact"/>
        <w:ind w:firstLineChars="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按照要求和计划完成创成项目在所有立项项目中的比例（百分比）</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《廊坊市创建全国文明城市规划（</w:t>
            </w:r>
            <w:r>
              <w:rPr>
                <w:rFonts w:ascii="方正书宋_GBK" w:eastAsia="方正书宋_GBK"/>
              </w:rPr>
              <w:t>2018-2020</w:t>
            </w:r>
            <w:r>
              <w:rPr>
                <w:rFonts w:hint="eastAsia" w:ascii="方正书宋_GBK" w:eastAsia="方正书宋_GBK"/>
              </w:rP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省级文明城市年度测评（年度测评暗访</w:t>
            </w:r>
            <w:r>
              <w:rPr>
                <w:rFonts w:ascii="方正书宋_GBK" w:eastAsia="方正书宋_GBK"/>
              </w:rPr>
              <w:t>3</w:t>
            </w:r>
            <w:r>
              <w:rPr>
                <w:rFonts w:hint="eastAsia" w:ascii="方正书宋_GBK" w:eastAsia="方正书宋_GBK"/>
              </w:rPr>
              <w:t>次）</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反映我省省级文明城市创建情况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次</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《廊坊市创建全国文明城市规划（</w:t>
            </w:r>
            <w:r>
              <w:rPr>
                <w:rFonts w:ascii="方正书宋_GBK" w:eastAsia="方正书宋_GBK"/>
              </w:rPr>
              <w:t>2018-2020</w:t>
            </w:r>
            <w:r>
              <w:rPr>
                <w:rFonts w:hint="eastAsia" w:ascii="方正书宋_GBK" w:eastAsia="方正书宋_GBK"/>
              </w:rPr>
              <w:t>年）》</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群众对文明城市创建改善人居环境整体满意度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《廊坊市创建全国文明城市规划（</w:t>
            </w:r>
            <w:r>
              <w:rPr>
                <w:rFonts w:ascii="方正书宋_GBK" w:eastAsia="方正书宋_GBK"/>
              </w:rPr>
              <w:t>2018-2020</w:t>
            </w:r>
            <w:r>
              <w:rPr>
                <w:rFonts w:hint="eastAsia" w:ascii="方正书宋_GBK" w:eastAsia="方正书宋_GBK"/>
              </w:rPr>
              <w:t>年）》</w:t>
            </w:r>
          </w:p>
          <w:p>
            <w:pPr>
              <w:spacing w:line="300" w:lineRule="exact"/>
              <w:jc w:val="left"/>
              <w:rPr>
                <w:rFonts w:ascii="方正书宋_GBK" w:eastAsia="方正书宋_GBK"/>
              </w:rPr>
            </w:pPr>
          </w:p>
          <w:p>
            <w:pPr>
              <w:spacing w:line="300" w:lineRule="exact"/>
              <w:jc w:val="left"/>
              <w:rPr>
                <w:rFonts w:ascii="方正书宋_GBK" w:eastAsia="方正书宋_GBK"/>
              </w:rPr>
            </w:pPr>
          </w:p>
        </w:tc>
      </w:tr>
    </w:tbl>
    <w:p>
      <w:pPr>
        <w:pStyle w:val="14"/>
        <w:numPr>
          <w:ilvl w:val="0"/>
          <w:numId w:val="4"/>
        </w:numPr>
        <w:spacing w:line="300" w:lineRule="exact"/>
        <w:ind w:firstLineChars="0"/>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r>
        <w:rPr>
          <w:rFonts w:hint="eastAsia" w:ascii="方正仿宋_GBK" w:eastAsia="方正仿宋_GBK"/>
          <w:b/>
          <w:sz w:val="28"/>
        </w:rPr>
        <w:t>5、政务服务管理经费绩效目标表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5" w:name="_Toc33344269"/>
      <w:r>
        <w:rPr>
          <w:rFonts w:hint="eastAsia" w:ascii="方正仿宋_GBK" w:eastAsia="方正仿宋_GBK"/>
          <w:b/>
          <w:sz w:val="28"/>
        </w:rPr>
        <w:instrText xml:space="preserve">5、政务服务管理经费绩效目标表</w:instrText>
      </w:r>
      <w:bookmarkEnd w:id="5"/>
      <w:r>
        <w:rPr>
          <w:rFonts w:hint="eastAsia" w:ascii="方正仿宋_GBK" w:eastAsia="方正仿宋_GBK"/>
          <w:b/>
          <w:sz w:val="28"/>
        </w:rPr>
        <w:instrText xml:space="preserve"> \f B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、保障区委大院的正常运行、维护</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、确保区委大院各单位各部门的正常办公秩序</w:t>
            </w:r>
          </w:p>
        </w:tc>
      </w:tr>
    </w:tbl>
    <w:p>
      <w:pPr>
        <w:pStyle w:val="14"/>
        <w:numPr>
          <w:ilvl w:val="0"/>
          <w:numId w:val="4"/>
        </w:numPr>
        <w:spacing w:line="14" w:lineRule="exact"/>
        <w:ind w:firstLineChars="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区委工作完成情况占全部应完成的比例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关于申请</w:t>
            </w:r>
            <w:r>
              <w:rPr>
                <w:rFonts w:ascii="方正书宋_GBK" w:eastAsia="方正书宋_GBK"/>
              </w:rPr>
              <w:t>2020</w:t>
            </w:r>
            <w:r>
              <w:rPr>
                <w:rFonts w:hint="eastAsia" w:ascii="方正书宋_GBK" w:eastAsia="方正书宋_GBK"/>
              </w:rPr>
              <w:t>年广阳区委政务服务管理经费的请示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任务完成率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完成任务数占任务总数的比例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关于申请</w:t>
            </w:r>
            <w:r>
              <w:rPr>
                <w:rFonts w:ascii="方正书宋_GBK" w:eastAsia="方正书宋_GBK"/>
              </w:rPr>
              <w:t>2020</w:t>
            </w:r>
            <w:r>
              <w:rPr>
                <w:rFonts w:hint="eastAsia" w:ascii="方正书宋_GBK" w:eastAsia="方正书宋_GBK"/>
              </w:rPr>
              <w:t>年广阳区委政务服务管理经费的请示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满意人数占总人数的比例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关于申请</w:t>
            </w:r>
            <w:r>
              <w:rPr>
                <w:rFonts w:ascii="方正书宋_GBK" w:eastAsia="方正书宋_GBK"/>
              </w:rPr>
              <w:t>2020</w:t>
            </w:r>
            <w:r>
              <w:rPr>
                <w:rFonts w:hint="eastAsia" w:ascii="方正书宋_GBK" w:eastAsia="方正书宋_GBK"/>
              </w:rPr>
              <w:t>年广阳区委政务服务管理经费的请示</w:t>
            </w:r>
          </w:p>
        </w:tc>
      </w:tr>
    </w:tbl>
    <w:p>
      <w:pPr>
        <w:pStyle w:val="14"/>
        <w:numPr>
          <w:ilvl w:val="0"/>
          <w:numId w:val="4"/>
        </w:numPr>
        <w:spacing w:line="300" w:lineRule="exact"/>
        <w:ind w:firstLineChars="0"/>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r>
        <w:rPr>
          <w:rFonts w:hint="eastAsia" w:ascii="方正仿宋_GBK" w:eastAsia="方正仿宋_GBK"/>
          <w:b/>
          <w:sz w:val="28"/>
        </w:rPr>
        <w:t>6、专项临时人员经费绩效目标表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6" w:name="_Toc33344271"/>
      <w:r>
        <w:rPr>
          <w:rFonts w:hint="eastAsia" w:ascii="方正仿宋_GBK" w:eastAsia="方正仿宋_GBK"/>
          <w:b/>
          <w:sz w:val="28"/>
        </w:rPr>
        <w:instrText xml:space="preserve">7、专项临时人员经费绩效目标表</w:instrText>
      </w:r>
      <w:bookmarkEnd w:id="6"/>
      <w:r>
        <w:rPr>
          <w:rFonts w:hint="eastAsia" w:ascii="方正仿宋_GBK" w:eastAsia="方正仿宋_GBK"/>
          <w:b/>
          <w:sz w:val="28"/>
        </w:rPr>
        <w:instrText xml:space="preserve"> \f B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、通过及时、足额发放老党员生活补贴，帮助解决老党员生活困难，使老党员感受到党和人民的温暖和关怀，体现党和政府对老党员的重视和关爱。</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、通过发放生活补贴及开展走访慰问活动，在全区营造尊敬老党员、关爱老党员、学习老党员的良好氛围。</w:t>
            </w:r>
          </w:p>
        </w:tc>
      </w:tr>
    </w:tbl>
    <w:p>
      <w:pPr>
        <w:pStyle w:val="14"/>
        <w:numPr>
          <w:ilvl w:val="0"/>
          <w:numId w:val="4"/>
        </w:numPr>
        <w:spacing w:line="14" w:lineRule="exact"/>
        <w:ind w:firstLineChars="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补助覆盖率</w:t>
            </w:r>
            <w:r>
              <w:rPr>
                <w:rFonts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符合补助标准的老党员补助发放情况占全部老党员的比例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冀退役军人厅发</w:t>
            </w:r>
            <w:r>
              <w:rPr>
                <w:rFonts w:ascii="方正书宋_GBK" w:eastAsia="方正书宋_GBK"/>
              </w:rPr>
              <w:t>[2019] 16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补助金发放标准</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足额将生活补贴发放到老党员手中占全部应发放老党员的比例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冀退役军人厅发</w:t>
            </w:r>
            <w:r>
              <w:rPr>
                <w:rFonts w:ascii="方正书宋_GBK" w:eastAsia="方正书宋_GBK"/>
              </w:rPr>
              <w:t>[2019] 16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补助人群生活改善比率（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补助人群在生活方面得到改善占补助总人数比率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冀退役军人厅发</w:t>
            </w:r>
            <w:r>
              <w:rPr>
                <w:rFonts w:ascii="方正书宋_GBK" w:eastAsia="方正书宋_GBK"/>
              </w:rPr>
              <w:t>[2019] 16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受益对象满意度</w:t>
            </w:r>
            <w:r>
              <w:rPr>
                <w:rFonts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满意和较满意的受益对象占全部对象的比例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冀退役军人厅发</w:t>
            </w:r>
            <w:r>
              <w:rPr>
                <w:rFonts w:ascii="方正书宋_GBK" w:eastAsia="方正书宋_GBK"/>
              </w:rPr>
              <w:t>[2019] 16</w:t>
            </w:r>
            <w:r>
              <w:rPr>
                <w:rFonts w:hint="eastAsia" w:ascii="方正书宋_GBK" w:eastAsia="方正书宋_GBK"/>
              </w:rPr>
              <w:t>号</w:t>
            </w:r>
          </w:p>
        </w:tc>
      </w:tr>
    </w:tbl>
    <w:p>
      <w:pPr>
        <w:pStyle w:val="14"/>
        <w:numPr>
          <w:ilvl w:val="0"/>
          <w:numId w:val="4"/>
        </w:numPr>
        <w:spacing w:line="300" w:lineRule="exact"/>
        <w:ind w:firstLineChars="0"/>
        <w:jc w:val="left"/>
        <w:sectPr>
          <w:pgSz w:w="16839" w:h="11907" w:orient="landscape"/>
          <w:pgMar w:top="1304" w:right="1984" w:bottom="1304" w:left="1134" w:header="851" w:footer="992" w:gutter="0"/>
          <w:cols w:space="425" w:num="1"/>
          <w:docGrid w:type="lines" w:linePitch="312" w:charSpace="0"/>
        </w:sectPr>
      </w:pPr>
    </w:p>
    <w:p>
      <w:pPr>
        <w:jc w:val="left"/>
        <w:outlineLvl w:val="1"/>
        <w:rPr>
          <w:rFonts w:ascii="Times New Roman" w:hAnsi="宋体"/>
          <w:b/>
          <w:sz w:val="28"/>
        </w:rPr>
      </w:pPr>
      <w:r>
        <w:rPr>
          <w:rFonts w:hint="eastAsia" w:ascii="方正仿宋_GBK" w:eastAsia="方正仿宋_GBK"/>
          <w:b/>
          <w:sz w:val="28"/>
        </w:rPr>
        <w:t>7、专项临时人员经费绩效目标表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7" w:name="_Toc33344272"/>
      <w:r>
        <w:rPr>
          <w:rFonts w:hint="eastAsia" w:ascii="方正仿宋_GBK" w:eastAsia="方正仿宋_GBK"/>
          <w:b/>
          <w:sz w:val="28"/>
        </w:rPr>
        <w:instrText xml:space="preserve">8、专项临时人员经费绩效目标表</w:instrText>
      </w:r>
      <w:bookmarkEnd w:id="7"/>
      <w:r>
        <w:rPr>
          <w:rFonts w:hint="eastAsia" w:ascii="方正仿宋_GBK" w:eastAsia="方正仿宋_GBK"/>
          <w:b/>
          <w:sz w:val="28"/>
        </w:rPr>
        <w:instrText xml:space="preserve"> \f B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、为进一步发挥大学生村官服务农村、服务基层的作用，强化大学生村官履职尽责能力。</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、给予大学生在生活上和工作上的组织支持，确保他们能够安心工作，生活上能够有保障。</w:t>
            </w:r>
          </w:p>
        </w:tc>
      </w:tr>
    </w:tbl>
    <w:p>
      <w:pPr>
        <w:pStyle w:val="14"/>
        <w:numPr>
          <w:ilvl w:val="0"/>
          <w:numId w:val="4"/>
        </w:numPr>
        <w:spacing w:line="14" w:lineRule="exact"/>
        <w:ind w:firstLineChars="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拨付率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实际拨付大学生村官人数占应拨付人数的比例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河北省委组织部、省财政厅《关于提高省选聘大学生村官补贴标准的通知》（冀组通字〔</w:t>
            </w:r>
            <w:r>
              <w:rPr>
                <w:rFonts w:ascii="方正书宋_GBK" w:eastAsia="方正书宋_GBK"/>
              </w:rPr>
              <w:t>2012</w:t>
            </w:r>
            <w:r>
              <w:rPr>
                <w:rFonts w:hint="eastAsia" w:ascii="方正书宋_GBK" w:eastAsia="方正书宋_GBK"/>
              </w:rPr>
              <w:t>〕</w:t>
            </w:r>
            <w:r>
              <w:rPr>
                <w:rFonts w:ascii="方正书宋_GBK" w:eastAsia="方正书宋_GBK"/>
              </w:rPr>
              <w:t>41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长期使用性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能够长期较好地满足大学生村官的生活工作需求。</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大学生村官生活得到较好的满足</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河北省委组织部、省财政厅《关于提高省选聘大学生村官补贴标准的通知》（冀组通字〔</w:t>
            </w:r>
            <w:r>
              <w:rPr>
                <w:rFonts w:ascii="方正书宋_GBK" w:eastAsia="方正书宋_GBK"/>
              </w:rPr>
              <w:t>2012</w:t>
            </w:r>
            <w:r>
              <w:rPr>
                <w:rFonts w:hint="eastAsia" w:ascii="方正书宋_GBK" w:eastAsia="方正书宋_GBK"/>
              </w:rPr>
              <w:t>〕</w:t>
            </w:r>
            <w:r>
              <w:rPr>
                <w:rFonts w:ascii="方正书宋_GBK" w:eastAsia="方正书宋_GBK"/>
              </w:rPr>
              <w:t>41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全面加强大学生村官的生活工作保障，进一步激发其干事创业积极性，增强服务基层、服务群众的能力。</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影响力有所提升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河北省委组织部、省财政厅《关于提高省选聘大学生村官补贴标准的通知》（冀组通字〔</w:t>
            </w:r>
            <w:r>
              <w:rPr>
                <w:rFonts w:ascii="方正书宋_GBK" w:eastAsia="方正书宋_GBK"/>
              </w:rPr>
              <w:t>2012</w:t>
            </w:r>
            <w:r>
              <w:rPr>
                <w:rFonts w:hint="eastAsia" w:ascii="方正书宋_GBK" w:eastAsia="方正书宋_GBK"/>
              </w:rPr>
              <w:t>〕</w:t>
            </w:r>
            <w:r>
              <w:rPr>
                <w:rFonts w:ascii="方正书宋_GBK" w:eastAsia="方正书宋_GBK"/>
              </w:rPr>
              <w:t>41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河北省委组织部、省财政厅《关于提高省选聘大学生村官补贴标准的通知》（冀组通字〔</w:t>
            </w:r>
            <w:r>
              <w:rPr>
                <w:rFonts w:ascii="方正书宋_GBK" w:eastAsia="方正书宋_GBK"/>
              </w:rPr>
              <w:t>2012</w:t>
            </w:r>
            <w:r>
              <w:rPr>
                <w:rFonts w:hint="eastAsia" w:ascii="方正书宋_GBK" w:eastAsia="方正书宋_GBK"/>
              </w:rPr>
              <w:t>〕</w:t>
            </w:r>
            <w:r>
              <w:rPr>
                <w:rFonts w:ascii="方正书宋_GBK" w:eastAsia="方正书宋_GBK"/>
              </w:rPr>
              <w:t>41</w:t>
            </w:r>
            <w:r>
              <w:rPr>
                <w:rFonts w:hint="eastAsia" w:ascii="方正书宋_GBK" w:eastAsia="方正书宋_GBK"/>
              </w:rPr>
              <w:t>号）</w:t>
            </w:r>
          </w:p>
        </w:tc>
      </w:tr>
    </w:tbl>
    <w:p>
      <w:pPr>
        <w:jc w:val="left"/>
        <w:outlineLvl w:val="1"/>
        <w:rPr>
          <w:rFonts w:ascii="方正仿宋_GBK" w:eastAsia="方正仿宋_GBK"/>
          <w:b/>
          <w:sz w:val="28"/>
        </w:rPr>
      </w:pPr>
    </w:p>
    <w:p>
      <w:pPr>
        <w:jc w:val="left"/>
        <w:outlineLvl w:val="1"/>
        <w:rPr>
          <w:rFonts w:ascii="方正仿宋_GBK" w:eastAsia="方正仿宋_GBK"/>
          <w:b/>
          <w:sz w:val="28"/>
        </w:rPr>
      </w:pPr>
    </w:p>
    <w:p>
      <w:pPr>
        <w:jc w:val="left"/>
        <w:outlineLvl w:val="1"/>
        <w:rPr>
          <w:rFonts w:ascii="方正仿宋_GBK" w:eastAsia="方正仿宋_GBK"/>
          <w:b/>
          <w:sz w:val="28"/>
        </w:rPr>
      </w:pPr>
    </w:p>
    <w:p>
      <w:pPr>
        <w:jc w:val="left"/>
        <w:outlineLvl w:val="1"/>
        <w:rPr>
          <w:rFonts w:ascii="方正仿宋_GBK" w:eastAsia="方正仿宋_GBK"/>
          <w:b/>
          <w:sz w:val="28"/>
        </w:rPr>
      </w:pPr>
    </w:p>
    <w:p>
      <w:pPr>
        <w:jc w:val="left"/>
        <w:outlineLvl w:val="1"/>
        <w:rPr>
          <w:rFonts w:ascii="方正仿宋_GBK" w:eastAsia="方正仿宋_GBK"/>
          <w:b/>
          <w:sz w:val="28"/>
        </w:rPr>
      </w:pPr>
    </w:p>
    <w:p>
      <w:pPr>
        <w:jc w:val="left"/>
        <w:outlineLvl w:val="1"/>
        <w:rPr>
          <w:rFonts w:ascii="楷体_GB2312" w:eastAsia="楷体_GB2312"/>
          <w:b/>
          <w:sz w:val="32"/>
          <w:szCs w:val="32"/>
        </w:rPr>
      </w:pPr>
      <w:r>
        <w:rPr>
          <w:rFonts w:hint="eastAsia" w:ascii="楷体_GB2312" w:eastAsia="楷体_GB2312"/>
          <w:b/>
          <w:sz w:val="32"/>
          <w:szCs w:val="32"/>
        </w:rPr>
        <w:t>第三部分  专项资金绩效目标</w:t>
      </w:r>
    </w:p>
    <w:p>
      <w:pPr>
        <w:jc w:val="left"/>
        <w:outlineLvl w:val="1"/>
        <w:rPr>
          <w:rFonts w:ascii="Times New Roman" w:hAnsi="宋体"/>
          <w:b/>
          <w:sz w:val="28"/>
        </w:rPr>
      </w:pPr>
      <w:r>
        <w:rPr>
          <w:rFonts w:hint="eastAsia" w:ascii="方正仿宋_GBK" w:eastAsia="方正仿宋_GBK"/>
          <w:b/>
          <w:sz w:val="28"/>
        </w:rPr>
        <w:t>1、保安保洁等临时人员经费绩效目标表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8" w:name="_Toc33344273"/>
      <w:r>
        <w:rPr>
          <w:rFonts w:hint="eastAsia" w:ascii="方正仿宋_GBK" w:eastAsia="方正仿宋_GBK"/>
          <w:b/>
          <w:sz w:val="28"/>
        </w:rPr>
        <w:instrText xml:space="preserve">1、保安保洁等临时人员经费绩效目标表</w:instrText>
      </w:r>
      <w:bookmarkEnd w:id="8"/>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、及时发放区委办保安保洁临时人员工资</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、确保区委大院各部门的正常运转</w:t>
            </w:r>
          </w:p>
        </w:tc>
      </w:tr>
    </w:tbl>
    <w:p>
      <w:pPr>
        <w:pStyle w:val="14"/>
        <w:numPr>
          <w:ilvl w:val="0"/>
          <w:numId w:val="4"/>
        </w:numPr>
        <w:spacing w:line="14" w:lineRule="exact"/>
        <w:ind w:firstLineChars="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及时发放率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及时发放临时人员工资占应发放人员工资的比例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实际发放工资人数占应发放人数的比例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促进社会稳定</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促进社会稳定</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基本保障</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临时人员满意人数占全部人员的比例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p>
        </w:tc>
      </w:tr>
    </w:tbl>
    <w:p>
      <w:pPr>
        <w:pStyle w:val="14"/>
        <w:numPr>
          <w:ilvl w:val="0"/>
          <w:numId w:val="4"/>
        </w:numPr>
        <w:spacing w:line="300" w:lineRule="exact"/>
        <w:ind w:firstLineChars="0"/>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r>
        <w:rPr>
          <w:rFonts w:hint="eastAsia" w:ascii="方正仿宋_GBK" w:eastAsia="方正仿宋_GBK"/>
          <w:b/>
          <w:sz w:val="28"/>
        </w:rPr>
        <w:t>2、赵凤秋药费绩效目标表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9" w:name="_Toc33344274"/>
      <w:r>
        <w:rPr>
          <w:rFonts w:hint="eastAsia" w:ascii="方正仿宋_GBK" w:eastAsia="方正仿宋_GBK"/>
          <w:b/>
          <w:sz w:val="28"/>
        </w:rPr>
        <w:instrText xml:space="preserve">2、赵凤秋药费绩效目标表</w:instrText>
      </w:r>
      <w:bookmarkEnd w:id="9"/>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、保障了退休人员赵凤秋医药费的报销</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、提高了退休人员满意度</w:t>
            </w:r>
          </w:p>
        </w:tc>
      </w:tr>
    </w:tbl>
    <w:p>
      <w:pPr>
        <w:pStyle w:val="14"/>
        <w:numPr>
          <w:ilvl w:val="0"/>
          <w:numId w:val="4"/>
        </w:numPr>
        <w:spacing w:line="14" w:lineRule="exact"/>
        <w:ind w:firstLineChars="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补贴人数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补贴人数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发放人数占应发放人数的比例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促进社会稳定水平</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基本稳定</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满意人数占发放人数的比例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p>
        </w:tc>
      </w:tr>
    </w:tbl>
    <w:p>
      <w:pPr>
        <w:pStyle w:val="14"/>
        <w:spacing w:line="300" w:lineRule="exact"/>
        <w:ind w:left="420" w:firstLine="0" w:firstLineChars="0"/>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r>
        <w:rPr>
          <w:rFonts w:hint="eastAsia" w:ascii="方正仿宋_GBK" w:eastAsia="方正仿宋_GBK"/>
          <w:b/>
          <w:sz w:val="28"/>
        </w:rPr>
        <w:t>3、2020年老党员生活补贴省级补助经费绩效目标表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0" w:name="_Toc33344275"/>
      <w:r>
        <w:rPr>
          <w:rFonts w:hint="eastAsia" w:ascii="方正仿宋_GBK" w:eastAsia="方正仿宋_GBK"/>
          <w:b/>
          <w:sz w:val="28"/>
        </w:rPr>
        <w:instrText xml:space="preserve">3、2020年老党员生活补贴省级补助经费绩效目标表</w:instrText>
      </w:r>
      <w:bookmarkEnd w:id="10"/>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、通过及时足额老党员生活补贴，使老党员感受到党和人民的温暖和关怀，体现党和政府对老党员的重视和关爱。</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、通过开展走访慰问老党员活动，在全区营造尊敬老党员、关爱老党员、学习老党员的良好氛围。</w:t>
            </w:r>
          </w:p>
        </w:tc>
      </w:tr>
    </w:tbl>
    <w:p>
      <w:pPr>
        <w:pStyle w:val="14"/>
        <w:numPr>
          <w:ilvl w:val="0"/>
          <w:numId w:val="4"/>
        </w:numPr>
        <w:spacing w:line="14" w:lineRule="exact"/>
        <w:ind w:firstLineChars="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补助覆盖率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已补助人数占应补助人群的比率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廊组通字</w:t>
            </w:r>
            <w:r>
              <w:rPr>
                <w:rFonts w:ascii="方正书宋_GBK" w:eastAsia="方正书宋_GBK"/>
              </w:rPr>
              <w:t>[2006] 112</w:t>
            </w:r>
            <w:r>
              <w:rPr>
                <w:rFonts w:hint="eastAsia" w:ascii="方正书宋_GBK" w:eastAsia="方正书宋_GBK"/>
              </w:rPr>
              <w:t>号、冀退役军人厅发</w:t>
            </w:r>
            <w:r>
              <w:rPr>
                <w:rFonts w:ascii="方正书宋_GBK" w:eastAsia="方正书宋_GBK"/>
              </w:rPr>
              <w:t>[2019] 16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补助金发放标准</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补助金发放标准占上级发放标准的比率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廊组通字</w:t>
            </w:r>
            <w:r>
              <w:rPr>
                <w:rFonts w:ascii="方正书宋_GBK" w:eastAsia="方正书宋_GBK"/>
              </w:rPr>
              <w:t>[2006] 112</w:t>
            </w:r>
            <w:r>
              <w:rPr>
                <w:rFonts w:hint="eastAsia" w:ascii="方正书宋_GBK" w:eastAsia="方正书宋_GBK"/>
              </w:rPr>
              <w:t>号、冀退役军人厅发</w:t>
            </w:r>
            <w:r>
              <w:rPr>
                <w:rFonts w:ascii="方正书宋_GBK" w:eastAsia="方正书宋_GBK"/>
              </w:rPr>
              <w:t>[2019] 16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补助发放及时率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补助发放及时的比率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廊组通字</w:t>
            </w:r>
            <w:r>
              <w:rPr>
                <w:rFonts w:ascii="方正书宋_GBK" w:eastAsia="方正书宋_GBK"/>
              </w:rPr>
              <w:t>[2006] 112</w:t>
            </w:r>
            <w:r>
              <w:rPr>
                <w:rFonts w:hint="eastAsia" w:ascii="方正书宋_GBK" w:eastAsia="方正书宋_GBK"/>
              </w:rPr>
              <w:t>号、冀退役军人厅发</w:t>
            </w:r>
            <w:r>
              <w:rPr>
                <w:rFonts w:ascii="方正书宋_GBK" w:eastAsia="方正书宋_GBK"/>
              </w:rPr>
              <w:t>[2019] 16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补助人群生活改善比率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补助人群在生活方面得到改善占补助总人数比率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廊组通字</w:t>
            </w:r>
            <w:r>
              <w:rPr>
                <w:rFonts w:ascii="方正书宋_GBK" w:eastAsia="方正书宋_GBK"/>
              </w:rPr>
              <w:t>[2006] 112</w:t>
            </w:r>
            <w:r>
              <w:rPr>
                <w:rFonts w:hint="eastAsia" w:ascii="方正书宋_GBK" w:eastAsia="方正书宋_GBK"/>
              </w:rPr>
              <w:t>号、冀退役军人厅发</w:t>
            </w:r>
            <w:r>
              <w:rPr>
                <w:rFonts w:ascii="方正书宋_GBK" w:eastAsia="方正书宋_GBK"/>
              </w:rPr>
              <w:t>[2019] 16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满意和较满意的受益对象占全部对象的比例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廊组通字</w:t>
            </w:r>
            <w:r>
              <w:rPr>
                <w:rFonts w:ascii="方正书宋_GBK" w:eastAsia="方正书宋_GBK"/>
              </w:rPr>
              <w:t>[2006] 112</w:t>
            </w:r>
            <w:r>
              <w:rPr>
                <w:rFonts w:hint="eastAsia" w:ascii="方正书宋_GBK" w:eastAsia="方正书宋_GBK"/>
              </w:rPr>
              <w:t>号、冀退役军人厅发</w:t>
            </w:r>
            <w:r>
              <w:rPr>
                <w:rFonts w:ascii="方正书宋_GBK" w:eastAsia="方正书宋_GBK"/>
              </w:rPr>
              <w:t>[2019] 16</w:t>
            </w:r>
            <w:r>
              <w:rPr>
                <w:rFonts w:hint="eastAsia" w:ascii="方正书宋_GBK" w:eastAsia="方正书宋_GBK"/>
              </w:rPr>
              <w:t>号</w:t>
            </w:r>
          </w:p>
        </w:tc>
      </w:tr>
    </w:tbl>
    <w:p>
      <w:pPr>
        <w:pStyle w:val="14"/>
        <w:numPr>
          <w:ilvl w:val="0"/>
          <w:numId w:val="4"/>
        </w:numPr>
        <w:spacing w:line="300" w:lineRule="exact"/>
        <w:ind w:firstLineChars="0"/>
        <w:jc w:val="left"/>
        <w:sectPr>
          <w:pgSz w:w="11907" w:h="16839"/>
          <w:pgMar w:top="1984" w:right="1304" w:bottom="1134" w:left="1304" w:header="851" w:footer="992" w:gutter="0"/>
          <w:cols w:space="425" w:num="1"/>
          <w:docGrid w:type="lines" w:linePitch="312" w:charSpace="0"/>
        </w:sectPr>
      </w:pPr>
    </w:p>
    <w:p>
      <w:pPr>
        <w:spacing w:line="300" w:lineRule="exact"/>
        <w:jc w:val="left"/>
      </w:pPr>
      <w:r>
        <w:rPr>
          <w:rFonts w:hint="eastAsia" w:ascii="方正仿宋_GBK" w:eastAsia="方正仿宋_GBK"/>
          <w:b/>
          <w:sz w:val="28"/>
        </w:rPr>
        <w:t>4、2020年老党员生活补贴中央补助经费绩效目标表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1" w:name="_Toc33344276"/>
      <w:r>
        <w:rPr>
          <w:rFonts w:hint="eastAsia" w:ascii="方正仿宋_GBK" w:eastAsia="方正仿宋_GBK"/>
          <w:b/>
          <w:sz w:val="28"/>
        </w:rPr>
        <w:instrText xml:space="preserve">4、2020年老党员生活补贴中央补助经费绩效目标表</w:instrText>
      </w:r>
      <w:bookmarkEnd w:id="11"/>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、通过及时足额老党员生活补贴，使老党员感受到党和人民的温暖和关怀，体现党和政府对老党员的重视和关爱。</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、通过开展走访慰问老党员活动，在全区营造尊敬老党员、关爱老党员、学习老党员的良好氛围。</w:t>
            </w:r>
          </w:p>
        </w:tc>
      </w:tr>
    </w:tbl>
    <w:p>
      <w:pPr>
        <w:pStyle w:val="14"/>
        <w:numPr>
          <w:ilvl w:val="0"/>
          <w:numId w:val="4"/>
        </w:numPr>
        <w:spacing w:line="14" w:lineRule="exact"/>
        <w:ind w:firstLineChars="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补助覆盖率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已补助人数占应补助人群的比率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廊组通字</w:t>
            </w:r>
            <w:r>
              <w:rPr>
                <w:rFonts w:ascii="方正书宋_GBK" w:eastAsia="方正书宋_GBK"/>
              </w:rPr>
              <w:t>[2006] 112</w:t>
            </w:r>
            <w:r>
              <w:rPr>
                <w:rFonts w:hint="eastAsia" w:ascii="方正书宋_GBK" w:eastAsia="方正书宋_GBK"/>
              </w:rPr>
              <w:t>号、冀退役军人厅发</w:t>
            </w:r>
            <w:r>
              <w:rPr>
                <w:rFonts w:ascii="方正书宋_GBK" w:eastAsia="方正书宋_GBK"/>
              </w:rPr>
              <w:t>[2019] 16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补助金发放标准</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补助金发放标准占上级发放标准的比率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廊组通字</w:t>
            </w:r>
            <w:r>
              <w:rPr>
                <w:rFonts w:ascii="方正书宋_GBK" w:eastAsia="方正书宋_GBK"/>
              </w:rPr>
              <w:t>[2006] 112</w:t>
            </w:r>
            <w:r>
              <w:rPr>
                <w:rFonts w:hint="eastAsia" w:ascii="方正书宋_GBK" w:eastAsia="方正书宋_GBK"/>
              </w:rPr>
              <w:t>号、冀退役军人厅发</w:t>
            </w:r>
            <w:r>
              <w:rPr>
                <w:rFonts w:ascii="方正书宋_GBK" w:eastAsia="方正书宋_GBK"/>
              </w:rPr>
              <w:t>[2019] 16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补助发放及时率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补助发放及时的比率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廊组通字</w:t>
            </w:r>
            <w:r>
              <w:rPr>
                <w:rFonts w:ascii="方正书宋_GBK" w:eastAsia="方正书宋_GBK"/>
              </w:rPr>
              <w:t>[2006] 112</w:t>
            </w:r>
            <w:r>
              <w:rPr>
                <w:rFonts w:hint="eastAsia" w:ascii="方正书宋_GBK" w:eastAsia="方正书宋_GBK"/>
              </w:rPr>
              <w:t>号、冀退役军人厅发</w:t>
            </w:r>
            <w:r>
              <w:rPr>
                <w:rFonts w:ascii="方正书宋_GBK" w:eastAsia="方正书宋_GBK"/>
              </w:rPr>
              <w:t>[2019] 16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补助人群生活改善比率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补助人群在生活方面得到改善占补助总人数比率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廊组通字</w:t>
            </w:r>
            <w:r>
              <w:rPr>
                <w:rFonts w:ascii="方正书宋_GBK" w:eastAsia="方正书宋_GBK"/>
              </w:rPr>
              <w:t>[2006] 112</w:t>
            </w:r>
            <w:r>
              <w:rPr>
                <w:rFonts w:hint="eastAsia" w:ascii="方正书宋_GBK" w:eastAsia="方正书宋_GBK"/>
              </w:rPr>
              <w:t>号、冀退役军人厅发</w:t>
            </w:r>
            <w:r>
              <w:rPr>
                <w:rFonts w:ascii="方正书宋_GBK" w:eastAsia="方正书宋_GBK"/>
              </w:rPr>
              <w:t>[2019] 16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满意和较满意的受益对象占全部对象的比例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廊组通字</w:t>
            </w:r>
            <w:r>
              <w:rPr>
                <w:rFonts w:ascii="方正书宋_GBK" w:eastAsia="方正书宋_GBK"/>
              </w:rPr>
              <w:t>[2006] 112</w:t>
            </w:r>
            <w:r>
              <w:rPr>
                <w:rFonts w:hint="eastAsia" w:ascii="方正书宋_GBK" w:eastAsia="方正书宋_GBK"/>
              </w:rPr>
              <w:t>号、冀退役军人厅发</w:t>
            </w:r>
            <w:r>
              <w:rPr>
                <w:rFonts w:ascii="方正书宋_GBK" w:eastAsia="方正书宋_GBK"/>
              </w:rPr>
              <w:t>[2019] 16</w:t>
            </w:r>
            <w:r>
              <w:rPr>
                <w:rFonts w:hint="eastAsia" w:ascii="方正书宋_GBK" w:eastAsia="方正书宋_GBK"/>
              </w:rPr>
              <w:t>号</w:t>
            </w:r>
          </w:p>
        </w:tc>
      </w:tr>
    </w:tbl>
    <w:p>
      <w:pPr>
        <w:pStyle w:val="14"/>
        <w:numPr>
          <w:ilvl w:val="0"/>
          <w:numId w:val="4"/>
        </w:numPr>
        <w:spacing w:line="300" w:lineRule="exact"/>
        <w:ind w:firstLineChars="0"/>
        <w:jc w:val="left"/>
        <w:sectPr>
          <w:pgSz w:w="11907" w:h="16839"/>
          <w:pgMar w:top="1984" w:right="1304" w:bottom="1134" w:left="1304" w:header="851" w:footer="992" w:gutter="0"/>
          <w:cols w:space="425" w:num="1"/>
          <w:docGrid w:type="lines" w:linePitch="312" w:charSpace="0"/>
        </w:sectPr>
      </w:pPr>
    </w:p>
    <w:p>
      <w:pPr>
        <w:spacing w:line="300" w:lineRule="exact"/>
        <w:jc w:val="left"/>
      </w:pPr>
      <w:r>
        <w:rPr>
          <w:rFonts w:hint="eastAsia" w:ascii="方正仿宋_GBK" w:eastAsia="方正仿宋_GBK"/>
          <w:b/>
          <w:sz w:val="28"/>
        </w:rPr>
        <w:t>5、2020年选聘高校毕业生到村任职省级补助资金绩效目标表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2" w:name="_Toc33344277"/>
      <w:r>
        <w:rPr>
          <w:rFonts w:hint="eastAsia" w:ascii="方正仿宋_GBK" w:eastAsia="方正仿宋_GBK"/>
          <w:b/>
          <w:sz w:val="28"/>
        </w:rPr>
        <w:instrText xml:space="preserve">5、2020年选聘高校毕业生到村任职省级补助资金绩效目标表</w:instrText>
      </w:r>
      <w:bookmarkEnd w:id="12"/>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、通过对选聘高校毕业生到村任职工作进行资金补助，提高到村任职高校毕业生服务农村的信心和工作保障。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、提升选聘高校毕业生服务群众的工作能力，达到促进村街发展的目的。</w:t>
            </w:r>
          </w:p>
        </w:tc>
      </w:tr>
    </w:tbl>
    <w:p>
      <w:pPr>
        <w:pStyle w:val="14"/>
        <w:numPr>
          <w:ilvl w:val="0"/>
          <w:numId w:val="4"/>
        </w:numPr>
        <w:spacing w:line="14" w:lineRule="exact"/>
        <w:ind w:firstLineChars="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工资实际发放率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实际发放工资占应发放的比例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廊财行</w:t>
            </w:r>
            <w:r>
              <w:rPr>
                <w:rFonts w:ascii="方正书宋_GBK" w:eastAsia="方正书宋_GBK"/>
              </w:rPr>
              <w:t>[2019]48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工资发放覆盖率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实发放工资人数占应发工资人数的比例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促进社会稳定</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促进社会稳定</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基本保障</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廊财行</w:t>
            </w:r>
            <w:r>
              <w:rPr>
                <w:rFonts w:ascii="方正书宋_GBK" w:eastAsia="方正书宋_GBK"/>
              </w:rPr>
              <w:t>[2019]48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选聘高校毕业生满意度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选聘高校毕业生对工资发放以及社保、医保缴纳情况的满意度占全部高校毕业生的比例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廊财行</w:t>
            </w:r>
            <w:r>
              <w:rPr>
                <w:rFonts w:ascii="方正书宋_GBK" w:eastAsia="方正书宋_GBK"/>
              </w:rPr>
              <w:t>[2019]48</w:t>
            </w:r>
            <w:r>
              <w:rPr>
                <w:rFonts w:hint="eastAsia" w:ascii="方正书宋_GBK" w:eastAsia="方正书宋_GBK"/>
              </w:rPr>
              <w:t>号</w:t>
            </w:r>
          </w:p>
        </w:tc>
      </w:tr>
    </w:tbl>
    <w:p>
      <w:pPr>
        <w:pStyle w:val="14"/>
        <w:numPr>
          <w:ilvl w:val="0"/>
          <w:numId w:val="4"/>
        </w:numPr>
        <w:spacing w:line="300" w:lineRule="exact"/>
        <w:ind w:firstLineChars="0"/>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r>
        <w:rPr>
          <w:rFonts w:hint="eastAsia" w:ascii="方正仿宋_GBK" w:eastAsia="方正仿宋_GBK"/>
          <w:b/>
          <w:sz w:val="28"/>
        </w:rPr>
        <w:t>6、提前下达2020年公共文化服务体系建设市级补助资金绩效目标表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3" w:name="_Toc33344278"/>
      <w:r>
        <w:rPr>
          <w:rFonts w:hint="eastAsia" w:ascii="方正仿宋_GBK" w:eastAsia="方正仿宋_GBK"/>
          <w:b/>
          <w:sz w:val="28"/>
        </w:rPr>
        <w:instrText xml:space="preserve">6、提前下达2020年公共文化服务体系建设市级补助资金绩效目标表</w:instrText>
      </w:r>
      <w:bookmarkEnd w:id="13"/>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、保障公共文化设施完善健全和公共文化活动的持续开展</w:t>
            </w:r>
            <w:r>
              <w:rPr>
                <w:rFonts w:ascii="方正书宋_GBK" w:eastAsia="方正书宋_GBK"/>
              </w:rPr>
              <w:t>.</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、满足农村群众随时看书、借书阅读需求，营造全民阅读的良好文化氛围。满足农村群众就近观看电影的需求</w:t>
            </w:r>
            <w:r>
              <w:rPr>
                <w:rFonts w:ascii="方正书宋_GBK" w:eastAsia="方正书宋_GBK"/>
              </w:rPr>
              <w:t>.</w:t>
            </w:r>
          </w:p>
        </w:tc>
      </w:tr>
    </w:tbl>
    <w:p>
      <w:pPr>
        <w:pStyle w:val="14"/>
        <w:numPr>
          <w:ilvl w:val="0"/>
          <w:numId w:val="4"/>
        </w:numPr>
        <w:spacing w:line="14" w:lineRule="exact"/>
        <w:ind w:firstLineChars="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送公益流动文化服务进基层完成率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年度内送公益文艺展览、演出的实际场次数占计划场次数的比率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[2019]68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文化设施达标率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省内实际文化设施达标数量占文化设施总数的比率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[2019]68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年度内提供文化服务的比率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[2019]68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使用人员满意度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调查中使用人员满意和较满意的数量占调查总人数的比率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[2019]68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长期使用性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能够长期较好地开展展演、展映、展播、展示，长期满足人民群众对精神文化的需求</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稳定增长</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[2019]68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调查中满意和较满意的人数占调查总人数的比率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[2019]68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系列文化活动参与者满意度情况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系列文化活动参与者满意人数占参与人数的比例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[2019]68</w:t>
            </w:r>
            <w:r>
              <w:rPr>
                <w:rFonts w:hint="eastAsia" w:ascii="方正书宋_GBK" w:eastAsia="方正书宋_GBK"/>
              </w:rPr>
              <w:t>号</w:t>
            </w:r>
          </w:p>
        </w:tc>
      </w:tr>
    </w:tbl>
    <w:p>
      <w:pPr>
        <w:pStyle w:val="14"/>
        <w:spacing w:line="300" w:lineRule="exact"/>
        <w:ind w:left="420" w:firstLine="0" w:firstLineChars="0"/>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r>
        <w:rPr>
          <w:rFonts w:hint="eastAsia" w:ascii="方正仿宋_GBK" w:eastAsia="方正仿宋_GBK"/>
          <w:b/>
          <w:sz w:val="28"/>
        </w:rPr>
        <w:t>7、提前下达2020年省级国家电影事业发展专项资金绩效目标表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4" w:name="_Toc33344279"/>
      <w:r>
        <w:rPr>
          <w:rFonts w:hint="eastAsia" w:ascii="方正仿宋_GBK" w:eastAsia="方正仿宋_GBK"/>
          <w:b/>
          <w:sz w:val="28"/>
        </w:rPr>
        <w:instrText xml:space="preserve">7、提前下达2020年省级国家电影事业发展专项资金绩效目标表</w:instrText>
      </w:r>
      <w:bookmarkEnd w:id="14"/>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、引导影院放映国产影片支持县级数字影院建设打造国家治理体系和治理能力现代化重要载体、搭建面向群众和服务群众的重要平台</w:t>
            </w:r>
          </w:p>
        </w:tc>
      </w:tr>
    </w:tbl>
    <w:p>
      <w:pPr>
        <w:pStyle w:val="14"/>
        <w:numPr>
          <w:ilvl w:val="0"/>
          <w:numId w:val="4"/>
        </w:numPr>
        <w:spacing w:line="14" w:lineRule="exact"/>
        <w:ind w:firstLineChars="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影院放映国产片率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影院放映国产片占全年所放电影数量的比例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69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国产电影人数增长</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观看国产电影的增长人数比同期增长的比例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69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长期使用性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营造良好的观影风气，促进社会和谐进步</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长期坚持</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69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观众举报投诉比同期减少的比例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69</w:t>
            </w:r>
            <w:r>
              <w:rPr>
                <w:rFonts w:hint="eastAsia" w:ascii="方正书宋_GBK" w:eastAsia="方正书宋_GBK"/>
              </w:rPr>
              <w:t>号</w:t>
            </w:r>
          </w:p>
        </w:tc>
      </w:tr>
    </w:tbl>
    <w:p>
      <w:pPr>
        <w:pStyle w:val="14"/>
        <w:numPr>
          <w:ilvl w:val="0"/>
          <w:numId w:val="4"/>
        </w:numPr>
        <w:spacing w:line="300" w:lineRule="exact"/>
        <w:ind w:firstLineChars="0"/>
        <w:jc w:val="left"/>
        <w:sectPr>
          <w:pgSz w:w="11907" w:h="16839"/>
          <w:pgMar w:top="1984" w:right="1304" w:bottom="1134" w:left="1304" w:header="851" w:footer="992" w:gutter="0"/>
          <w:cols w:space="425" w:num="1"/>
          <w:docGrid w:type="lines" w:linePitch="312" w:charSpace="0"/>
        </w:sectPr>
      </w:pPr>
    </w:p>
    <w:p>
      <w:pPr>
        <w:spacing w:line="300" w:lineRule="exact"/>
        <w:jc w:val="left"/>
      </w:pPr>
      <w:r>
        <w:rPr>
          <w:rFonts w:hint="eastAsia" w:ascii="方正仿宋_GBK" w:eastAsia="方正仿宋_GBK"/>
          <w:b/>
          <w:sz w:val="28"/>
        </w:rPr>
        <w:t>8、提前下达2020年中央补助地方国家电影事业发展专项资金绩效目标表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5" w:name="_Toc33344280"/>
      <w:r>
        <w:rPr>
          <w:rFonts w:hint="eastAsia" w:ascii="方正仿宋_GBK" w:eastAsia="方正仿宋_GBK"/>
          <w:b/>
          <w:sz w:val="28"/>
        </w:rPr>
        <w:instrText xml:space="preserve">8、提前下达2020年中央补助地方国家电影事业发展专项资金绩效目标表</w:instrText>
      </w:r>
      <w:bookmarkEnd w:id="15"/>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、引导影院放映国产片，按照</w:t>
            </w:r>
            <w:r>
              <w:rPr>
                <w:rFonts w:hint="cs" w:ascii="方正书宋_GBK" w:eastAsia="方正书宋_GBK"/>
              </w:rPr>
              <w:t>“</w:t>
            </w:r>
            <w:r>
              <w:rPr>
                <w:rFonts w:hint="eastAsia" w:ascii="方正书宋_GBK" w:eastAsia="方正书宋_GBK"/>
              </w:rPr>
              <w:t>双百</w:t>
            </w:r>
            <w:r>
              <w:rPr>
                <w:rFonts w:hint="cs" w:ascii="方正书宋_GBK" w:eastAsia="方正书宋_GBK"/>
              </w:rPr>
              <w:t>”</w:t>
            </w:r>
            <w:r>
              <w:rPr>
                <w:rFonts w:hint="eastAsia" w:ascii="方正书宋_GBK" w:eastAsia="方正书宋_GBK"/>
              </w:rPr>
              <w:t>方针，引导影院放映具有特色文化的国产电影，繁荣发展电影市场。</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、支持县城数字影院建设，均衡发展电影市场，推动电影事业可持续发展。</w:t>
            </w:r>
          </w:p>
        </w:tc>
      </w:tr>
    </w:tbl>
    <w:p>
      <w:pPr>
        <w:pStyle w:val="14"/>
        <w:numPr>
          <w:ilvl w:val="0"/>
          <w:numId w:val="4"/>
        </w:numPr>
        <w:spacing w:line="14" w:lineRule="exact"/>
        <w:ind w:firstLineChars="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奖励放映国产影片突出影院</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按照国家相关文件规定区域内放映国产电影影院数量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家</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按照相关规定全年放映国产电影数量占总放映领的比例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观影人次</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全年电影放映总观影人次</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10000</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观影群众对影院的各项配套服务的满意程度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54</w:t>
            </w:r>
            <w:r>
              <w:rPr>
                <w:rFonts w:hint="eastAsia" w:ascii="方正书宋_GBK" w:eastAsia="方正书宋_GBK"/>
              </w:rPr>
              <w:t>号</w:t>
            </w:r>
          </w:p>
        </w:tc>
      </w:tr>
    </w:tbl>
    <w:p>
      <w:pPr>
        <w:pStyle w:val="14"/>
        <w:numPr>
          <w:ilvl w:val="0"/>
          <w:numId w:val="4"/>
        </w:numPr>
        <w:spacing w:line="300" w:lineRule="exact"/>
        <w:ind w:firstLineChars="0"/>
        <w:jc w:val="left"/>
        <w:sectPr>
          <w:pgSz w:w="11907" w:h="16839"/>
          <w:pgMar w:top="1984" w:right="1304" w:bottom="1134" w:left="1304" w:header="851" w:footer="992" w:gutter="0"/>
          <w:cols w:space="425" w:num="1"/>
          <w:docGrid w:type="lines" w:linePitch="312" w:charSpace="0"/>
        </w:sectPr>
      </w:pPr>
    </w:p>
    <w:p>
      <w:pPr>
        <w:autoSpaceDE w:val="0"/>
        <w:autoSpaceDN w:val="0"/>
        <w:adjustRightInd w:val="0"/>
        <w:spacing w:line="584" w:lineRule="exact"/>
        <w:ind w:firstLine="480" w:firstLineChars="15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bookmarkEnd w:id="0"/>
    <w:p>
      <w:pPr>
        <w:spacing w:line="584" w:lineRule="exact"/>
        <w:ind w:firstLine="640" w:firstLineChars="200"/>
        <w:outlineLvl w:val="0"/>
        <w:rPr>
          <w:rFonts w:ascii="Times New Roman" w:hAnsi="Times New Roman" w:eastAsia="仿宋_GB2312" w:cs="Times New Roman"/>
          <w:sz w:val="32"/>
          <w:szCs w:val="24"/>
        </w:rPr>
      </w:pPr>
      <w:bookmarkStart w:id="16" w:name="_Toc471398468"/>
      <w:r>
        <w:rPr>
          <w:rFonts w:ascii="Times New Roman" w:hAnsi="Times New Roman" w:eastAsia="仿宋_GB2312" w:cs="Times New Roman"/>
          <w:sz w:val="32"/>
          <w:szCs w:val="24"/>
        </w:rPr>
        <w:t>2</w:t>
      </w:r>
      <w:r>
        <w:rPr>
          <w:rFonts w:hint="eastAsia" w:ascii="Times New Roman" w:hAnsi="Times New Roman" w:eastAsia="仿宋_GB2312" w:cs="Times New Roman"/>
          <w:sz w:val="32"/>
          <w:szCs w:val="24"/>
        </w:rPr>
        <w:t>020</w:t>
      </w:r>
      <w:r>
        <w:rPr>
          <w:rFonts w:ascii="Times New Roman" w:hAnsi="Times New Roman" w:eastAsia="仿宋_GB2312" w:cs="Times New Roman"/>
          <w:sz w:val="32"/>
          <w:szCs w:val="24"/>
        </w:rPr>
        <w:t>年，我部门安排政府采购预算0万元。具体内容见下表。</w:t>
      </w:r>
    </w:p>
    <w:bookmarkEnd w:id="16"/>
    <w:p>
      <w:pPr>
        <w:spacing w:line="584" w:lineRule="exact"/>
        <w:jc w:val="center"/>
        <w:outlineLvl w:val="0"/>
        <w:rPr>
          <w:rFonts w:ascii="Times New Roman" w:hAnsi="Times New Roman" w:eastAsia="仿宋_GB2312" w:cs="Times New Roman"/>
          <w:sz w:val="32"/>
        </w:rPr>
      </w:pPr>
      <w:bookmarkStart w:id="17" w:name="_Toc504489153"/>
      <w:r>
        <w:rPr>
          <w:rFonts w:ascii="Times New Roman" w:hAnsi="Times New Roman" w:eastAsia="仿宋_GB2312" w:cs="Times New Roman"/>
          <w:sz w:val="32"/>
        </w:rPr>
        <w:t>部门政府采购预算</w:t>
      </w:r>
      <w:bookmarkEnd w:id="17"/>
    </w:p>
    <w:tbl>
      <w:tblPr>
        <w:tblStyle w:val="8"/>
        <w:tblW w:w="485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04"/>
        <w:gridCol w:w="1063"/>
        <w:gridCol w:w="927"/>
        <w:gridCol w:w="1366"/>
        <w:gridCol w:w="717"/>
        <w:gridCol w:w="737"/>
        <w:gridCol w:w="964"/>
        <w:gridCol w:w="956"/>
        <w:gridCol w:w="1232"/>
        <w:gridCol w:w="988"/>
        <w:gridCol w:w="1130"/>
        <w:gridCol w:w="1189"/>
        <w:gridCol w:w="8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07" w:type="pct"/>
            <w:gridSpan w:val="7"/>
            <w:tcBorders>
              <w:top w:val="single" w:color="FFFFFF" w:sz="6" w:space="0"/>
              <w:left w:val="single" w:color="FFFFFF" w:sz="6" w:space="0"/>
              <w:right w:val="single" w:color="FFFFFF" w:sz="6" w:space="0"/>
            </w:tcBorders>
            <w:shd w:val="clear" w:color="auto" w:fill="auto"/>
            <w:vAlign w:val="center"/>
          </w:tcPr>
          <w:p>
            <w:pPr>
              <w:spacing w:line="584" w:lineRule="exact"/>
              <w:jc w:val="left"/>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rPr>
              <w:t>[260]廊坊市广阳</w:t>
            </w:r>
            <w:r>
              <w:rPr>
                <w:rFonts w:hint="eastAsia" w:ascii="Times New Roman" w:hAnsi="Times New Roman" w:eastAsia="仿宋_GB2312" w:cs="Times New Roman"/>
                <w:sz w:val="24"/>
                <w:lang w:eastAsia="zh-CN"/>
              </w:rPr>
              <w:t>区委</w:t>
            </w:r>
          </w:p>
        </w:tc>
        <w:tc>
          <w:tcPr>
            <w:tcW w:w="2192" w:type="pct"/>
            <w:gridSpan w:val="6"/>
            <w:tcBorders>
              <w:top w:val="single" w:color="FFFFFF" w:sz="6" w:space="0"/>
              <w:left w:val="single" w:color="FFFFFF" w:sz="6" w:space="0"/>
              <w:right w:val="single" w:color="FFFFFF" w:sz="6" w:space="0"/>
            </w:tcBorders>
            <w:shd w:val="clear" w:color="auto" w:fill="auto"/>
            <w:vAlign w:val="center"/>
          </w:tcPr>
          <w:p>
            <w:pPr>
              <w:spacing w:line="584" w:lineRule="exact"/>
              <w:jc w:val="right"/>
              <w:rPr>
                <w:rFonts w:ascii="Times New Roman" w:hAnsi="Times New Roman" w:eastAsia="仿宋_GB2312" w:cs="Times New Roman"/>
                <w:sz w:val="24"/>
              </w:rPr>
            </w:pPr>
            <w:r>
              <w:rPr>
                <w:rFonts w:ascii="Times New Roman" w:hAnsi="Times New Roman" w:eastAsia="仿宋_GB2312"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90" w:type="pct"/>
            <w:gridSpan w:val="2"/>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政府采购项目来源</w:t>
            </w:r>
          </w:p>
        </w:tc>
        <w:tc>
          <w:tcPr>
            <w:tcW w:w="318"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采购物品名称</w:t>
            </w:r>
          </w:p>
        </w:tc>
        <w:tc>
          <w:tcPr>
            <w:tcW w:w="469"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政府采购目录序号</w:t>
            </w:r>
          </w:p>
        </w:tc>
        <w:tc>
          <w:tcPr>
            <w:tcW w:w="246" w:type="pct"/>
            <w:vMerge w:val="restart"/>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计</w:t>
            </w:r>
            <w:r>
              <w:rPr>
                <w:rFonts w:ascii="Times New Roman" w:hAnsi="Times New Roman" w:eastAsia="仿宋_GB2312" w:cs="Times New Roman"/>
                <w:b/>
              </w:rPr>
              <w:t>量单位</w:t>
            </w:r>
          </w:p>
        </w:tc>
        <w:tc>
          <w:tcPr>
            <w:tcW w:w="253"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w:t>
            </w:r>
          </w:p>
        </w:tc>
        <w:tc>
          <w:tcPr>
            <w:tcW w:w="329"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单价</w:t>
            </w:r>
          </w:p>
        </w:tc>
        <w:tc>
          <w:tcPr>
            <w:tcW w:w="2192" w:type="pct"/>
            <w:gridSpan w:val="6"/>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政府采购金额</w:t>
            </w:r>
            <w:r>
              <w:rPr>
                <w:rFonts w:hint="eastAsia" w:ascii="Times New Roman" w:hAnsi="Times New Roman" w:eastAsia="仿宋_GB2312" w:cs="Times New Roman"/>
                <w:b/>
              </w:rPr>
              <w:t>（当年部门预算安排资金）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5" w:type="pct"/>
            <w:shd w:val="clear" w:color="auto" w:fill="auto"/>
            <w:vAlign w:val="center"/>
          </w:tcPr>
          <w:p>
            <w:pPr>
              <w:spacing w:line="584" w:lineRule="exact"/>
              <w:jc w:val="center"/>
              <w:outlineLvl w:val="0"/>
              <w:rPr>
                <w:rFonts w:ascii="Times New Roman" w:hAnsi="Times New Roman" w:eastAsia="仿宋_GB2312" w:cs="Times New Roman"/>
                <w:b/>
              </w:rPr>
            </w:pPr>
            <w:r>
              <w:rPr>
                <w:rFonts w:hint="eastAsia" w:ascii="Times New Roman" w:hAnsi="Times New Roman" w:eastAsia="仿宋_GB2312" w:cs="Times New Roman"/>
                <w:b/>
              </w:rPr>
              <w:t>项目名称</w:t>
            </w:r>
          </w:p>
        </w:tc>
        <w:tc>
          <w:tcPr>
            <w:tcW w:w="364" w:type="pct"/>
            <w:shd w:val="clear" w:color="auto" w:fill="auto"/>
            <w:vAlign w:val="center"/>
          </w:tcPr>
          <w:p>
            <w:pPr>
              <w:spacing w:line="584" w:lineRule="exact"/>
              <w:jc w:val="left"/>
              <w:outlineLvl w:val="0"/>
              <w:rPr>
                <w:rFonts w:ascii="Times New Roman" w:hAnsi="Times New Roman" w:eastAsia="仿宋_GB2312" w:cs="Times New Roman"/>
                <w:b/>
              </w:rPr>
            </w:pPr>
            <w:r>
              <w:rPr>
                <w:rFonts w:hint="eastAsia" w:ascii="Times New Roman" w:hAnsi="Times New Roman" w:eastAsia="仿宋_GB2312" w:cs="Times New Roman"/>
                <w:b/>
              </w:rPr>
              <w:t>预算资金</w:t>
            </w:r>
          </w:p>
        </w:tc>
        <w:tc>
          <w:tcPr>
            <w:tcW w:w="318" w:type="pct"/>
            <w:vMerge w:val="continue"/>
            <w:shd w:val="clear" w:color="auto" w:fill="auto"/>
            <w:vAlign w:val="center"/>
          </w:tcPr>
          <w:p/>
        </w:tc>
        <w:tc>
          <w:tcPr>
            <w:tcW w:w="469" w:type="pct"/>
            <w:vMerge w:val="continue"/>
            <w:shd w:val="clear" w:color="auto" w:fill="auto"/>
            <w:vAlign w:val="center"/>
          </w:tcPr>
          <w:p/>
        </w:tc>
        <w:tc>
          <w:tcPr>
            <w:tcW w:w="246" w:type="pct"/>
            <w:vMerge w:val="continue"/>
            <w:shd w:val="clear" w:color="auto" w:fill="auto"/>
            <w:vAlign w:val="center"/>
          </w:tcPr>
          <w:p/>
        </w:tc>
        <w:tc>
          <w:tcPr>
            <w:tcW w:w="253" w:type="pct"/>
            <w:vMerge w:val="continue"/>
            <w:shd w:val="clear" w:color="auto" w:fill="auto"/>
            <w:vAlign w:val="center"/>
          </w:tcPr>
          <w:p/>
        </w:tc>
        <w:tc>
          <w:tcPr>
            <w:tcW w:w="329" w:type="pct"/>
            <w:vMerge w:val="continue"/>
            <w:shd w:val="clear" w:color="auto" w:fill="auto"/>
            <w:vAlign w:val="center"/>
          </w:tcPr>
          <w:p/>
        </w:tc>
        <w:tc>
          <w:tcPr>
            <w:tcW w:w="328"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合计</w:t>
            </w:r>
          </w:p>
        </w:tc>
        <w:tc>
          <w:tcPr>
            <w:tcW w:w="423" w:type="pct"/>
            <w:tcBorders>
              <w:top w:val="nil"/>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一般公共预算拨款</w:t>
            </w:r>
          </w:p>
        </w:tc>
        <w:tc>
          <w:tcPr>
            <w:tcW w:w="339" w:type="pct"/>
            <w:tcBorders>
              <w:top w:val="nil"/>
              <w:righ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基金预算拨款</w:t>
            </w:r>
          </w:p>
        </w:tc>
        <w:tc>
          <w:tcPr>
            <w:tcW w:w="388" w:type="pct"/>
            <w:tcBorders>
              <w:top w:val="nil"/>
              <w:left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国有资本经营预算</w:t>
            </w:r>
          </w:p>
        </w:tc>
        <w:tc>
          <w:tcPr>
            <w:tcW w:w="408" w:type="pct"/>
            <w:tcBorders>
              <w:top w:val="nil"/>
              <w:lef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财政专户核拨</w:t>
            </w:r>
          </w:p>
        </w:tc>
        <w:tc>
          <w:tcPr>
            <w:tcW w:w="304" w:type="pct"/>
            <w:shd w:val="clear" w:color="auto" w:fill="auto"/>
            <w:vAlign w:val="center"/>
          </w:tcPr>
          <w:p>
            <w:pPr>
              <w:spacing w:line="584" w:lineRule="exact"/>
              <w:jc w:val="left"/>
              <w:outlineLvl w:val="0"/>
              <w:rPr>
                <w:rFonts w:ascii="Times New Roman" w:hAnsi="Times New Roman" w:eastAsia="仿宋_GB2312" w:cs="Times New Roman"/>
              </w:rPr>
            </w:pPr>
            <w:r>
              <w:rPr>
                <w:rFonts w:ascii="Times New Roman" w:hAnsi="Times New Roman" w:eastAsia="仿宋_GB2312" w:cs="Times New Roman"/>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　计</w:t>
            </w:r>
          </w:p>
        </w:tc>
        <w:tc>
          <w:tcPr>
            <w:tcW w:w="364" w:type="pct"/>
            <w:shd w:val="clear" w:color="auto" w:fill="auto"/>
            <w:vAlign w:val="center"/>
          </w:tcPr>
          <w:p>
            <w:pPr>
              <w:spacing w:line="584" w:lineRule="exact"/>
              <w:jc w:val="right"/>
              <w:rPr>
                <w:rFonts w:ascii="Times New Roman" w:hAnsi="Times New Roman" w:eastAsia="仿宋_GB2312" w:cs="Times New Roman"/>
                <w:b/>
              </w:rPr>
            </w:pPr>
          </w:p>
        </w:tc>
        <w:tc>
          <w:tcPr>
            <w:tcW w:w="318" w:type="pct"/>
            <w:shd w:val="clear" w:color="auto" w:fill="auto"/>
            <w:vAlign w:val="center"/>
          </w:tcPr>
          <w:p>
            <w:pPr>
              <w:spacing w:line="584" w:lineRule="exact"/>
              <w:jc w:val="left"/>
              <w:rPr>
                <w:rFonts w:ascii="Times New Roman" w:hAnsi="Times New Roman" w:eastAsia="仿宋_GB2312" w:cs="Times New Roman"/>
                <w:b/>
              </w:rPr>
            </w:pPr>
          </w:p>
        </w:tc>
        <w:tc>
          <w:tcPr>
            <w:tcW w:w="469" w:type="pct"/>
            <w:shd w:val="clear" w:color="auto" w:fill="auto"/>
            <w:vAlign w:val="center"/>
          </w:tcPr>
          <w:p>
            <w:pPr>
              <w:spacing w:line="584" w:lineRule="exact"/>
              <w:jc w:val="left"/>
              <w:rPr>
                <w:rFonts w:ascii="Times New Roman" w:hAnsi="Times New Roman" w:eastAsia="仿宋_GB2312" w:cs="Times New Roman"/>
                <w:b/>
              </w:rPr>
            </w:pPr>
          </w:p>
        </w:tc>
        <w:tc>
          <w:tcPr>
            <w:tcW w:w="246" w:type="pct"/>
            <w:shd w:val="clear" w:color="auto" w:fill="auto"/>
            <w:vAlign w:val="center"/>
          </w:tcPr>
          <w:p>
            <w:pPr>
              <w:spacing w:line="584" w:lineRule="exact"/>
              <w:jc w:val="left"/>
              <w:rPr>
                <w:rFonts w:ascii="Times New Roman" w:hAnsi="Times New Roman" w:eastAsia="仿宋_GB2312" w:cs="Times New Roman"/>
                <w:b/>
              </w:rPr>
            </w:pPr>
          </w:p>
        </w:tc>
        <w:tc>
          <w:tcPr>
            <w:tcW w:w="253" w:type="pct"/>
            <w:shd w:val="clear" w:color="auto" w:fill="auto"/>
            <w:vAlign w:val="center"/>
          </w:tcPr>
          <w:p>
            <w:pPr>
              <w:spacing w:line="584" w:lineRule="exact"/>
              <w:jc w:val="right"/>
              <w:rPr>
                <w:rFonts w:ascii="Times New Roman" w:hAnsi="Times New Roman" w:eastAsia="仿宋_GB2312" w:cs="Times New Roman"/>
                <w:b/>
              </w:rPr>
            </w:pPr>
          </w:p>
        </w:tc>
        <w:tc>
          <w:tcPr>
            <w:tcW w:w="329"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423" w:type="pct"/>
            <w:shd w:val="clear" w:color="auto" w:fill="auto"/>
            <w:vAlign w:val="center"/>
          </w:tcPr>
          <w:p>
            <w:pPr>
              <w:spacing w:line="584" w:lineRule="exact"/>
              <w:jc w:val="right"/>
              <w:rPr>
                <w:rFonts w:ascii="Times New Roman" w:hAnsi="Times New Roman" w:eastAsia="仿宋_GB2312" w:cs="Times New Roman"/>
                <w:b/>
              </w:rPr>
            </w:pPr>
          </w:p>
        </w:tc>
        <w:tc>
          <w:tcPr>
            <w:tcW w:w="339" w:type="pct"/>
            <w:shd w:val="clear" w:color="auto" w:fill="auto"/>
            <w:vAlign w:val="center"/>
          </w:tcPr>
          <w:p>
            <w:pPr>
              <w:spacing w:line="584" w:lineRule="exact"/>
              <w:jc w:val="right"/>
              <w:rPr>
                <w:rFonts w:ascii="Times New Roman" w:hAnsi="Times New Roman" w:eastAsia="仿宋_GB2312" w:cs="Times New Roman"/>
                <w:b/>
              </w:rPr>
            </w:pPr>
          </w:p>
        </w:tc>
        <w:tc>
          <w:tcPr>
            <w:tcW w:w="388" w:type="pct"/>
            <w:shd w:val="clear" w:color="auto" w:fill="auto"/>
            <w:vAlign w:val="center"/>
          </w:tcPr>
          <w:p>
            <w:pPr>
              <w:spacing w:line="584" w:lineRule="exact"/>
              <w:jc w:val="right"/>
              <w:rPr>
                <w:rFonts w:ascii="Times New Roman" w:hAnsi="Times New Roman" w:eastAsia="仿宋_GB2312" w:cs="Times New Roman"/>
                <w:b/>
              </w:rPr>
            </w:pPr>
          </w:p>
        </w:tc>
        <w:tc>
          <w:tcPr>
            <w:tcW w:w="408" w:type="pct"/>
            <w:shd w:val="clear" w:color="auto" w:fill="auto"/>
            <w:vAlign w:val="center"/>
          </w:tcPr>
          <w:p>
            <w:pPr>
              <w:spacing w:line="584" w:lineRule="exact"/>
              <w:jc w:val="right"/>
              <w:rPr>
                <w:rFonts w:ascii="Times New Roman" w:hAnsi="Times New Roman" w:eastAsia="仿宋_GB2312" w:cs="Times New Roman"/>
                <w:b/>
              </w:rPr>
            </w:pPr>
          </w:p>
        </w:tc>
        <w:tc>
          <w:tcPr>
            <w:tcW w:w="304"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584" w:lineRule="exact"/>
              <w:jc w:val="left"/>
              <w:rPr>
                <w:rFonts w:ascii="Times New Roman" w:hAnsi="Times New Roman" w:eastAsia="仿宋_GB2312" w:cs="Times New Roman"/>
              </w:rPr>
            </w:pPr>
          </w:p>
        </w:tc>
        <w:tc>
          <w:tcPr>
            <w:tcW w:w="364" w:type="pct"/>
            <w:shd w:val="clear" w:color="auto" w:fill="auto"/>
            <w:vAlign w:val="center"/>
          </w:tcPr>
          <w:p>
            <w:pPr>
              <w:spacing w:line="584" w:lineRule="exact"/>
              <w:jc w:val="right"/>
              <w:rPr>
                <w:rFonts w:ascii="Times New Roman" w:hAnsi="Times New Roman" w:eastAsia="仿宋_GB2312" w:cs="Times New Roman"/>
              </w:rPr>
            </w:pPr>
          </w:p>
        </w:tc>
        <w:tc>
          <w:tcPr>
            <w:tcW w:w="318" w:type="pct"/>
            <w:shd w:val="clear" w:color="auto" w:fill="auto"/>
            <w:vAlign w:val="center"/>
          </w:tcPr>
          <w:p>
            <w:pPr>
              <w:spacing w:line="584" w:lineRule="exact"/>
              <w:jc w:val="left"/>
              <w:rPr>
                <w:rFonts w:ascii="Times New Roman" w:hAnsi="Times New Roman" w:eastAsia="仿宋_GB2312" w:cs="Times New Roman"/>
              </w:rPr>
            </w:pPr>
          </w:p>
        </w:tc>
        <w:tc>
          <w:tcPr>
            <w:tcW w:w="469" w:type="pct"/>
            <w:shd w:val="clear" w:color="auto" w:fill="auto"/>
            <w:vAlign w:val="center"/>
          </w:tcPr>
          <w:p>
            <w:pPr>
              <w:spacing w:line="584" w:lineRule="exact"/>
              <w:jc w:val="left"/>
              <w:rPr>
                <w:rFonts w:ascii="Times New Roman" w:hAnsi="Times New Roman" w:eastAsia="仿宋_GB2312" w:cs="Times New Roman"/>
              </w:rPr>
            </w:pPr>
          </w:p>
        </w:tc>
        <w:tc>
          <w:tcPr>
            <w:tcW w:w="246" w:type="pct"/>
            <w:shd w:val="clear" w:color="auto" w:fill="auto"/>
            <w:vAlign w:val="center"/>
          </w:tcPr>
          <w:p>
            <w:pPr>
              <w:spacing w:line="584" w:lineRule="exact"/>
              <w:jc w:val="left"/>
              <w:rPr>
                <w:rFonts w:ascii="Times New Roman" w:hAnsi="Times New Roman" w:eastAsia="仿宋_GB2312" w:cs="Times New Roman"/>
              </w:rPr>
            </w:pPr>
          </w:p>
        </w:tc>
        <w:tc>
          <w:tcPr>
            <w:tcW w:w="253" w:type="pct"/>
            <w:shd w:val="clear" w:color="auto" w:fill="auto"/>
            <w:vAlign w:val="center"/>
          </w:tcPr>
          <w:p>
            <w:pPr>
              <w:spacing w:line="584" w:lineRule="exact"/>
              <w:jc w:val="right"/>
              <w:rPr>
                <w:rFonts w:ascii="Times New Roman" w:hAnsi="Times New Roman" w:eastAsia="仿宋_GB2312" w:cs="Times New Roman"/>
              </w:rPr>
            </w:pPr>
          </w:p>
        </w:tc>
        <w:tc>
          <w:tcPr>
            <w:tcW w:w="329"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3" w:type="pct"/>
            <w:shd w:val="clear" w:color="auto" w:fill="auto"/>
            <w:vAlign w:val="center"/>
          </w:tcPr>
          <w:p>
            <w:pPr>
              <w:spacing w:line="584" w:lineRule="exact"/>
              <w:jc w:val="right"/>
              <w:rPr>
                <w:rFonts w:ascii="Times New Roman" w:hAnsi="Times New Roman" w:eastAsia="仿宋_GB2312" w:cs="Times New Roman"/>
              </w:rPr>
            </w:pPr>
          </w:p>
        </w:tc>
        <w:tc>
          <w:tcPr>
            <w:tcW w:w="339" w:type="pct"/>
            <w:shd w:val="clear" w:color="auto" w:fill="auto"/>
            <w:vAlign w:val="center"/>
          </w:tcPr>
          <w:p>
            <w:pPr>
              <w:spacing w:line="584" w:lineRule="exact"/>
              <w:jc w:val="right"/>
              <w:rPr>
                <w:rFonts w:ascii="Times New Roman" w:hAnsi="Times New Roman" w:eastAsia="仿宋_GB2312" w:cs="Times New Roman"/>
              </w:rPr>
            </w:pPr>
          </w:p>
        </w:tc>
        <w:tc>
          <w:tcPr>
            <w:tcW w:w="388"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4" w:type="pct"/>
            <w:shd w:val="clear" w:color="auto" w:fill="auto"/>
            <w:vAlign w:val="center"/>
          </w:tcPr>
          <w:p>
            <w:pPr>
              <w:spacing w:line="584" w:lineRule="exact"/>
              <w:jc w:val="right"/>
              <w:rPr>
                <w:rFonts w:ascii="Times New Roman" w:hAnsi="Times New Roman" w:eastAsia="仿宋_GB2312" w:cs="Times New Roman"/>
              </w:rPr>
            </w:pPr>
          </w:p>
        </w:tc>
      </w:tr>
    </w:tbl>
    <w:p>
      <w:pPr>
        <w:spacing w:line="584" w:lineRule="exact"/>
        <w:jc w:val="left"/>
        <w:outlineLvl w:val="0"/>
        <w:rPr>
          <w:rFonts w:ascii="Times New Roman" w:hAnsi="Times New Roman" w:eastAsia="仿宋_GB2312" w:cs="Times New Roman"/>
        </w:rPr>
        <w:sectPr>
          <w:footerReference r:id="rId4" w:type="first"/>
          <w:footerReference r:id="rId3" w:type="default"/>
          <w:pgSz w:w="16839" w:h="11907" w:orient="landscape"/>
          <w:pgMar w:top="1361" w:right="1020" w:bottom="1361" w:left="1020" w:header="851" w:footer="992" w:gutter="0"/>
          <w:cols w:space="720"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廊坊市广阳</w:t>
      </w:r>
      <w:r>
        <w:rPr>
          <w:rFonts w:hint="eastAsia" w:ascii="Times New Roman" w:hAnsi="Times New Roman" w:eastAsia="仿宋_GB2312" w:cs="Times New Roman"/>
          <w:sz w:val="32"/>
          <w:szCs w:val="32"/>
          <w:lang w:eastAsia="zh-CN"/>
        </w:rPr>
        <w:t>区委</w:t>
      </w:r>
      <w:r>
        <w:rPr>
          <w:rFonts w:ascii="Times New Roman" w:hAnsi="Times New Roman" w:eastAsia="仿宋_GB2312" w:cs="Times New Roman"/>
          <w:sz w:val="32"/>
          <w:szCs w:val="32"/>
        </w:rPr>
        <w:t>上年末固定资产金额为409.696064万元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w:t>
      </w:r>
      <w:r>
        <w:rPr>
          <w:rFonts w:hint="eastAsia" w:ascii="Times New Roman" w:hAnsi="Times New Roman" w:eastAsia="仿宋_GB2312" w:cs="Times New Roman"/>
          <w:sz w:val="32"/>
          <w:szCs w:val="32"/>
        </w:rPr>
        <w:t>我部门</w:t>
      </w:r>
      <w:r>
        <w:rPr>
          <w:rFonts w:ascii="Times New Roman" w:hAnsi="Times New Roman" w:eastAsia="仿宋_GB2312" w:cs="Times New Roman"/>
          <w:sz w:val="32"/>
          <w:szCs w:val="32"/>
        </w:rPr>
        <w:t>无</w:t>
      </w:r>
      <w:r>
        <w:rPr>
          <w:rFonts w:hint="eastAsia" w:ascii="Times New Roman" w:hAnsi="Times New Roman" w:eastAsia="仿宋_GB2312" w:cs="Times New Roman"/>
          <w:sz w:val="32"/>
          <w:szCs w:val="32"/>
        </w:rPr>
        <w:t>拟购</w:t>
      </w:r>
      <w:r>
        <w:rPr>
          <w:rFonts w:ascii="Times New Roman" w:hAnsi="Times New Roman" w:eastAsia="仿宋_GB2312" w:cs="Times New Roman"/>
          <w:sz w:val="32"/>
          <w:szCs w:val="32"/>
        </w:rPr>
        <w:t>置固定资产。</w:t>
      </w: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hint="eastAsia" w:ascii="Times New Roman" w:hAnsi="Times New Roman" w:eastAsia="仿宋_GB2312" w:cs="Times New Roman"/>
                <w:kern w:val="0"/>
                <w:sz w:val="22"/>
                <w:lang w:eastAsia="zh-CN"/>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w:t>
            </w:r>
            <w:r>
              <w:rPr>
                <w:rFonts w:hint="eastAsia" w:ascii="Times New Roman" w:hAnsi="Times New Roman" w:eastAsia="仿宋_GB2312" w:cs="Times New Roman"/>
                <w:kern w:val="0"/>
                <w:sz w:val="22"/>
                <w:lang w:eastAsia="zh-CN"/>
              </w:rPr>
              <w:t>区委</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截止时间：201</w:t>
            </w:r>
            <w:r>
              <w:rPr>
                <w:rFonts w:hint="eastAsia" w:ascii="Times New Roman" w:hAnsi="Times New Roman" w:eastAsia="仿宋_GB2312" w:cs="Times New Roman"/>
                <w:kern w:val="0"/>
                <w:sz w:val="22"/>
              </w:rPr>
              <w:t>9</w:t>
            </w:r>
            <w:r>
              <w:rPr>
                <w:rFonts w:ascii="Times New Roman" w:hAnsi="Times New Roman" w:eastAsia="仿宋_GB2312" w:cs="Times New Roman"/>
                <w:kern w:val="0"/>
                <w:sz w:val="22"/>
              </w:rPr>
              <w:t>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409.696064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9000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240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9000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240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6</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106.94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98.756064</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指省级财政当年拨付的资金。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p>
      <w:pPr>
        <w:spacing w:line="584" w:lineRule="exact"/>
        <w:ind w:firstLine="643" w:firstLineChars="200"/>
        <w:rPr>
          <w:rFonts w:ascii="Times New Roman" w:hAnsi="Times New Roman" w:eastAsia="仿宋_GB2312" w:cs="Times New Roman"/>
          <w:b/>
          <w:color w:val="FF0000"/>
          <w:sz w:val="32"/>
          <w:szCs w:val="32"/>
        </w:rPr>
      </w:pP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_GBK">
    <w:altName w:val="宋体"/>
    <w:panose1 w:val="00000000000000000000"/>
    <w:charset w:val="86"/>
    <w:family w:val="roman"/>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36</w:t>
    </w:r>
    <w:r>
      <w:rPr>
        <w:lang w:val="zh-CN"/>
      </w:rPr>
      <w:fldChar w:fldCharType="end"/>
    </w:r>
    <w:r>
      <w:rPr>
        <w:rFonts w:hint="eastAsia"/>
      </w:rPr>
      <w:t>-</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34</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40E144"/>
    <w:multiLevelType w:val="multilevel"/>
    <w:tmpl w:val="8740E144"/>
    <w:lvl w:ilvl="0" w:tentative="0">
      <w:start w:val="1"/>
      <w:numFmt w:val="chineseCountingThousand"/>
      <w:lvlText w:val="（%1）"/>
      <w:lvlJc w:val="left"/>
      <w:pPr>
        <w:tabs>
          <w:tab w:val="left" w:pos="1624"/>
        </w:tabs>
        <w:ind w:left="1624" w:hanging="964"/>
      </w:pPr>
    </w:lvl>
    <w:lvl w:ilvl="1" w:tentative="0">
      <w:start w:val="1"/>
      <w:numFmt w:val="lowerLetter"/>
      <w:lvlText w:val="%2)"/>
      <w:lvlJc w:val="left"/>
      <w:pPr>
        <w:tabs>
          <w:tab w:val="left" w:pos="1500"/>
        </w:tabs>
        <w:ind w:left="1500" w:hanging="420"/>
      </w:pPr>
    </w:lvl>
    <w:lvl w:ilvl="2" w:tentative="0">
      <w:start w:val="1"/>
      <w:numFmt w:val="lowerRoman"/>
      <w:lvlText w:val="%3."/>
      <w:lvlJc w:val="right"/>
      <w:pPr>
        <w:tabs>
          <w:tab w:val="left" w:pos="1920"/>
        </w:tabs>
        <w:ind w:left="1920" w:hanging="420"/>
      </w:pPr>
    </w:lvl>
    <w:lvl w:ilvl="3" w:tentative="0">
      <w:start w:val="1"/>
      <w:numFmt w:val="decimal"/>
      <w:lvlText w:val="%4."/>
      <w:lvlJc w:val="left"/>
      <w:pPr>
        <w:tabs>
          <w:tab w:val="left" w:pos="2340"/>
        </w:tabs>
        <w:ind w:left="2340" w:hanging="420"/>
      </w:pPr>
    </w:lvl>
    <w:lvl w:ilvl="4" w:tentative="0">
      <w:start w:val="1"/>
      <w:numFmt w:val="lowerLetter"/>
      <w:lvlText w:val="%5)"/>
      <w:lvlJc w:val="left"/>
      <w:pPr>
        <w:tabs>
          <w:tab w:val="left" w:pos="2760"/>
        </w:tabs>
        <w:ind w:left="2760" w:hanging="420"/>
      </w:pPr>
    </w:lvl>
    <w:lvl w:ilvl="5" w:tentative="0">
      <w:start w:val="1"/>
      <w:numFmt w:val="lowerRoman"/>
      <w:lvlText w:val="%6."/>
      <w:lvlJc w:val="right"/>
      <w:pPr>
        <w:tabs>
          <w:tab w:val="left" w:pos="3180"/>
        </w:tabs>
        <w:ind w:left="3180" w:hanging="420"/>
      </w:pPr>
    </w:lvl>
    <w:lvl w:ilvl="6" w:tentative="0">
      <w:start w:val="1"/>
      <w:numFmt w:val="decimal"/>
      <w:lvlText w:val="%7."/>
      <w:lvlJc w:val="left"/>
      <w:pPr>
        <w:tabs>
          <w:tab w:val="left" w:pos="3600"/>
        </w:tabs>
        <w:ind w:left="3600" w:hanging="420"/>
      </w:pPr>
    </w:lvl>
    <w:lvl w:ilvl="7" w:tentative="0">
      <w:start w:val="1"/>
      <w:numFmt w:val="lowerLetter"/>
      <w:lvlText w:val="%8)"/>
      <w:lvlJc w:val="left"/>
      <w:pPr>
        <w:tabs>
          <w:tab w:val="left" w:pos="4020"/>
        </w:tabs>
        <w:ind w:left="4020" w:hanging="420"/>
      </w:pPr>
    </w:lvl>
    <w:lvl w:ilvl="8" w:tentative="0">
      <w:start w:val="1"/>
      <w:numFmt w:val="lowerRoman"/>
      <w:lvlText w:val="%9."/>
      <w:lvlJc w:val="right"/>
      <w:pPr>
        <w:tabs>
          <w:tab w:val="left" w:pos="4440"/>
        </w:tabs>
        <w:ind w:left="4440" w:hanging="420"/>
      </w:pPr>
    </w:lvl>
  </w:abstractNum>
  <w:abstractNum w:abstractNumId="1">
    <w:nsid w:val="CD8E117E"/>
    <w:multiLevelType w:val="singleLevel"/>
    <w:tmpl w:val="CD8E117E"/>
    <w:lvl w:ilvl="0" w:tentative="0">
      <w:start w:val="2"/>
      <w:numFmt w:val="chineseCounting"/>
      <w:suff w:val="space"/>
      <w:lvlText w:val="第%1部分"/>
      <w:lvlJc w:val="left"/>
      <w:rPr>
        <w:rFonts w:hint="eastAsia"/>
      </w:rPr>
    </w:lvl>
  </w:abstractNum>
  <w:abstractNum w:abstractNumId="2">
    <w:nsid w:val="FF104E4F"/>
    <w:multiLevelType w:val="singleLevel"/>
    <w:tmpl w:val="FF104E4F"/>
    <w:lvl w:ilvl="0" w:tentative="0">
      <w:start w:val="2"/>
      <w:numFmt w:val="chineseCounting"/>
      <w:suff w:val="nothing"/>
      <w:lvlText w:val="（%1）"/>
      <w:lvlJc w:val="left"/>
      <w:rPr>
        <w:rFonts w:hint="eastAsia"/>
      </w:rPr>
    </w:lvl>
  </w:abstractNum>
  <w:abstractNum w:abstractNumId="3">
    <w:nsid w:val="3BA6A82D"/>
    <w:multiLevelType w:val="multilevel"/>
    <w:tmpl w:val="3BA6A82D"/>
    <w:lvl w:ilvl="0" w:tentative="0">
      <w:start w:val="1"/>
      <w:numFmt w:val="chineseCountingThousand"/>
      <w:lvlText w:val="（%1）"/>
      <w:lvlJc w:val="left"/>
      <w:pPr>
        <w:tabs>
          <w:tab w:val="left" w:pos="1619"/>
        </w:tabs>
        <w:ind w:left="1619" w:hanging="979"/>
      </w:p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compatSetting w:name="compatibilityMode" w:uri="http://schemas.microsoft.com/office/word" w:val="14"/>
  </w:compat>
  <w:rsids>
    <w:rsidRoot w:val="00172A27"/>
    <w:rsid w:val="00053786"/>
    <w:rsid w:val="00133883"/>
    <w:rsid w:val="00172A27"/>
    <w:rsid w:val="0043014F"/>
    <w:rsid w:val="00467B5D"/>
    <w:rsid w:val="00521D2E"/>
    <w:rsid w:val="005B58A6"/>
    <w:rsid w:val="00D50916"/>
    <w:rsid w:val="00F25F67"/>
    <w:rsid w:val="00F65121"/>
    <w:rsid w:val="0D6B0AF9"/>
    <w:rsid w:val="10E1457A"/>
    <w:rsid w:val="30264F1B"/>
    <w:rsid w:val="30EB5E83"/>
    <w:rsid w:val="55733EF4"/>
    <w:rsid w:val="65973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Hyperlink"/>
    <w:basedOn w:val="9"/>
    <w:unhideWhenUsed/>
    <w:uiPriority w:val="99"/>
    <w:rPr>
      <w:rFonts w:hint="default" w:ascii="宋体"/>
      <w:color w:val="0000FF"/>
      <w:sz w:val="24"/>
      <w:u w:val="single"/>
    </w:rPr>
  </w:style>
  <w:style w:type="character" w:styleId="11">
    <w:name w:val="footnote reference"/>
    <w:qFormat/>
    <w:uiPriority w:val="0"/>
    <w:rPr>
      <w:vertAlign w:val="superscript"/>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
    <w:name w:val="[Normal]"/>
    <w:unhideWhenUsed/>
    <w:uiPriority w:val="99"/>
    <w:pPr>
      <w:widowControl w:val="0"/>
      <w:autoSpaceDE w:val="0"/>
      <w:autoSpaceDN w:val="0"/>
      <w:adjustRightInd w:val="0"/>
    </w:pPr>
    <w:rPr>
      <w:rFonts w:hint="eastAsia" w:ascii="宋体" w:hAnsi="宋体" w:eastAsia="宋体" w:cs="Times New Roman"/>
      <w:sz w:val="24"/>
      <w:lang w:val="en-US" w:eastAsia="zh-CN" w:bidi="ar-SA"/>
    </w:rPr>
  </w:style>
  <w:style w:type="paragraph" w:styleId="14">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36</Pages>
  <Words>2283</Words>
  <Characters>13016</Characters>
  <Lines>108</Lines>
  <Paragraphs>30</Paragraphs>
  <TotalTime>66</TotalTime>
  <ScaleCrop>false</ScaleCrop>
  <LinksUpToDate>false</LinksUpToDate>
  <CharactersWithSpaces>15269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2019-02-13T02:12:00Z</dcterms:created>
  <dc:creator>guest</dc:creator>
  <cp:lastModifiedBy>111</cp:lastModifiedBy>
  <cp:lastPrinted>2020-02-11T11:55:00Z</cp:lastPrinted>
  <dcterms:modified xsi:type="dcterms:W3CDTF">2024-05-16T01:17:50Z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019A48AC2BBE43CB9746F9904A94E01E</vt:lpwstr>
  </property>
</Properties>
</file>