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廊坊市广阳区人大常委会</w:t>
      </w:r>
    </w:p>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广阳区人民代表大会常务委员会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 xml:space="preserve">年部门预算公开如下： </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ind w:firstLine="640"/>
        <w:rPr>
          <w:rFonts w:ascii="仿宋_GB2312" w:hAnsi="黑体" w:eastAsia="仿宋_GB2312" w:cs="Times New Roman"/>
          <w:sz w:val="32"/>
          <w:szCs w:val="32"/>
        </w:rPr>
      </w:pPr>
      <w:r>
        <w:rPr>
          <w:rFonts w:ascii="Times New Roman" w:hAnsi="Times New Roman" w:eastAsia="楷体_GB2312" w:cs="Times New Roman"/>
          <w:b/>
          <w:sz w:val="32"/>
          <w:szCs w:val="32"/>
        </w:rPr>
        <w:t>部门职责：</w:t>
      </w:r>
      <w:r>
        <w:rPr>
          <w:rFonts w:hint="eastAsia" w:ascii="仿宋_GB2312" w:hAnsi="黑体" w:eastAsia="仿宋_GB2312" w:cs="Times New Roman"/>
          <w:sz w:val="32"/>
          <w:szCs w:val="32"/>
        </w:rPr>
        <w:t>廊坊市广阳区人民代表大会常务委员会是廊坊市广阳区人民代表大会的常设机关。依照宪法和地方组织法的规定，区人民代表大会常务委员会行使下列职权：</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一）在广阳区人民代表大会闭会期间，根据本行政区域的具体情况和实际需要，审议决定广阳区政治、经济、科学、教育、文化、卫生、环境与资源保护、民政、民族等工作的重大事项以及人民群众普遍关注和迫切要求解决的重大问题；在广阳区人民代表大会闭会期间，审查和批准国民经济和社会发展计划、预算在执行过程中所必须作的部分调整方案。</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（二）监督广阳区人民政府、广阳区监察委员会、广阳区人民法院、广阳区人民检察院的工作。</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（三）撤销广阳区人民政府制定的同宪法、法律、法规相抵触的行政法规、决定和命令；撤销下一级国家权力机关制定的同宪法、法律和行政法规相抵触的决定和决议。</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四）在广阳区人民代表大会闭会期间，根据广阳区人民政府区长的提名，决定广阳区人民政府办公室主任、局长的人选；根据广阳区监察委员会主任提请，任免监察委员会副主任委员、委员；根据广阳区人民法院院长的提请，任免广阳区人民法院副院长、庭长、审判委员会委员、审判员；根据广阳区人民检察院检察长的提请，任免广阳区人民检察院副检察长、检察委员会委员、检察员。</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（五）审议决定常务委员会认为应当依法审议、决定的其他重大事项。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9"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廊坊市广阳区</w:t>
            </w:r>
            <w:r>
              <w:rPr>
                <w:rFonts w:hint="eastAsia" w:ascii="Times New Roman" w:hAnsi="Times New Roman" w:eastAsia="仿宋_GB2312" w:cs="Times New Roman"/>
                <w:b/>
                <w:szCs w:val="24"/>
              </w:rPr>
              <w:t>人民代表大会常务委员会</w:t>
            </w:r>
          </w:p>
        </w:tc>
        <w:tc>
          <w:tcPr>
            <w:tcW w:w="1134" w:type="dxa"/>
            <w:shd w:val="clear" w:color="auto" w:fill="auto"/>
            <w:vAlign w:val="center"/>
          </w:tcPr>
          <w:p>
            <w:pPr>
              <w:spacing w:line="300"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行政</w:t>
            </w:r>
          </w:p>
        </w:tc>
        <w:tc>
          <w:tcPr>
            <w:tcW w:w="1276" w:type="dxa"/>
            <w:shd w:val="clear" w:color="auto" w:fill="auto"/>
            <w:vAlign w:val="center"/>
          </w:tcPr>
          <w:p>
            <w:pPr>
              <w:spacing w:line="300"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正</w:t>
            </w:r>
            <w:r>
              <w:rPr>
                <w:rFonts w:hint="eastAsia" w:ascii="Times New Roman" w:hAnsi="Times New Roman" w:eastAsia="仿宋_GB2312" w:cs="Times New Roman"/>
                <w:b/>
                <w:szCs w:val="24"/>
              </w:rPr>
              <w:t>处级</w:t>
            </w:r>
          </w:p>
        </w:tc>
        <w:tc>
          <w:tcPr>
            <w:tcW w:w="2902" w:type="dxa"/>
            <w:shd w:val="clear" w:color="auto" w:fill="auto"/>
            <w:vAlign w:val="center"/>
          </w:tcPr>
          <w:p>
            <w:pPr>
              <w:spacing w:line="300"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广阳区人民代表大会常务委员会机关</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1088.02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1088.02</w:t>
      </w:r>
      <w:bookmarkStart w:id="5" w:name="_GoBack"/>
      <w:bookmarkEnd w:id="5"/>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广阳区人民代表大会常务委员会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1088.02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1013.02</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898.63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114.39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人代会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培训费支出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0支出。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1088.02</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333.97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258.97</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去年</w:t>
      </w:r>
      <w:r>
        <w:rPr>
          <w:rFonts w:ascii="Times New Roman" w:hAnsi="Times New Roman" w:eastAsia="仿宋_GB2312" w:cs="Times New Roman"/>
          <w:sz w:val="32"/>
          <w:szCs w:val="32"/>
        </w:rPr>
        <w:t>项目</w:t>
      </w:r>
      <w:r>
        <w:rPr>
          <w:rFonts w:hint="eastAsia" w:ascii="Times New Roman" w:hAnsi="Times New Roman" w:eastAsia="仿宋_GB2312" w:cs="Times New Roman"/>
          <w:sz w:val="32"/>
          <w:szCs w:val="32"/>
        </w:rPr>
        <w:t>未列</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：其他支出0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，主要为无支出</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122.92</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37.24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8.74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8.74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28.5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84" w:lineRule="exact"/>
        <w:ind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根据</w:t>
      </w:r>
      <w:r>
        <w:rPr>
          <w:rFonts w:ascii="Times New Roman" w:hAnsi="Times New Roman" w:eastAsia="仿宋" w:cs="Times New Roman"/>
          <w:sz w:val="32"/>
          <w:szCs w:val="32"/>
        </w:rPr>
        <w:t>区五届人大四次</w:t>
      </w:r>
      <w:r>
        <w:rPr>
          <w:rFonts w:hint="eastAsia" w:ascii="Times New Roman" w:hAnsi="Times New Roman" w:eastAsia="仿宋" w:cs="Times New Roman"/>
          <w:sz w:val="32"/>
          <w:szCs w:val="32"/>
        </w:rPr>
        <w:t>会议通过的工作报告，在</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人代会闭会期间，根据我</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的具体情况和实际需要，审议决定我</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政治、经济、科学、教育、文化、卫生、环境与资源保护、民政、民族等工作的重大事项以及人民群众普遍关注和迫切要求解决的重大问题；审查和批准国民经济和社会发展计划、预算在执行过程中所必须作的部分调整方案。监督</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人民政府、</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监察委员会、</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人民法院和</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人民检察院的工作。撤销</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人民政府制定的同宪法、法律、法规相抵触的行政法规、决定和命令；撤销下一级国家权力机关制定的同宪法、法律和行政法规相抵触的</w:t>
      </w:r>
      <w:r>
        <w:rPr>
          <w:rFonts w:ascii="Times New Roman" w:hAnsi="Times New Roman" w:eastAsia="仿宋" w:cs="Times New Roman"/>
          <w:sz w:val="32"/>
          <w:szCs w:val="32"/>
        </w:rPr>
        <w:t>决定</w:t>
      </w:r>
      <w:r>
        <w:rPr>
          <w:rFonts w:hint="eastAsia" w:ascii="Times New Roman" w:hAnsi="Times New Roman" w:eastAsia="仿宋" w:cs="Times New Roman"/>
          <w:sz w:val="32"/>
          <w:szCs w:val="32"/>
        </w:rPr>
        <w:t>和决议。根据</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人民政府</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长的提名，决定</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人民政府</w:t>
      </w:r>
      <w:r>
        <w:rPr>
          <w:rFonts w:ascii="Times New Roman" w:hAnsi="Times New Roman" w:eastAsia="仿宋" w:cs="Times New Roman"/>
          <w:sz w:val="32"/>
          <w:szCs w:val="32"/>
        </w:rPr>
        <w:t>办公室主任、局长</w:t>
      </w:r>
      <w:r>
        <w:rPr>
          <w:rFonts w:hint="eastAsia" w:ascii="Times New Roman" w:hAnsi="Times New Roman" w:eastAsia="仿宋" w:cs="Times New Roman"/>
          <w:sz w:val="32"/>
          <w:szCs w:val="32"/>
        </w:rPr>
        <w:t>的人选；根据</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监察委员会主任提请，任免监察委员会副主任委员、委员；根据</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人民法院院长的提请，任免</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人民法院副院长、庭长、审判委员会委员、审判员；根据</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人民检察院检察长的提请，任免</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人民检察院副检察长、检察委员会委员、检察员。审议决定常务委员会认为应当依法审议、决定的其他重大事项。</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、监督工作</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绩效目标：按照《</w:t>
      </w:r>
      <w:r>
        <w:rPr>
          <w:rFonts w:ascii="Times New Roman" w:hAnsi="Times New Roman" w:eastAsia="仿宋" w:cs="Times New Roman"/>
          <w:sz w:val="32"/>
          <w:szCs w:val="32"/>
        </w:rPr>
        <w:t>廊坊市广阳区</w:t>
      </w:r>
      <w:r>
        <w:rPr>
          <w:rFonts w:hint="eastAsia" w:ascii="Times New Roman" w:hAnsi="Times New Roman" w:eastAsia="仿宋" w:cs="Times New Roman"/>
          <w:sz w:val="32"/>
          <w:szCs w:val="32"/>
        </w:rPr>
        <w:t>人大常委会2020年工作</w:t>
      </w:r>
      <w:r>
        <w:rPr>
          <w:rFonts w:ascii="Times New Roman" w:hAnsi="Times New Roman" w:eastAsia="仿宋" w:cs="Times New Roman"/>
          <w:sz w:val="32"/>
          <w:szCs w:val="32"/>
        </w:rPr>
        <w:t>要点</w:t>
      </w:r>
      <w:r>
        <w:rPr>
          <w:rFonts w:hint="eastAsia" w:ascii="Times New Roman" w:hAnsi="Times New Roman" w:eastAsia="仿宋" w:cs="Times New Roman"/>
          <w:sz w:val="32"/>
          <w:szCs w:val="32"/>
        </w:rPr>
        <w:t>》，完成监督工作任务。</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绩效指标：监督工作任务完成率</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、人大会议</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绩效目标：召开</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人民代表大会1次，</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人大常委会会议6次，机关各部门根据工作需要召开会议。</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绩效指标：会议召开率、会议任务完成率 </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、选举任免工作</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绩效目标：依法依规完成人大选举及常委会人事任免工作。</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绩效指标：工作完成率、任务实现率</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、人大代表工作</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绩效目标：按照工作需要，依法依规组织</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人大常委会组成人员及</w:t>
      </w:r>
      <w:r>
        <w:rPr>
          <w:rFonts w:ascii="Times New Roman" w:hAnsi="Times New Roman" w:eastAsia="仿宋" w:cs="Times New Roman"/>
          <w:sz w:val="32"/>
          <w:szCs w:val="32"/>
        </w:rPr>
        <w:t>市、区</w:t>
      </w:r>
      <w:r>
        <w:rPr>
          <w:rFonts w:hint="eastAsia" w:ascii="Times New Roman" w:hAnsi="Times New Roman" w:eastAsia="仿宋" w:cs="Times New Roman"/>
          <w:sz w:val="32"/>
          <w:szCs w:val="32"/>
        </w:rPr>
        <w:t>人大代表进行执法检查和集中视察；开展代表建议督办；组织对常委会组成人员及代表培训。</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绩效指标： 执法检查和集中视察任务完成率 、代表建议督办完成率、培训计划完成率</w:t>
      </w:r>
    </w:p>
    <w:p>
      <w:pPr>
        <w:autoSpaceDE w:val="0"/>
        <w:autoSpaceDN w:val="0"/>
        <w:adjustRightInd w:val="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     </w:t>
      </w:r>
      <w:r>
        <w:rPr>
          <w:rFonts w:ascii="Times New Roman" w:hAnsi="Times New Roman" w:eastAsia="仿宋" w:cs="Times New Roman"/>
          <w:sz w:val="32"/>
          <w:szCs w:val="32"/>
        </w:rPr>
        <w:t>5</w:t>
      </w:r>
      <w:r>
        <w:rPr>
          <w:rFonts w:hint="eastAsia" w:ascii="Times New Roman" w:hAnsi="Times New Roman" w:eastAsia="仿宋" w:cs="Times New Roman"/>
          <w:sz w:val="32"/>
          <w:szCs w:val="32"/>
        </w:rPr>
        <w:t>、人大事务管理</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绩效目标：按照2020年</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人大常委会机关工作思路，完成机关人事、财务、会务、接待、公文办理、党建、信访、宣传、离退休人员服务、信息化建设与维护、基础设施建设与维护、文印、《</w:t>
      </w:r>
      <w:r>
        <w:rPr>
          <w:rFonts w:ascii="Times New Roman" w:hAnsi="Times New Roman" w:eastAsia="仿宋" w:cs="Times New Roman"/>
          <w:sz w:val="32"/>
          <w:szCs w:val="32"/>
        </w:rPr>
        <w:t>代表之窗</w:t>
      </w:r>
      <w:r>
        <w:rPr>
          <w:rFonts w:hint="eastAsia" w:ascii="Times New Roman" w:hAnsi="Times New Roman" w:eastAsia="仿宋" w:cs="Times New Roman"/>
          <w:sz w:val="32"/>
          <w:szCs w:val="32"/>
        </w:rPr>
        <w:t>》</w:t>
      </w:r>
      <w:r>
        <w:rPr>
          <w:rFonts w:ascii="Times New Roman" w:hAnsi="Times New Roman" w:eastAsia="仿宋" w:cs="Times New Roman"/>
          <w:sz w:val="32"/>
          <w:szCs w:val="32"/>
        </w:rPr>
        <w:t>内刊</w:t>
      </w:r>
      <w:r>
        <w:rPr>
          <w:rFonts w:hint="eastAsia" w:ascii="Times New Roman" w:hAnsi="Times New Roman" w:eastAsia="仿宋" w:cs="Times New Roman"/>
          <w:sz w:val="32"/>
          <w:szCs w:val="32"/>
        </w:rPr>
        <w:t>、后勤服务以及领导交办的其他工作，努力将</w:t>
      </w:r>
      <w:r>
        <w:rPr>
          <w:rFonts w:ascii="Times New Roman" w:hAnsi="Times New Roman" w:eastAsia="仿宋" w:cs="Times New Roman"/>
          <w:sz w:val="32"/>
          <w:szCs w:val="32"/>
        </w:rPr>
        <w:t>区</w:t>
      </w:r>
      <w:r>
        <w:rPr>
          <w:rFonts w:hint="eastAsia" w:ascii="Times New Roman" w:hAnsi="Times New Roman" w:eastAsia="仿宋" w:cs="Times New Roman"/>
          <w:sz w:val="32"/>
          <w:szCs w:val="32"/>
        </w:rPr>
        <w:t>人大常委会机关建设成为作风一流、业务一流、服务一流、纪律一流的代表机关和工作机关。</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绩效指标：工作任务完成率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1、加强制度建设。建立健全机关预算绩效管理制度，为全年预算绩效目标的实现奠定制度基础。</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2、规范财务管理。进一步完善财务管理制度，通过科学编制预算、优化支出结构、加快政府采购、加快项目建设、及时拨付资金，确保经费支出进度达到规定标准。</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3、加强内部监督。加强内部监督制度建设，对绩效运行、重大支出事项、资产处置及其他重要经济业务事项决策和执行进行监督，定期开展财务内部审计，确保财政资金使用安全合规。</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4、加强绩效监控。积极开展绩效运行监控，发现问题及时采取措施，确保绩效目标如期保质实现。</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5、做好绩效自评。按要求开展部门预算绩效自评和重点项目评价工作，对评价中发现的问题及时整改。</w:t>
      </w:r>
    </w:p>
    <w:p>
      <w:pPr>
        <w:autoSpaceDE w:val="0"/>
        <w:autoSpaceDN w:val="0"/>
        <w:adjustRightInd w:val="0"/>
        <w:ind w:left="198" w:firstLine="640" w:firstLineChars="200"/>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6、加强宣传培训。加强人员培训，加大宣传力度，强化预算绩效管理意识，促进预算绩效管理水平提升。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bookmarkEnd w:id="0"/>
    <w:p>
      <w:pPr>
        <w:ind w:firstLine="562" w:firstLineChars="200"/>
        <w:jc w:val="left"/>
        <w:outlineLvl w:val="1"/>
        <w:rPr>
          <w:rFonts w:ascii="Times New Roman" w:hAnsi="宋体" w:eastAsia="宋体" w:cs="Times New Roman"/>
          <w:b/>
          <w:sz w:val="28"/>
        </w:rPr>
      </w:pPr>
      <w:r>
        <w:rPr>
          <w:rFonts w:hint="eastAsia" w:ascii="方正仿宋_GBK" w:hAnsi="Calibri" w:eastAsia="方正仿宋_GBK" w:cs="Times New Roman"/>
          <w:b/>
          <w:sz w:val="28"/>
        </w:rPr>
        <w:t>1、会议费绩效目标表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1" w:name="_Toc33106017"/>
      <w:r>
        <w:rPr>
          <w:rFonts w:hint="eastAsia" w:ascii="方正仿宋_GBK" w:hAnsi="Calibri" w:eastAsia="方正仿宋_GBK" w:cs="Times New Roman"/>
          <w:b/>
          <w:sz w:val="28"/>
        </w:rPr>
        <w:instrText xml:space="preserve">1、会议费绩效目标表</w:instrText>
      </w:r>
      <w:bookmarkEnd w:id="1"/>
      <w:r>
        <w:rPr>
          <w:rFonts w:hint="eastAsia" w:ascii="方正仿宋_GBK" w:hAnsi="Calibri" w:eastAsia="方正仿宋_GBK" w:cs="Times New Roman"/>
          <w:b/>
          <w:sz w:val="28"/>
        </w:rPr>
        <w:instrText xml:space="preserve"> \f B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、区人民代表大会、区人大常委会会议、</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、区人大常委会主任会议、区人大常委会党组会议</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会议活动组织率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会议组织情况占应组织会议的比例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质量指标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会议活动完成率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会议活动完成情况占全部会议的比例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时效指标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会议活动参会人数</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参会人员占应参会人员的比例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促进社会稳定</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促进社会稳定</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基本保障</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人大代表满意率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人大代表满意人数占全部代表的比例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bl>
    <w:p>
      <w:pPr>
        <w:spacing w:line="300" w:lineRule="exact"/>
        <w:ind w:firstLine="420" w:firstLineChars="200"/>
        <w:jc w:val="left"/>
        <w:rPr>
          <w:rFonts w:ascii="Calibri" w:hAnsi="Calibri" w:eastAsia="宋体" w:cs="Times New Roman"/>
        </w:rPr>
        <w:sectPr>
          <w:pgSz w:w="16839" w:h="11907" w:orient="landscape"/>
          <w:pgMar w:top="1304" w:right="1984" w:bottom="1304" w:left="1134" w:header="851" w:footer="992" w:gutter="0"/>
          <w:cols w:space="0" w:num="1"/>
          <w:docGrid w:type="lines" w:linePitch="320" w:charSpace="0"/>
        </w:sectPr>
      </w:pPr>
    </w:p>
    <w:p>
      <w:pPr>
        <w:ind w:firstLine="1124" w:firstLineChars="400"/>
        <w:jc w:val="left"/>
        <w:outlineLvl w:val="1"/>
        <w:rPr>
          <w:rFonts w:ascii="Times New Roman" w:hAnsi="宋体" w:eastAsia="宋体" w:cs="Times New Roman"/>
          <w:b/>
          <w:sz w:val="28"/>
        </w:rPr>
      </w:pPr>
      <w:r>
        <w:rPr>
          <w:rFonts w:hint="eastAsia" w:ascii="方正仿宋_GBK" w:hAnsi="Calibri" w:eastAsia="方正仿宋_GBK" w:cs="Times New Roman"/>
          <w:b/>
          <w:sz w:val="28"/>
        </w:rPr>
        <w:t>2、学习、培训费绩效目标表</w:t>
      </w:r>
      <w:r>
        <w:rPr>
          <w:rFonts w:ascii="方正仿宋_GBK" w:hAnsi="Calibri" w:eastAsia="方正仿宋_GBK" w:cs="Times New Roman"/>
          <w:b/>
          <w:sz w:val="28"/>
        </w:rPr>
        <w:fldChar w:fldCharType="begin"/>
      </w:r>
      <w:r>
        <w:rPr>
          <w:rFonts w:ascii="方正仿宋_GBK" w:hAnsi="Calibri" w:eastAsia="方正仿宋_GBK" w:cs="Times New Roman"/>
          <w:b/>
          <w:sz w:val="28"/>
        </w:rPr>
        <w:instrText xml:space="preserve"> </w:instrText>
      </w:r>
      <w:r>
        <w:rPr>
          <w:rFonts w:hint="eastAsia" w:ascii="方正仿宋_GBK" w:hAnsi="Calibri" w:eastAsia="方正仿宋_GBK" w:cs="Times New Roman"/>
          <w:b/>
          <w:sz w:val="28"/>
        </w:rPr>
        <w:instrText xml:space="preserve">TC </w:instrText>
      </w:r>
      <w:bookmarkStart w:id="2" w:name="_Toc33106018"/>
      <w:r>
        <w:rPr>
          <w:rFonts w:hint="eastAsia" w:ascii="方正仿宋_GBK" w:hAnsi="Calibri" w:eastAsia="方正仿宋_GBK" w:cs="Times New Roman"/>
          <w:b/>
          <w:sz w:val="28"/>
        </w:rPr>
        <w:instrText xml:space="preserve">2、学习、培训费绩效目标表</w:instrText>
      </w:r>
      <w:bookmarkEnd w:id="2"/>
      <w:r>
        <w:rPr>
          <w:rFonts w:hint="eastAsia" w:ascii="方正仿宋_GBK" w:hAnsi="Calibri" w:eastAsia="方正仿宋_GBK" w:cs="Times New Roman"/>
          <w:b/>
          <w:sz w:val="28"/>
        </w:rPr>
        <w:instrText xml:space="preserve"> \f B \l 1</w:instrText>
      </w:r>
      <w:r>
        <w:rPr>
          <w:rFonts w:ascii="方正仿宋_GBK" w:hAnsi="Calibri" w:eastAsia="方正仿宋_GBK" w:cs="Times New Roman"/>
          <w:b/>
          <w:sz w:val="28"/>
        </w:rPr>
        <w:instrText xml:space="preserve"> </w:instrText>
      </w:r>
      <w:r>
        <w:rPr>
          <w:rFonts w:ascii="方正仿宋_GBK" w:hAnsi="Calibri" w:eastAsia="方正仿宋_GBK" w:cs="Times New Roman"/>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绩效目标</w:t>
            </w:r>
          </w:p>
        </w:tc>
        <w:tc>
          <w:tcPr>
            <w:tcW w:w="8278" w:type="dxa"/>
            <w:tcBorders>
              <w:bottom w:val="nil"/>
            </w:tcBorders>
            <w:shd w:val="clear" w:color="auto" w:fill="auto"/>
            <w:vAlign w:val="center"/>
          </w:tcPr>
          <w:p>
            <w:pPr>
              <w:spacing w:line="300" w:lineRule="exact"/>
              <w:jc w:val="left"/>
              <w:rPr>
                <w:rFonts w:ascii="方正书宋_GBK" w:hAnsi="Calibri" w:eastAsia="方正书宋_GBK" w:cs="Times New Roman"/>
              </w:rPr>
            </w:pPr>
            <w:r>
              <w:rPr>
                <w:rFonts w:ascii="方正书宋_GBK" w:hAnsi="Calibri" w:eastAsia="方正书宋_GBK" w:cs="Times New Roman"/>
              </w:rPr>
              <w:t>1</w:t>
            </w:r>
            <w:r>
              <w:rPr>
                <w:rFonts w:hint="eastAsia" w:ascii="方正书宋_GBK" w:hAnsi="Calibri" w:eastAsia="方正书宋_GBK" w:cs="Times New Roman"/>
              </w:rPr>
              <w:t>、</w:t>
            </w:r>
            <w:r>
              <w:rPr>
                <w:rFonts w:ascii="方正书宋_GBK" w:hAnsi="Calibri" w:eastAsia="方正书宋_GBK" w:cs="Times New Roman"/>
              </w:rPr>
              <w:t>1</w:t>
            </w:r>
            <w:r>
              <w:rPr>
                <w:rFonts w:hint="eastAsia" w:ascii="方正书宋_GBK" w:hAnsi="Calibri" w:eastAsia="方正书宋_GBK" w:cs="Times New Roman"/>
              </w:rPr>
              <w:t>、监督宪法和法律在我区行政区域内正确实施。</w:t>
            </w:r>
            <w:r>
              <w:rPr>
                <w:rFonts w:ascii="方正书宋_GBK" w:hAnsi="Calibri" w:eastAsia="方正书宋_GBK" w:cs="Times New Roman"/>
              </w:rPr>
              <w:t>2</w:t>
            </w:r>
            <w:r>
              <w:rPr>
                <w:rFonts w:hint="eastAsia" w:ascii="方正书宋_GBK" w:hAnsi="Calibri" w:eastAsia="方正书宋_GBK" w:cs="Times New Roman"/>
              </w:rPr>
              <w:t>、监督一府两院依法开展工作。</w:t>
            </w:r>
          </w:p>
          <w:p>
            <w:pPr>
              <w:spacing w:line="300" w:lineRule="exact"/>
              <w:jc w:val="left"/>
              <w:rPr>
                <w:rFonts w:ascii="方正书宋_GBK" w:hAnsi="Calibri" w:eastAsia="方正书宋_GBK" w:cs="Times New Roman"/>
              </w:rPr>
            </w:pPr>
            <w:r>
              <w:rPr>
                <w:rFonts w:ascii="方正书宋_GBK" w:hAnsi="Calibri" w:eastAsia="方正书宋_GBK" w:cs="Times New Roman"/>
              </w:rPr>
              <w:t>2</w:t>
            </w:r>
            <w:r>
              <w:rPr>
                <w:rFonts w:hint="eastAsia" w:ascii="方正书宋_GBK" w:hAnsi="Calibri" w:eastAsia="方正书宋_GBK" w:cs="Times New Roman"/>
              </w:rPr>
              <w:t>、</w:t>
            </w:r>
            <w:r>
              <w:rPr>
                <w:rFonts w:ascii="方正书宋_GBK" w:hAnsi="Calibri" w:eastAsia="方正书宋_GBK" w:cs="Times New Roman"/>
              </w:rPr>
              <w:t>3</w:t>
            </w:r>
            <w:r>
              <w:rPr>
                <w:rFonts w:hint="eastAsia" w:ascii="方正书宋_GBK" w:hAnsi="Calibri" w:eastAsia="方正书宋_GBK" w:cs="Times New Roman"/>
              </w:rPr>
              <w:t>、组织代表培训。</w:t>
            </w:r>
            <w:r>
              <w:rPr>
                <w:rFonts w:ascii="方正书宋_GBK" w:hAnsi="Calibri" w:eastAsia="方正书宋_GBK" w:cs="Times New Roman"/>
              </w:rPr>
              <w:t>4</w:t>
            </w:r>
            <w:r>
              <w:rPr>
                <w:rFonts w:hint="eastAsia" w:ascii="方正书宋_GBK" w:hAnsi="Calibri" w:eastAsia="方正书宋_GBK" w:cs="Times New Roman"/>
              </w:rPr>
              <w:t>、提高代表履职能力</w:t>
            </w:r>
          </w:p>
        </w:tc>
      </w:tr>
    </w:tbl>
    <w:p>
      <w:pPr>
        <w:spacing w:line="14" w:lineRule="exact"/>
        <w:ind w:firstLine="420" w:firstLineChars="200"/>
        <w:jc w:val="center"/>
        <w:rPr>
          <w:rFonts w:ascii="Times New Roman" w:hAnsi="宋体" w:eastAsia="宋体" w:cs="Times New Roman"/>
        </w:rPr>
      </w:pPr>
      <w:r>
        <w:rPr>
          <w:rFonts w:ascii="方正书宋_GBK" w:hAnsi="Calibri" w:eastAsia="方正书宋_GBK" w:cs="Times New Roman"/>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一级指标</w:t>
            </w:r>
          </w:p>
        </w:tc>
        <w:tc>
          <w:tcPr>
            <w:tcW w:w="1134"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二级指标</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三级指标</w:t>
            </w:r>
          </w:p>
        </w:tc>
        <w:tc>
          <w:tcPr>
            <w:tcW w:w="289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绩效指标描述</w:t>
            </w:r>
          </w:p>
        </w:tc>
        <w:tc>
          <w:tcPr>
            <w:tcW w:w="1276"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w:t>
            </w:r>
          </w:p>
        </w:tc>
        <w:tc>
          <w:tcPr>
            <w:tcW w:w="1701" w:type="dxa"/>
            <w:shd w:val="clear" w:color="auto" w:fill="auto"/>
            <w:vAlign w:val="center"/>
          </w:tcPr>
          <w:p>
            <w:pPr>
              <w:spacing w:line="300" w:lineRule="exact"/>
              <w:jc w:val="center"/>
              <w:rPr>
                <w:rFonts w:ascii="方正书宋_GBK" w:hAnsi="Calibri" w:eastAsia="方正书宋_GBK" w:cs="Times New Roman"/>
                <w:b/>
              </w:rPr>
            </w:pPr>
            <w:r>
              <w:rPr>
                <w:rFonts w:hint="eastAsia" w:ascii="方正书宋_GBK" w:hAnsi="Calibri" w:eastAsia="方正书宋_GBK"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产出指标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组织代表培训覆盖率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代表培训人数占全部人数的比例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hAnsi="Calibri" w:eastAsia="方正书宋_GBK" w:cs="Times New Roman"/>
              </w:rPr>
            </w:pP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数量指标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机关干部培训覆盖率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机关干部培训人数张全部人数的比例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90%</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效果指标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社会效益指标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促进社会稳定</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促进社会稳定</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基本保障</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hAnsi="Calibri" w:eastAsia="方正书宋_GBK" w:cs="Times New Roman"/>
              </w:rPr>
            </w:pPr>
            <w:r>
              <w:rPr>
                <w:rFonts w:hint="eastAsia" w:ascii="方正书宋_GBK" w:hAnsi="Calibri" w:eastAsia="方正书宋_GBK" w:cs="Times New Roman"/>
              </w:rPr>
              <w:t>满意度指标</w:t>
            </w:r>
          </w:p>
        </w:tc>
        <w:tc>
          <w:tcPr>
            <w:tcW w:w="1134"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服务对象满意度指标</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代表培训满意率</w:t>
            </w:r>
          </w:p>
        </w:tc>
        <w:tc>
          <w:tcPr>
            <w:tcW w:w="289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培训代表满意人数占全部培训代表的人数的比例</w:t>
            </w:r>
          </w:p>
        </w:tc>
        <w:tc>
          <w:tcPr>
            <w:tcW w:w="1276"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w:t>
            </w:r>
            <w:r>
              <w:rPr>
                <w:rFonts w:ascii="方正书宋_GBK" w:hAnsi="Calibri" w:eastAsia="方正书宋_GBK" w:cs="Times New Roman"/>
              </w:rPr>
              <w:t>95%</w:t>
            </w:r>
          </w:p>
        </w:tc>
        <w:tc>
          <w:tcPr>
            <w:tcW w:w="1701" w:type="dxa"/>
            <w:shd w:val="clear" w:color="auto" w:fill="auto"/>
            <w:vAlign w:val="center"/>
          </w:tcPr>
          <w:p>
            <w:pPr>
              <w:spacing w:line="300" w:lineRule="exact"/>
              <w:jc w:val="left"/>
              <w:rPr>
                <w:rFonts w:ascii="方正书宋_GBK" w:hAnsi="Calibri" w:eastAsia="方正书宋_GBK" w:cs="Times New Roman"/>
              </w:rPr>
            </w:pPr>
            <w:r>
              <w:rPr>
                <w:rFonts w:hint="eastAsia" w:ascii="方正书宋_GBK" w:hAnsi="Calibri" w:eastAsia="方正书宋_GBK" w:cs="Times New Roman"/>
              </w:rPr>
              <w:t>区人大常委会工作要点</w:t>
            </w:r>
          </w:p>
        </w:tc>
      </w:tr>
    </w:tbl>
    <w:p>
      <w:pPr>
        <w:spacing w:line="300" w:lineRule="exact"/>
        <w:ind w:firstLine="420" w:firstLineChars="200"/>
        <w:jc w:val="left"/>
        <w:rPr>
          <w:rFonts w:ascii="Calibri" w:hAnsi="Calibri" w:eastAsia="宋体" w:cs="Times New Roman"/>
        </w:rPr>
        <w:sectPr>
          <w:pgSz w:w="16839" w:h="11907" w:orient="landscape"/>
          <w:pgMar w:top="1304" w:right="1984" w:bottom="1304" w:left="1134" w:header="851" w:footer="992" w:gutter="0"/>
          <w:cols w:space="0" w:num="1"/>
          <w:docGrid w:type="lines" w:linePitch="320"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楷体_GB2312" w:cs="Times New Roman"/>
          <w:b/>
          <w:color w:val="FF0000"/>
          <w:sz w:val="32"/>
          <w:szCs w:val="32"/>
        </w:rPr>
        <w:t xml:space="preserve">    </w:t>
      </w: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spacing w:line="584" w:lineRule="exact"/>
        <w:jc w:val="center"/>
        <w:outlineLvl w:val="0"/>
        <w:rPr>
          <w:rFonts w:ascii="Times New Roman" w:hAnsi="Times New Roman" w:eastAsia="仿宋_GB2312" w:cs="Times New Roman"/>
          <w:sz w:val="32"/>
        </w:rPr>
      </w:pPr>
      <w:bookmarkStart w:id="4" w:name="_Toc504489153"/>
      <w:r>
        <w:rPr>
          <w:rFonts w:ascii="Times New Roman" w:hAnsi="Times New Roman" w:eastAsia="仿宋_GB2312" w:cs="Times New Roman"/>
          <w:sz w:val="32"/>
        </w:rPr>
        <w:t>部门政府采购预算</w:t>
      </w:r>
      <w:bookmarkEnd w:id="4"/>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12"/>
        <w:gridCol w:w="848"/>
        <w:gridCol w:w="1699"/>
        <w:gridCol w:w="1209"/>
        <w:gridCol w:w="720"/>
        <w:gridCol w:w="740"/>
        <w:gridCol w:w="953"/>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101廊坊市广阳区人民代表大会常务委员会</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982"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58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15"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691"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291"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58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15"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291" w:type="pct"/>
            <w:shd w:val="clear" w:color="auto" w:fill="auto"/>
            <w:vAlign w:val="center"/>
          </w:tcPr>
          <w:p>
            <w:pPr>
              <w:spacing w:line="584" w:lineRule="exact"/>
              <w:jc w:val="right"/>
              <w:rPr>
                <w:rFonts w:ascii="Times New Roman" w:hAnsi="Times New Roman" w:eastAsia="仿宋_GB2312" w:cs="Times New Roman"/>
                <w:b/>
              </w:rPr>
            </w:pPr>
          </w:p>
        </w:tc>
        <w:tc>
          <w:tcPr>
            <w:tcW w:w="583" w:type="pct"/>
            <w:shd w:val="clear" w:color="auto" w:fill="auto"/>
            <w:vAlign w:val="center"/>
          </w:tcPr>
          <w:p>
            <w:pPr>
              <w:spacing w:line="584" w:lineRule="exact"/>
              <w:jc w:val="left"/>
              <w:rPr>
                <w:rFonts w:ascii="Times New Roman" w:hAnsi="Times New Roman" w:eastAsia="仿宋_GB2312" w:cs="Times New Roman"/>
                <w:b/>
              </w:rPr>
            </w:pPr>
          </w:p>
        </w:tc>
        <w:tc>
          <w:tcPr>
            <w:tcW w:w="415"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1" w:type="pct"/>
            <w:shd w:val="clear" w:color="auto" w:fill="auto"/>
            <w:vAlign w:val="center"/>
          </w:tcPr>
          <w:p>
            <w:pPr>
              <w:spacing w:line="584" w:lineRule="exact"/>
              <w:jc w:val="center"/>
              <w:rPr>
                <w:rFonts w:ascii="Times New Roman" w:hAnsi="Times New Roman" w:eastAsia="仿宋_GB2312" w:cs="Times New Roman"/>
                <w:b/>
              </w:rPr>
            </w:pPr>
          </w:p>
        </w:tc>
        <w:tc>
          <w:tcPr>
            <w:tcW w:w="291" w:type="pct"/>
            <w:shd w:val="clear" w:color="auto" w:fill="auto"/>
            <w:vAlign w:val="center"/>
          </w:tcPr>
          <w:p>
            <w:pPr>
              <w:spacing w:line="584" w:lineRule="exact"/>
              <w:jc w:val="right"/>
              <w:rPr>
                <w:rFonts w:ascii="Times New Roman" w:hAnsi="Times New Roman" w:eastAsia="仿宋_GB2312" w:cs="Times New Roman"/>
                <w:b/>
              </w:rPr>
            </w:pPr>
          </w:p>
        </w:tc>
        <w:tc>
          <w:tcPr>
            <w:tcW w:w="583" w:type="pct"/>
            <w:shd w:val="clear" w:color="auto" w:fill="auto"/>
            <w:vAlign w:val="center"/>
          </w:tcPr>
          <w:p>
            <w:pPr>
              <w:spacing w:line="584" w:lineRule="exact"/>
              <w:jc w:val="left"/>
              <w:rPr>
                <w:rFonts w:ascii="Times New Roman" w:hAnsi="Times New Roman" w:eastAsia="仿宋_GB2312" w:cs="Times New Roman"/>
                <w:b/>
              </w:rPr>
            </w:pPr>
          </w:p>
        </w:tc>
        <w:tc>
          <w:tcPr>
            <w:tcW w:w="415"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1" w:type="pct"/>
            <w:shd w:val="clear" w:color="auto" w:fill="auto"/>
            <w:vAlign w:val="center"/>
          </w:tcPr>
          <w:p>
            <w:pPr>
              <w:spacing w:line="584" w:lineRule="exact"/>
              <w:jc w:val="center"/>
              <w:rPr>
                <w:rFonts w:ascii="Times New Roman" w:hAnsi="Times New Roman" w:eastAsia="仿宋_GB2312" w:cs="Times New Roman"/>
              </w:rPr>
            </w:pPr>
          </w:p>
        </w:tc>
        <w:tc>
          <w:tcPr>
            <w:tcW w:w="291" w:type="pct"/>
            <w:shd w:val="clear" w:color="auto" w:fill="auto"/>
            <w:vAlign w:val="center"/>
          </w:tcPr>
          <w:p>
            <w:pPr>
              <w:spacing w:line="584" w:lineRule="exact"/>
              <w:jc w:val="right"/>
              <w:rPr>
                <w:rFonts w:ascii="Times New Roman" w:hAnsi="Times New Roman" w:eastAsia="仿宋_GB2312" w:cs="Times New Roman"/>
              </w:rPr>
            </w:pPr>
          </w:p>
        </w:tc>
        <w:tc>
          <w:tcPr>
            <w:tcW w:w="583" w:type="pct"/>
            <w:shd w:val="clear" w:color="auto" w:fill="auto"/>
            <w:vAlign w:val="center"/>
          </w:tcPr>
          <w:p>
            <w:pPr>
              <w:spacing w:line="584" w:lineRule="exact"/>
              <w:jc w:val="left"/>
              <w:rPr>
                <w:rFonts w:ascii="Times New Roman" w:hAnsi="Times New Roman" w:eastAsia="仿宋_GB2312" w:cs="Times New Roman"/>
              </w:rPr>
            </w:pPr>
          </w:p>
        </w:tc>
        <w:tc>
          <w:tcPr>
            <w:tcW w:w="415"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1" w:type="pct"/>
            <w:shd w:val="clear" w:color="auto" w:fill="auto"/>
            <w:vAlign w:val="center"/>
          </w:tcPr>
          <w:p>
            <w:pPr>
              <w:spacing w:line="584" w:lineRule="exact"/>
              <w:jc w:val="center"/>
              <w:rPr>
                <w:rFonts w:ascii="Times New Roman" w:hAnsi="Times New Roman" w:eastAsia="仿宋_GB2312" w:cs="Times New Roman"/>
              </w:rPr>
            </w:pPr>
          </w:p>
        </w:tc>
        <w:tc>
          <w:tcPr>
            <w:tcW w:w="291" w:type="pct"/>
            <w:shd w:val="clear" w:color="auto" w:fill="auto"/>
            <w:vAlign w:val="center"/>
          </w:tcPr>
          <w:p>
            <w:pPr>
              <w:spacing w:line="584" w:lineRule="exact"/>
              <w:jc w:val="right"/>
              <w:rPr>
                <w:rFonts w:ascii="Times New Roman" w:hAnsi="Times New Roman" w:eastAsia="仿宋_GB2312" w:cs="Times New Roman"/>
              </w:rPr>
            </w:pPr>
          </w:p>
        </w:tc>
        <w:tc>
          <w:tcPr>
            <w:tcW w:w="583" w:type="pct"/>
            <w:shd w:val="clear" w:color="auto" w:fill="auto"/>
            <w:vAlign w:val="center"/>
          </w:tcPr>
          <w:p>
            <w:pPr>
              <w:spacing w:line="584" w:lineRule="exact"/>
              <w:jc w:val="left"/>
              <w:rPr>
                <w:rFonts w:ascii="Times New Roman" w:hAnsi="Times New Roman" w:eastAsia="仿宋_GB2312" w:cs="Times New Roman"/>
              </w:rPr>
            </w:pPr>
          </w:p>
        </w:tc>
        <w:tc>
          <w:tcPr>
            <w:tcW w:w="415"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1" w:type="pct"/>
            <w:shd w:val="clear" w:color="auto" w:fill="auto"/>
            <w:vAlign w:val="center"/>
          </w:tcPr>
          <w:p>
            <w:pPr>
              <w:spacing w:line="584" w:lineRule="exact"/>
              <w:jc w:val="left"/>
              <w:rPr>
                <w:rFonts w:ascii="Times New Roman" w:hAnsi="Times New Roman" w:eastAsia="仿宋_GB2312" w:cs="Times New Roman"/>
              </w:rPr>
            </w:pPr>
          </w:p>
        </w:tc>
        <w:tc>
          <w:tcPr>
            <w:tcW w:w="291" w:type="pct"/>
            <w:shd w:val="clear" w:color="auto" w:fill="auto"/>
            <w:vAlign w:val="center"/>
          </w:tcPr>
          <w:p>
            <w:pPr>
              <w:spacing w:line="584" w:lineRule="exact"/>
              <w:jc w:val="right"/>
              <w:rPr>
                <w:rFonts w:ascii="Times New Roman" w:hAnsi="Times New Roman" w:eastAsia="仿宋_GB2312" w:cs="Times New Roman"/>
              </w:rPr>
            </w:pPr>
          </w:p>
        </w:tc>
        <w:tc>
          <w:tcPr>
            <w:tcW w:w="583" w:type="pct"/>
            <w:shd w:val="clear" w:color="auto" w:fill="auto"/>
            <w:vAlign w:val="center"/>
          </w:tcPr>
          <w:p>
            <w:pPr>
              <w:spacing w:line="584" w:lineRule="exact"/>
              <w:jc w:val="left"/>
              <w:rPr>
                <w:rFonts w:ascii="Times New Roman" w:hAnsi="Times New Roman" w:eastAsia="仿宋_GB2312" w:cs="Times New Roman"/>
              </w:rPr>
            </w:pPr>
          </w:p>
        </w:tc>
        <w:tc>
          <w:tcPr>
            <w:tcW w:w="415"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691" w:type="pct"/>
            <w:shd w:val="clear" w:color="auto" w:fill="auto"/>
            <w:vAlign w:val="center"/>
          </w:tcPr>
          <w:p>
            <w:pPr>
              <w:spacing w:line="584" w:lineRule="exact"/>
              <w:jc w:val="left"/>
              <w:rPr>
                <w:rFonts w:ascii="Times New Roman" w:hAnsi="Times New Roman" w:eastAsia="仿宋_GB2312" w:cs="Times New Roman"/>
              </w:rPr>
            </w:pPr>
          </w:p>
        </w:tc>
        <w:tc>
          <w:tcPr>
            <w:tcW w:w="291" w:type="pct"/>
            <w:shd w:val="clear" w:color="auto" w:fill="auto"/>
            <w:vAlign w:val="center"/>
          </w:tcPr>
          <w:p>
            <w:pPr>
              <w:spacing w:line="584" w:lineRule="exact"/>
              <w:jc w:val="right"/>
              <w:rPr>
                <w:rFonts w:ascii="Times New Roman" w:hAnsi="Times New Roman" w:eastAsia="仿宋_GB2312" w:cs="Times New Roman"/>
              </w:rPr>
            </w:pPr>
          </w:p>
        </w:tc>
        <w:tc>
          <w:tcPr>
            <w:tcW w:w="583" w:type="pct"/>
            <w:shd w:val="clear" w:color="auto" w:fill="auto"/>
            <w:vAlign w:val="center"/>
          </w:tcPr>
          <w:p>
            <w:pPr>
              <w:spacing w:line="584" w:lineRule="exact"/>
              <w:jc w:val="left"/>
              <w:rPr>
                <w:rFonts w:ascii="Times New Roman" w:hAnsi="Times New Roman" w:eastAsia="仿宋_GB2312" w:cs="Times New Roman"/>
              </w:rPr>
            </w:pPr>
          </w:p>
        </w:tc>
        <w:tc>
          <w:tcPr>
            <w:tcW w:w="415"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黑体" w:eastAsia="黑体" w:cs="Times New Roman"/>
          <w:sz w:val="32"/>
          <w:szCs w:val="32"/>
        </w:rPr>
        <w:t xml:space="preserve">    </w:t>
      </w: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广阳区人民代表大会常务委员会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159.7569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r>
              <w:rPr>
                <w:rFonts w:hint="eastAsia" w:ascii="Times New Roman" w:hAnsi="Times New Roman" w:eastAsia="仿宋_GB2312" w:cs="Times New Roman"/>
                <w:sz w:val="24"/>
              </w:rPr>
              <w:t>人民代表大会常务委员会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159.7569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90.6569</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12</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0080"/>
    <w:rsid w:val="00072187"/>
    <w:rsid w:val="00075D5F"/>
    <w:rsid w:val="0008180F"/>
    <w:rsid w:val="00093DA3"/>
    <w:rsid w:val="000B1518"/>
    <w:rsid w:val="000B529B"/>
    <w:rsid w:val="000B5B53"/>
    <w:rsid w:val="000C24E6"/>
    <w:rsid w:val="000C3A19"/>
    <w:rsid w:val="000D7F3A"/>
    <w:rsid w:val="000E4305"/>
    <w:rsid w:val="000F0D09"/>
    <w:rsid w:val="001245BB"/>
    <w:rsid w:val="001251A3"/>
    <w:rsid w:val="0015229A"/>
    <w:rsid w:val="00160266"/>
    <w:rsid w:val="001643E8"/>
    <w:rsid w:val="00176C13"/>
    <w:rsid w:val="001919C4"/>
    <w:rsid w:val="0019723B"/>
    <w:rsid w:val="001A0943"/>
    <w:rsid w:val="001B5C1D"/>
    <w:rsid w:val="001C3CB4"/>
    <w:rsid w:val="001E0757"/>
    <w:rsid w:val="001E6DDC"/>
    <w:rsid w:val="001E70E9"/>
    <w:rsid w:val="001F5C92"/>
    <w:rsid w:val="001F7873"/>
    <w:rsid w:val="0021499F"/>
    <w:rsid w:val="00230E48"/>
    <w:rsid w:val="00241FD4"/>
    <w:rsid w:val="00246317"/>
    <w:rsid w:val="00251B12"/>
    <w:rsid w:val="00252CD3"/>
    <w:rsid w:val="00265318"/>
    <w:rsid w:val="00265F39"/>
    <w:rsid w:val="002835D7"/>
    <w:rsid w:val="00290FD6"/>
    <w:rsid w:val="00292821"/>
    <w:rsid w:val="00296113"/>
    <w:rsid w:val="002A673A"/>
    <w:rsid w:val="002C07D7"/>
    <w:rsid w:val="002C5E13"/>
    <w:rsid w:val="002C62BC"/>
    <w:rsid w:val="002E0EB8"/>
    <w:rsid w:val="002F3896"/>
    <w:rsid w:val="002F3E58"/>
    <w:rsid w:val="0030542C"/>
    <w:rsid w:val="00311B7A"/>
    <w:rsid w:val="003126B6"/>
    <w:rsid w:val="00313D9C"/>
    <w:rsid w:val="00325215"/>
    <w:rsid w:val="0033339C"/>
    <w:rsid w:val="00335660"/>
    <w:rsid w:val="003A05EE"/>
    <w:rsid w:val="003B6D37"/>
    <w:rsid w:val="004005D9"/>
    <w:rsid w:val="004064B1"/>
    <w:rsid w:val="004132D7"/>
    <w:rsid w:val="00414BD3"/>
    <w:rsid w:val="00424943"/>
    <w:rsid w:val="0042727E"/>
    <w:rsid w:val="0043175C"/>
    <w:rsid w:val="00437296"/>
    <w:rsid w:val="00451590"/>
    <w:rsid w:val="00451871"/>
    <w:rsid w:val="00455103"/>
    <w:rsid w:val="004706DE"/>
    <w:rsid w:val="00472923"/>
    <w:rsid w:val="00486DCD"/>
    <w:rsid w:val="0049120C"/>
    <w:rsid w:val="004B0C3A"/>
    <w:rsid w:val="004C49A8"/>
    <w:rsid w:val="004C58D3"/>
    <w:rsid w:val="004D41E2"/>
    <w:rsid w:val="004D5788"/>
    <w:rsid w:val="004E3066"/>
    <w:rsid w:val="004E419C"/>
    <w:rsid w:val="004E74CD"/>
    <w:rsid w:val="005165B4"/>
    <w:rsid w:val="00524EFD"/>
    <w:rsid w:val="00572067"/>
    <w:rsid w:val="00573562"/>
    <w:rsid w:val="00590ECE"/>
    <w:rsid w:val="005A3C6F"/>
    <w:rsid w:val="005C0E90"/>
    <w:rsid w:val="005D0C27"/>
    <w:rsid w:val="005D37CA"/>
    <w:rsid w:val="005F5714"/>
    <w:rsid w:val="005F7AE1"/>
    <w:rsid w:val="00611D03"/>
    <w:rsid w:val="00613CF7"/>
    <w:rsid w:val="00614A29"/>
    <w:rsid w:val="00651BA2"/>
    <w:rsid w:val="00654FB9"/>
    <w:rsid w:val="00673D76"/>
    <w:rsid w:val="006854F0"/>
    <w:rsid w:val="006A4AEB"/>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2C2A"/>
    <w:rsid w:val="00813208"/>
    <w:rsid w:val="00814DF4"/>
    <w:rsid w:val="00815157"/>
    <w:rsid w:val="0083348E"/>
    <w:rsid w:val="008334AE"/>
    <w:rsid w:val="00836FED"/>
    <w:rsid w:val="0083724E"/>
    <w:rsid w:val="00841D53"/>
    <w:rsid w:val="00843DF8"/>
    <w:rsid w:val="00845CD2"/>
    <w:rsid w:val="00845E22"/>
    <w:rsid w:val="00852B0D"/>
    <w:rsid w:val="0085425A"/>
    <w:rsid w:val="00862CE4"/>
    <w:rsid w:val="00864B7F"/>
    <w:rsid w:val="00881692"/>
    <w:rsid w:val="00882539"/>
    <w:rsid w:val="008858FF"/>
    <w:rsid w:val="00893BC0"/>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1118"/>
    <w:rsid w:val="009B511E"/>
    <w:rsid w:val="009B5215"/>
    <w:rsid w:val="009C6C86"/>
    <w:rsid w:val="009D37D3"/>
    <w:rsid w:val="009D3807"/>
    <w:rsid w:val="009D7AC0"/>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AE4251"/>
    <w:rsid w:val="00B01D36"/>
    <w:rsid w:val="00B078CD"/>
    <w:rsid w:val="00B20712"/>
    <w:rsid w:val="00B32BD1"/>
    <w:rsid w:val="00B40832"/>
    <w:rsid w:val="00B43238"/>
    <w:rsid w:val="00B45DD3"/>
    <w:rsid w:val="00B54B90"/>
    <w:rsid w:val="00B6358B"/>
    <w:rsid w:val="00B64FA8"/>
    <w:rsid w:val="00B6525D"/>
    <w:rsid w:val="00B73582"/>
    <w:rsid w:val="00B75216"/>
    <w:rsid w:val="00B755A2"/>
    <w:rsid w:val="00B9104C"/>
    <w:rsid w:val="00B91D52"/>
    <w:rsid w:val="00B9490F"/>
    <w:rsid w:val="00BA1ACD"/>
    <w:rsid w:val="00BD09F8"/>
    <w:rsid w:val="00BD6255"/>
    <w:rsid w:val="00BE356A"/>
    <w:rsid w:val="00C005B2"/>
    <w:rsid w:val="00C103B2"/>
    <w:rsid w:val="00C1565C"/>
    <w:rsid w:val="00C21E0F"/>
    <w:rsid w:val="00C26264"/>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82562"/>
    <w:rsid w:val="00D82AD4"/>
    <w:rsid w:val="00D9307A"/>
    <w:rsid w:val="00DB4322"/>
    <w:rsid w:val="00DC367D"/>
    <w:rsid w:val="00DD1D0C"/>
    <w:rsid w:val="00DE1100"/>
    <w:rsid w:val="00DE186D"/>
    <w:rsid w:val="00E167C7"/>
    <w:rsid w:val="00E16D31"/>
    <w:rsid w:val="00E440CF"/>
    <w:rsid w:val="00E50926"/>
    <w:rsid w:val="00E55B78"/>
    <w:rsid w:val="00E736C7"/>
    <w:rsid w:val="00E76361"/>
    <w:rsid w:val="00E84020"/>
    <w:rsid w:val="00EB7A80"/>
    <w:rsid w:val="00EC47F6"/>
    <w:rsid w:val="00EE3CBE"/>
    <w:rsid w:val="00EE6D6D"/>
    <w:rsid w:val="00EF08C9"/>
    <w:rsid w:val="00EF535E"/>
    <w:rsid w:val="00F15CF0"/>
    <w:rsid w:val="00F30A31"/>
    <w:rsid w:val="00F31038"/>
    <w:rsid w:val="00F34633"/>
    <w:rsid w:val="00F471F7"/>
    <w:rsid w:val="00F66032"/>
    <w:rsid w:val="00F83B96"/>
    <w:rsid w:val="00F8441D"/>
    <w:rsid w:val="00F87C1E"/>
    <w:rsid w:val="00F958C2"/>
    <w:rsid w:val="00FA740E"/>
    <w:rsid w:val="00FC06C7"/>
    <w:rsid w:val="00FD5DB4"/>
    <w:rsid w:val="00FD7FCC"/>
    <w:rsid w:val="00FE1724"/>
    <w:rsid w:val="00FE753C"/>
    <w:rsid w:val="00FF2346"/>
    <w:rsid w:val="05C47F24"/>
    <w:rsid w:val="0815441A"/>
    <w:rsid w:val="17EF4CDD"/>
    <w:rsid w:val="363B55AD"/>
    <w:rsid w:val="40580AB9"/>
    <w:rsid w:val="46094E43"/>
    <w:rsid w:val="50376AF1"/>
    <w:rsid w:val="5068165E"/>
    <w:rsid w:val="510F3749"/>
    <w:rsid w:val="60EE027C"/>
    <w:rsid w:val="6A0E6308"/>
    <w:rsid w:val="70BD225E"/>
    <w:rsid w:val="76861E84"/>
    <w:rsid w:val="7A0226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41499-67A4-4FCC-BDC8-0AC3B7947CF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705</Words>
  <Characters>4024</Characters>
  <Lines>33</Lines>
  <Paragraphs>9</Paragraphs>
  <TotalTime>71</TotalTime>
  <ScaleCrop>false</ScaleCrop>
  <LinksUpToDate>false</LinksUpToDate>
  <CharactersWithSpaces>4720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Z.Y.N.</cp:lastModifiedBy>
  <cp:lastPrinted>2019-02-18T02:45:00Z</cp:lastPrinted>
  <dcterms:modified xsi:type="dcterms:W3CDTF">2021-05-20T02:50:46Z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896D4451461A40F2B8D0BAEC0A706C97</vt:lpwstr>
  </property>
</Properties>
</file>