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廊坊市广阳区行政审批局2020年部门预算信息公开情况说明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广阳区行政审批局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6"/>
        <w:ind w:firstLine="600" w:firstLineChars="200"/>
        <w:rPr>
          <w:rFonts w:ascii="Times New Roman" w:hAnsi="Times New Roman" w:eastAsia="仿宋_GB2312"/>
          <w:kern w:val="2"/>
          <w:sz w:val="30"/>
          <w:szCs w:val="30"/>
          <w:lang w:eastAsia="zh-CN"/>
        </w:rPr>
      </w:pPr>
      <w:r>
        <w:rPr>
          <w:rFonts w:ascii="Times New Roman" w:hAnsi="Times New Roman" w:eastAsia="仿宋_GB2312"/>
          <w:kern w:val="2"/>
          <w:sz w:val="30"/>
          <w:szCs w:val="30"/>
          <w:lang w:eastAsia="zh-CN"/>
        </w:rPr>
        <w:t>1、贯彻执行</w:t>
      </w:r>
      <w:r>
        <w:rPr>
          <w:rFonts w:hint="eastAsia" w:ascii="Times New Roman" w:hAnsi="Times New Roman" w:eastAsia="仿宋_GB2312"/>
          <w:kern w:val="2"/>
          <w:sz w:val="30"/>
          <w:szCs w:val="30"/>
          <w:lang w:eastAsia="zh-CN"/>
        </w:rPr>
        <w:t>党中央、国务院</w:t>
      </w:r>
      <w:r>
        <w:rPr>
          <w:rFonts w:ascii="Times New Roman" w:hAnsi="Times New Roman" w:eastAsia="仿宋_GB2312"/>
          <w:kern w:val="2"/>
          <w:sz w:val="30"/>
          <w:szCs w:val="30"/>
          <w:lang w:eastAsia="zh-CN"/>
        </w:rPr>
        <w:t>、省委省政府、市委市政府和区委区政府“放管服”改革、行政审批制度改革、政务服务管理、公共资源交易市场管理有关方针政策和法律法规。拟定有关政策，协调指导并监督实施。</w:t>
      </w:r>
    </w:p>
    <w:p>
      <w:pPr>
        <w:pStyle w:val="16"/>
        <w:ind w:firstLine="600" w:firstLineChars="200"/>
        <w:rPr>
          <w:rFonts w:ascii="Times New Roman" w:hAnsi="Times New Roman" w:eastAsia="仿宋_GB2312"/>
          <w:kern w:val="2"/>
          <w:sz w:val="30"/>
          <w:szCs w:val="30"/>
          <w:lang w:eastAsia="zh-CN"/>
        </w:rPr>
      </w:pPr>
      <w:r>
        <w:rPr>
          <w:rFonts w:ascii="Times New Roman" w:hAnsi="Times New Roman" w:eastAsia="仿宋_GB2312"/>
          <w:kern w:val="2"/>
          <w:sz w:val="30"/>
          <w:szCs w:val="30"/>
          <w:lang w:eastAsia="zh-CN"/>
        </w:rPr>
        <w:t>2、组织协调全区“放管服”改革工作。指导、督促贯彻落实</w:t>
      </w:r>
      <w:r>
        <w:rPr>
          <w:rFonts w:hint="eastAsia" w:ascii="Times New Roman" w:hAnsi="Times New Roman" w:eastAsia="仿宋_GB2312"/>
          <w:kern w:val="2"/>
          <w:sz w:val="30"/>
          <w:szCs w:val="30"/>
          <w:lang w:eastAsia="zh-CN"/>
        </w:rPr>
        <w:t>党中央、国务院</w:t>
      </w:r>
      <w:r>
        <w:rPr>
          <w:rFonts w:ascii="Times New Roman" w:hAnsi="Times New Roman" w:eastAsia="仿宋_GB2312"/>
          <w:kern w:val="2"/>
          <w:sz w:val="30"/>
          <w:szCs w:val="30"/>
          <w:lang w:eastAsia="zh-CN"/>
        </w:rPr>
        <w:t>、省委省政府、市委市政府和区委区政府有关“放管服”改革重要领域、关键环节重大措施，承担区推进政府职能转变和“放管服”改革协调小组的日常工作。</w:t>
      </w:r>
    </w:p>
    <w:p>
      <w:pPr>
        <w:pStyle w:val="16"/>
        <w:ind w:firstLine="600" w:firstLineChars="200"/>
        <w:rPr>
          <w:rFonts w:ascii="Times New Roman" w:hAnsi="Times New Roman" w:eastAsia="仿宋_GB2312"/>
          <w:kern w:val="2"/>
          <w:sz w:val="30"/>
          <w:szCs w:val="30"/>
          <w:lang w:eastAsia="zh-CN"/>
        </w:rPr>
      </w:pPr>
      <w:r>
        <w:rPr>
          <w:rFonts w:ascii="Times New Roman" w:hAnsi="Times New Roman" w:eastAsia="仿宋_GB2312"/>
          <w:kern w:val="2"/>
          <w:sz w:val="30"/>
          <w:szCs w:val="30"/>
          <w:lang w:eastAsia="zh-CN"/>
        </w:rPr>
        <w:t>3、指导协调全区行政审批制度改革工作。建立健全行政审批管理体系；推进简政放权，清理和规范各类行政许可等管理事项；协调推进行政审批标准化工作；承担区行政审批制度改革工作领导小组的日常工作。</w:t>
      </w:r>
    </w:p>
    <w:p>
      <w:pPr>
        <w:pStyle w:val="16"/>
        <w:ind w:firstLine="600" w:firstLineChars="200"/>
        <w:rPr>
          <w:rFonts w:ascii="Times New Roman" w:hAnsi="Times New Roman" w:eastAsia="仿宋_GB2312"/>
          <w:kern w:val="2"/>
          <w:sz w:val="30"/>
          <w:szCs w:val="30"/>
          <w:lang w:eastAsia="zh-CN"/>
        </w:rPr>
      </w:pPr>
      <w:r>
        <w:rPr>
          <w:rFonts w:ascii="Times New Roman" w:hAnsi="Times New Roman" w:eastAsia="仿宋_GB2312"/>
          <w:kern w:val="2"/>
          <w:sz w:val="30"/>
          <w:szCs w:val="30"/>
          <w:lang w:eastAsia="zh-CN"/>
        </w:rPr>
        <w:t>4、负责办理划转至区行政审批局的行政审批事项，并对审批行为承担相应的法律责任；负责对划入的行政审批事项进行流程再造和环节优化；负责与监督部门的联系沟通，建立健全审批与监管的有效衔接机制。</w:t>
      </w:r>
    </w:p>
    <w:p>
      <w:pPr>
        <w:pStyle w:val="16"/>
        <w:ind w:firstLine="600" w:firstLineChars="200"/>
        <w:rPr>
          <w:rFonts w:ascii="Times New Roman" w:hAnsi="Times New Roman" w:eastAsia="仿宋_GB2312"/>
          <w:kern w:val="2"/>
          <w:sz w:val="30"/>
          <w:szCs w:val="30"/>
          <w:lang w:eastAsia="zh-CN"/>
        </w:rPr>
      </w:pPr>
      <w:r>
        <w:rPr>
          <w:rFonts w:ascii="Times New Roman" w:hAnsi="Times New Roman" w:eastAsia="仿宋_GB2312"/>
          <w:kern w:val="2"/>
          <w:sz w:val="30"/>
          <w:szCs w:val="30"/>
          <w:lang w:eastAsia="zh-CN"/>
        </w:rPr>
        <w:t>5、指导协调全区政务服务管理工作。负责优化政务服务供给，降低制度性交易成本，提升政务服务效能；负责推进审批服务便民化；指导协调区有关部门为公民、法人或其他组织提供规范、高效、优质的政务服务。</w:t>
      </w:r>
    </w:p>
    <w:p>
      <w:pPr>
        <w:pStyle w:val="16"/>
        <w:ind w:firstLine="600" w:firstLineChars="200"/>
        <w:rPr>
          <w:rFonts w:ascii="Times New Roman" w:hAnsi="Times New Roman" w:eastAsia="仿宋_GB2312"/>
          <w:kern w:val="2"/>
          <w:sz w:val="30"/>
          <w:szCs w:val="30"/>
          <w:lang w:eastAsia="zh-CN"/>
        </w:rPr>
      </w:pPr>
      <w:r>
        <w:rPr>
          <w:rFonts w:ascii="Times New Roman" w:hAnsi="Times New Roman" w:eastAsia="仿宋_GB2312"/>
          <w:kern w:val="2"/>
          <w:sz w:val="30"/>
          <w:szCs w:val="30"/>
          <w:lang w:eastAsia="zh-CN"/>
        </w:rPr>
        <w:t>6、负责综合协调和监督管理区级各部门行政审批事项和公共服务事项的集中统一办理；推进重点项目审批服务的综合协调和督办；组织相关部门开展审批服务事项的联合办理和联审会办；研究推进并联审服务工作。</w:t>
      </w:r>
    </w:p>
    <w:p>
      <w:pPr>
        <w:pStyle w:val="16"/>
        <w:ind w:firstLine="600" w:firstLineChars="200"/>
        <w:rPr>
          <w:rFonts w:ascii="Times New Roman" w:hAnsi="Times New Roman" w:eastAsia="仿宋_GB2312"/>
          <w:kern w:val="2"/>
          <w:sz w:val="30"/>
          <w:szCs w:val="30"/>
          <w:lang w:eastAsia="zh-CN"/>
        </w:rPr>
      </w:pPr>
      <w:r>
        <w:rPr>
          <w:rFonts w:ascii="Times New Roman" w:hAnsi="Times New Roman" w:eastAsia="仿宋_GB2312"/>
          <w:kern w:val="2"/>
          <w:sz w:val="30"/>
          <w:szCs w:val="30"/>
          <w:lang w:eastAsia="zh-CN"/>
        </w:rPr>
        <w:t>7、协调指导全区公共资源交易市场工作。拟定全区公共资源交易市场管理制度和规则；编制全区公共资源交易目录；负责管理和利用统一的公共资源交易电子服务系统；负责推进全区公共资源交易领域信用体系建设；依据公共资源交易平台管理细则和办法等相关规定，履行管理和服务的职责；依法协调祥光部门开展区本级公共资源交易活动的联动执法工作。</w:t>
      </w:r>
    </w:p>
    <w:p>
      <w:pPr>
        <w:pStyle w:val="16"/>
        <w:ind w:firstLine="600" w:firstLineChars="200"/>
        <w:rPr>
          <w:rFonts w:ascii="Times New Roman" w:hAnsi="Times New Roman" w:eastAsia="仿宋_GB2312"/>
          <w:kern w:val="2"/>
          <w:sz w:val="30"/>
          <w:szCs w:val="30"/>
          <w:lang w:eastAsia="zh-CN"/>
        </w:rPr>
      </w:pPr>
      <w:r>
        <w:rPr>
          <w:rFonts w:ascii="Times New Roman" w:hAnsi="Times New Roman" w:eastAsia="仿宋_GB2312"/>
          <w:kern w:val="2"/>
          <w:sz w:val="30"/>
          <w:szCs w:val="30"/>
          <w:lang w:eastAsia="zh-CN"/>
        </w:rPr>
        <w:t>8、统筹推进全区“互联网+政务服务”工作，构建全区一体化政务服务平台。推行政务服务事项网上办理，形成管理机构、实体大厅、网上平台“三位一体”的管理模式；推进全区电子证照库建设‘推进全区政务服务平台规范化、标准化、集约化建设和互联互通、数据共享。</w:t>
      </w:r>
    </w:p>
    <w:p>
      <w:pPr>
        <w:pStyle w:val="16"/>
        <w:ind w:firstLine="600" w:firstLineChars="200"/>
        <w:rPr>
          <w:rFonts w:ascii="Times New Roman" w:hAnsi="Times New Roman" w:eastAsia="仿宋_GB2312"/>
          <w:kern w:val="2"/>
          <w:sz w:val="30"/>
          <w:szCs w:val="30"/>
          <w:lang w:eastAsia="zh-CN"/>
        </w:rPr>
      </w:pPr>
      <w:r>
        <w:rPr>
          <w:rFonts w:ascii="Times New Roman" w:hAnsi="Times New Roman" w:eastAsia="仿宋_GB2312"/>
          <w:kern w:val="2"/>
          <w:sz w:val="30"/>
          <w:szCs w:val="30"/>
          <w:lang w:eastAsia="zh-CN"/>
        </w:rPr>
        <w:t>9、建立健全全区行政审批服务、政务服务效能可量化的考核评价制度；对进驻政务服务大厅的部门进行综合考评，对进驻事项的办理情况、办理效能，以及办事人员的服务质量等进行监督；负责对垂管部门和有关单位派驻窗口的规范、管理和监督；负责受理对本单位及派驻单位行政审批行为的投诉举报，会同有关部门查处行政审批方面的违纪违规行为。</w:t>
      </w:r>
    </w:p>
    <w:p>
      <w:pPr>
        <w:pStyle w:val="16"/>
        <w:ind w:firstLine="600" w:firstLineChars="200"/>
        <w:rPr>
          <w:rFonts w:ascii="Times New Roman" w:hAnsi="Times New Roman" w:eastAsia="仿宋_GB2312"/>
          <w:kern w:val="2"/>
          <w:sz w:val="30"/>
          <w:szCs w:val="30"/>
          <w:lang w:eastAsia="zh-CN"/>
        </w:rPr>
      </w:pPr>
      <w:r>
        <w:rPr>
          <w:rFonts w:ascii="Times New Roman" w:hAnsi="Times New Roman" w:eastAsia="仿宋_GB2312"/>
          <w:kern w:val="2"/>
          <w:sz w:val="30"/>
          <w:szCs w:val="30"/>
          <w:lang w:eastAsia="zh-CN"/>
        </w:rPr>
        <w:t>10、不断优化行政审批、政务服务管理模式。指导和监督政务服务中心和公共资源交易规范化建设；协调市行政审批局与区有关部门，建立完善市县审批服务联动工作机制；指导全区政务服务大厅建设。</w:t>
      </w:r>
    </w:p>
    <w:p>
      <w:pPr>
        <w:pStyle w:val="16"/>
        <w:ind w:firstLine="600" w:firstLineChars="200"/>
        <w:rPr>
          <w:rFonts w:ascii="Times New Roman" w:hAnsi="Times New Roman" w:eastAsia="仿宋_GB2312"/>
          <w:kern w:val="2"/>
          <w:sz w:val="30"/>
          <w:szCs w:val="30"/>
          <w:lang w:eastAsia="zh-CN"/>
        </w:rPr>
      </w:pPr>
      <w:r>
        <w:rPr>
          <w:rFonts w:hint="eastAsia" w:ascii="Times New Roman" w:hAnsi="Times New Roman" w:eastAsia="仿宋_GB2312"/>
          <w:kern w:val="2"/>
          <w:sz w:val="30"/>
          <w:szCs w:val="30"/>
          <w:lang w:eastAsia="zh-CN"/>
        </w:rPr>
        <w:t>11、完成区委、区政府交办的其他任务。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廊坊市广阳区行政审批局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广阳区行政审批局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楷体_GB2312" w:cs="Times New Roman"/>
          <w:b/>
          <w:sz w:val="32"/>
          <w:szCs w:val="32"/>
        </w:rPr>
      </w:pPr>
      <w:r>
        <w:rPr>
          <w:rFonts w:ascii="Times New Roman" w:hAnsi="Times New Roman" w:eastAsia="楷体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444.03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444.03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楷体_GB2312" w:cs="Times New Roman"/>
          <w:b/>
          <w:sz w:val="32"/>
          <w:szCs w:val="32"/>
        </w:rPr>
      </w:pPr>
      <w:r>
        <w:rPr>
          <w:rFonts w:ascii="Times New Roman" w:hAnsi="Times New Roman" w:eastAsia="楷体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广阳区行政审批局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444.03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444.03</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404.46</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39.57</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楷体_GB2312" w:cs="Times New Roman"/>
          <w:b/>
          <w:sz w:val="32"/>
          <w:szCs w:val="32"/>
        </w:rPr>
      </w:pPr>
      <w:r>
        <w:rPr>
          <w:rFonts w:ascii="Times New Roman" w:hAnsi="Times New Roman" w:eastAsia="楷体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444.03</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444.03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增加444.03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2019年我单位新成立，增加人员经费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无增减变化；其他支出无增减变化。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39.57</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84"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1、贯彻执行国家、省、市有关行政审批的方针政策、法律法规</w:t>
      </w:r>
      <w:r>
        <w:rPr>
          <w:rFonts w:hint="eastAsia" w:ascii="Times New Roman" w:hAnsi="Times New Roman" w:eastAsia="仿宋_GB2312"/>
          <w:sz w:val="30"/>
          <w:szCs w:val="30"/>
        </w:rPr>
        <w:t>，</w:t>
      </w:r>
      <w:r>
        <w:rPr>
          <w:rFonts w:ascii="Times New Roman" w:hAnsi="Times New Roman" w:eastAsia="仿宋_GB2312"/>
          <w:sz w:val="30"/>
          <w:szCs w:val="30"/>
        </w:rPr>
        <w:t>制定行政审批局各项规章制度和管理办法，负责全区行政审批工作体系、体质机构创新和完善工作</w:t>
      </w:r>
      <w:r>
        <w:rPr>
          <w:rFonts w:hint="eastAsia" w:ascii="Times New Roman" w:hAnsi="Times New Roman" w:eastAsia="仿宋_GB2312"/>
          <w:sz w:val="30"/>
          <w:szCs w:val="30"/>
        </w:rPr>
        <w:t>。</w:t>
      </w:r>
    </w:p>
    <w:p>
      <w:pPr>
        <w:spacing w:line="584"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2、负责规范行政审批行为，优化审批流程，提高审批效率，并依法全面公开行政审批信息</w:t>
      </w:r>
      <w:r>
        <w:rPr>
          <w:rFonts w:hint="eastAsia" w:ascii="Times New Roman" w:hAnsi="Times New Roman" w:eastAsia="仿宋_GB2312"/>
          <w:sz w:val="30"/>
          <w:szCs w:val="30"/>
        </w:rPr>
        <w:t>。</w:t>
      </w:r>
    </w:p>
    <w:p>
      <w:pPr>
        <w:spacing w:line="584"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3、</w:t>
      </w:r>
      <w:r>
        <w:rPr>
          <w:rFonts w:ascii="Times New Roman" w:hAnsi="Times New Roman" w:eastAsia="仿宋_GB2312"/>
          <w:sz w:val="30"/>
          <w:szCs w:val="30"/>
        </w:rPr>
        <w:t>配合上级部门政务服务平台的建设和管理，建立和完善政务服务体系，提升办公软件硬件环境及其他事项</w:t>
      </w:r>
      <w:r>
        <w:rPr>
          <w:rFonts w:hint="eastAsia" w:ascii="Times New Roman" w:hAnsi="Times New Roman" w:eastAsia="仿宋_GB2312"/>
          <w:sz w:val="30"/>
          <w:szCs w:val="30"/>
        </w:rPr>
        <w:t>。</w:t>
      </w:r>
    </w:p>
    <w:p>
      <w:pPr>
        <w:spacing w:line="584" w:lineRule="exact"/>
        <w:ind w:firstLine="600" w:firstLineChars="200"/>
        <w:jc w:val="left"/>
        <w:rPr>
          <w:rFonts w:ascii="Times New Roman" w:hAnsi="Times New Roman" w:eastAsia="楷体_GB2312" w:cs="Times New Roman"/>
          <w:b/>
          <w:sz w:val="32"/>
          <w:szCs w:val="32"/>
        </w:rPr>
      </w:pPr>
      <w:r>
        <w:rPr>
          <w:rFonts w:ascii="Times New Roman" w:hAnsi="Times New Roman" w:eastAsia="仿宋_GB2312"/>
          <w:sz w:val="30"/>
          <w:szCs w:val="30"/>
        </w:rPr>
        <w:t>4、拟定全区行政管理办法、措施和制度，加强队伍建设，开展教育培训及法律服务工作，做好机关后勤保障等其他工作</w:t>
      </w:r>
      <w:r>
        <w:rPr>
          <w:rFonts w:hint="eastAsia" w:ascii="Times New Roman" w:hAnsi="Times New Roman" w:eastAsia="仿宋_GB2312"/>
          <w:sz w:val="30"/>
          <w:szCs w:val="30"/>
        </w:rPr>
        <w:t>。</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1、组织实施审批局各项规章制度和管理办法，做好深化行政审批制度改革、提高审批效率，优化政务服务环境。</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2、完成全年审批业务申请受理，按照规定程序对行政审批事项进行要件审核，对符合规定条件的行政审批事项进行批准，完成对各工作人员的业务培训、教育培训、管理、监督和考核工作，加强档案管理。</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3、配合上级部门完成政务服务平台建设，并有效管理和运用，深化互联网+政务服务改革。</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4、完成各部门间业务交流和上级部门交办的工作，加强行政管理能力建设，促进自身建设、服务保障能力进一步提升。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pStyle w:val="16"/>
        <w:ind w:firstLine="600" w:firstLineChars="200"/>
        <w:rPr>
          <w:rFonts w:ascii="Times New Roman" w:hAnsi="Times New Roman" w:eastAsia="仿宋_GB2312" w:cstheme="minorBidi"/>
          <w:kern w:val="2"/>
          <w:sz w:val="30"/>
          <w:szCs w:val="30"/>
          <w:lang w:eastAsia="zh-CN"/>
        </w:rPr>
      </w:pPr>
      <w:r>
        <w:rPr>
          <w:rFonts w:ascii="Times New Roman" w:hAnsi="Times New Roman" w:eastAsia="仿宋_GB2312" w:cstheme="minorBidi"/>
          <w:kern w:val="2"/>
          <w:sz w:val="30"/>
          <w:szCs w:val="30"/>
          <w:lang w:eastAsia="zh-CN"/>
        </w:rPr>
        <w:t>1、完善落实各项财务制度，规范管理，严格收入支出审批制度</w:t>
      </w:r>
      <w:r>
        <w:rPr>
          <w:rFonts w:hint="eastAsia" w:ascii="Times New Roman" w:hAnsi="Times New Roman" w:eastAsia="仿宋_GB2312" w:cstheme="minorBidi"/>
          <w:kern w:val="2"/>
          <w:sz w:val="30"/>
          <w:szCs w:val="30"/>
          <w:lang w:eastAsia="zh-CN"/>
        </w:rPr>
        <w:t>。</w:t>
      </w:r>
    </w:p>
    <w:p>
      <w:pPr>
        <w:pStyle w:val="16"/>
        <w:ind w:firstLine="600" w:firstLineChars="200"/>
        <w:rPr>
          <w:rFonts w:ascii="Times New Roman" w:hAnsi="Times New Roman" w:eastAsia="仿宋_GB2312" w:cstheme="minorBidi"/>
          <w:kern w:val="2"/>
          <w:sz w:val="30"/>
          <w:szCs w:val="30"/>
          <w:lang w:eastAsia="zh-CN"/>
        </w:rPr>
      </w:pPr>
      <w:r>
        <w:rPr>
          <w:rFonts w:ascii="Times New Roman" w:hAnsi="Times New Roman" w:eastAsia="仿宋_GB2312" w:cstheme="minorBidi"/>
          <w:kern w:val="2"/>
          <w:sz w:val="30"/>
          <w:szCs w:val="30"/>
          <w:lang w:eastAsia="zh-CN"/>
        </w:rPr>
        <w:t>2、严格执行预算管理，控制各项经费支出</w:t>
      </w:r>
      <w:r>
        <w:rPr>
          <w:rFonts w:hint="eastAsia" w:ascii="Times New Roman" w:hAnsi="Times New Roman" w:eastAsia="仿宋_GB2312" w:cstheme="minorBidi"/>
          <w:kern w:val="2"/>
          <w:sz w:val="30"/>
          <w:szCs w:val="30"/>
          <w:lang w:eastAsia="zh-CN"/>
        </w:rPr>
        <w:t>。</w:t>
      </w:r>
    </w:p>
    <w:p>
      <w:pPr>
        <w:pStyle w:val="16"/>
        <w:ind w:firstLine="600" w:firstLineChars="200"/>
        <w:rPr>
          <w:rFonts w:ascii="Times New Roman" w:hAnsi="Times New Roman" w:eastAsia="仿宋_GB2312" w:cstheme="minorBidi"/>
          <w:kern w:val="2"/>
          <w:sz w:val="30"/>
          <w:szCs w:val="30"/>
          <w:lang w:eastAsia="zh-CN"/>
        </w:rPr>
      </w:pPr>
      <w:r>
        <w:rPr>
          <w:rFonts w:ascii="Times New Roman" w:hAnsi="Times New Roman" w:eastAsia="仿宋_GB2312" w:cstheme="minorBidi"/>
          <w:kern w:val="2"/>
          <w:sz w:val="30"/>
          <w:szCs w:val="30"/>
          <w:lang w:eastAsia="zh-CN"/>
        </w:rPr>
        <w:t>3、完善监管，建立长效机制，严格按照政策标准执行预算指标。</w:t>
      </w:r>
    </w:p>
    <w:p>
      <w:pPr>
        <w:pStyle w:val="16"/>
        <w:ind w:firstLine="600" w:firstLineChars="200"/>
        <w:rPr>
          <w:rFonts w:ascii="Times New Roman" w:hAnsi="Times New Roman" w:eastAsia="仿宋_GB2312" w:cstheme="minorBidi"/>
          <w:kern w:val="2"/>
          <w:sz w:val="30"/>
          <w:szCs w:val="30"/>
          <w:lang w:eastAsia="zh-CN"/>
        </w:rPr>
      </w:pPr>
      <w:r>
        <w:rPr>
          <w:rFonts w:ascii="Times New Roman" w:hAnsi="Times New Roman" w:eastAsia="仿宋_GB2312" w:cstheme="minorBidi"/>
          <w:kern w:val="2"/>
          <w:sz w:val="30"/>
          <w:szCs w:val="30"/>
          <w:lang w:eastAsia="zh-CN"/>
        </w:rPr>
        <w:t>4、推进</w:t>
      </w:r>
      <w:r>
        <w:rPr>
          <w:rFonts w:hint="eastAsia" w:ascii="Times New Roman" w:hAnsi="Times New Roman" w:eastAsia="仿宋_GB2312" w:cstheme="minorBidi"/>
          <w:kern w:val="2"/>
          <w:sz w:val="30"/>
          <w:szCs w:val="30"/>
          <w:lang w:eastAsia="zh-CN"/>
        </w:rPr>
        <w:t>“放管服”改革</w:t>
      </w:r>
      <w:r>
        <w:rPr>
          <w:rFonts w:ascii="Times New Roman" w:hAnsi="Times New Roman" w:eastAsia="仿宋_GB2312" w:cstheme="minorBidi"/>
          <w:kern w:val="2"/>
          <w:sz w:val="30"/>
          <w:szCs w:val="30"/>
          <w:lang w:eastAsia="zh-CN"/>
        </w:rPr>
        <w:t>，全面做好审批各项工作</w:t>
      </w:r>
      <w:r>
        <w:rPr>
          <w:rFonts w:hint="eastAsia" w:ascii="Times New Roman" w:hAnsi="Times New Roman" w:eastAsia="仿宋_GB2312" w:cstheme="minorBidi"/>
          <w:kern w:val="2"/>
          <w:sz w:val="30"/>
          <w:szCs w:val="30"/>
          <w:lang w:eastAsia="zh-CN"/>
        </w:rPr>
        <w:t>。</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p>
      <w:pPr>
        <w:spacing w:line="584"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我单位无专项资金。</w:t>
      </w: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廊坊市广阳区行政审批局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广阳区行政审批局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71.65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总额为0万元，本年度我部门无拟购置固定资产。</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rPr>
                <w:rFonts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广阳区行政审批局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71.65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52.03</w:t>
            </w:r>
          </w:p>
        </w:tc>
      </w:tr>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4208"/>
    <w:rsid w:val="000053CC"/>
    <w:rsid w:val="00037AF6"/>
    <w:rsid w:val="00037CA3"/>
    <w:rsid w:val="000410F2"/>
    <w:rsid w:val="0004565F"/>
    <w:rsid w:val="00070080"/>
    <w:rsid w:val="00072187"/>
    <w:rsid w:val="00075D5F"/>
    <w:rsid w:val="0008180F"/>
    <w:rsid w:val="0008745D"/>
    <w:rsid w:val="00093DA3"/>
    <w:rsid w:val="000B2102"/>
    <w:rsid w:val="000B529B"/>
    <w:rsid w:val="000C24E6"/>
    <w:rsid w:val="000C3A19"/>
    <w:rsid w:val="000E4305"/>
    <w:rsid w:val="000F0D09"/>
    <w:rsid w:val="000F5B1A"/>
    <w:rsid w:val="00121FAA"/>
    <w:rsid w:val="001245BB"/>
    <w:rsid w:val="001251A3"/>
    <w:rsid w:val="001308C0"/>
    <w:rsid w:val="0015229A"/>
    <w:rsid w:val="00160266"/>
    <w:rsid w:val="00161E92"/>
    <w:rsid w:val="001643E8"/>
    <w:rsid w:val="00176C13"/>
    <w:rsid w:val="001919C4"/>
    <w:rsid w:val="0019723B"/>
    <w:rsid w:val="001A0943"/>
    <w:rsid w:val="001B5C1D"/>
    <w:rsid w:val="001C6E38"/>
    <w:rsid w:val="001E0757"/>
    <w:rsid w:val="001E6DDC"/>
    <w:rsid w:val="001E70E9"/>
    <w:rsid w:val="001F5C92"/>
    <w:rsid w:val="001F7873"/>
    <w:rsid w:val="00230E48"/>
    <w:rsid w:val="00241FD4"/>
    <w:rsid w:val="00246317"/>
    <w:rsid w:val="00251B12"/>
    <w:rsid w:val="00265318"/>
    <w:rsid w:val="00265F39"/>
    <w:rsid w:val="002764F6"/>
    <w:rsid w:val="002835D7"/>
    <w:rsid w:val="00290FD6"/>
    <w:rsid w:val="00292821"/>
    <w:rsid w:val="00296113"/>
    <w:rsid w:val="0029693F"/>
    <w:rsid w:val="002A673A"/>
    <w:rsid w:val="002B0AEF"/>
    <w:rsid w:val="002C5E13"/>
    <w:rsid w:val="002C62BC"/>
    <w:rsid w:val="002E0EB8"/>
    <w:rsid w:val="002F3896"/>
    <w:rsid w:val="002F3E58"/>
    <w:rsid w:val="0030542C"/>
    <w:rsid w:val="00311B7A"/>
    <w:rsid w:val="003126B6"/>
    <w:rsid w:val="00313D9C"/>
    <w:rsid w:val="00325215"/>
    <w:rsid w:val="0033339C"/>
    <w:rsid w:val="00335660"/>
    <w:rsid w:val="003A05EE"/>
    <w:rsid w:val="003B6D37"/>
    <w:rsid w:val="004132D7"/>
    <w:rsid w:val="00414BD3"/>
    <w:rsid w:val="00424943"/>
    <w:rsid w:val="0042727E"/>
    <w:rsid w:val="0043175C"/>
    <w:rsid w:val="00437296"/>
    <w:rsid w:val="00451590"/>
    <w:rsid w:val="00451871"/>
    <w:rsid w:val="00455103"/>
    <w:rsid w:val="004706DE"/>
    <w:rsid w:val="00472923"/>
    <w:rsid w:val="00486DCD"/>
    <w:rsid w:val="0049120C"/>
    <w:rsid w:val="004A78FA"/>
    <w:rsid w:val="004B0C3A"/>
    <w:rsid w:val="004C49A8"/>
    <w:rsid w:val="004C58D3"/>
    <w:rsid w:val="004C69D0"/>
    <w:rsid w:val="004D5788"/>
    <w:rsid w:val="004E3066"/>
    <w:rsid w:val="004E419C"/>
    <w:rsid w:val="004E74CD"/>
    <w:rsid w:val="00524EFD"/>
    <w:rsid w:val="00572067"/>
    <w:rsid w:val="00573562"/>
    <w:rsid w:val="005769F2"/>
    <w:rsid w:val="005819DE"/>
    <w:rsid w:val="00583088"/>
    <w:rsid w:val="00590ECE"/>
    <w:rsid w:val="00592950"/>
    <w:rsid w:val="005A6769"/>
    <w:rsid w:val="005C0E90"/>
    <w:rsid w:val="005D0C27"/>
    <w:rsid w:val="005D37CA"/>
    <w:rsid w:val="005F5714"/>
    <w:rsid w:val="005F7AE1"/>
    <w:rsid w:val="00611D03"/>
    <w:rsid w:val="00614A29"/>
    <w:rsid w:val="00615DE6"/>
    <w:rsid w:val="00651BA2"/>
    <w:rsid w:val="00654FB9"/>
    <w:rsid w:val="00673D76"/>
    <w:rsid w:val="006854F0"/>
    <w:rsid w:val="006A1D36"/>
    <w:rsid w:val="006B1C4A"/>
    <w:rsid w:val="006B610D"/>
    <w:rsid w:val="006C206A"/>
    <w:rsid w:val="006E49F5"/>
    <w:rsid w:val="007013C8"/>
    <w:rsid w:val="00727C84"/>
    <w:rsid w:val="00741AF5"/>
    <w:rsid w:val="0074338E"/>
    <w:rsid w:val="00753836"/>
    <w:rsid w:val="0075393C"/>
    <w:rsid w:val="00753D48"/>
    <w:rsid w:val="00754592"/>
    <w:rsid w:val="00776C08"/>
    <w:rsid w:val="00790ABF"/>
    <w:rsid w:val="007B3EA1"/>
    <w:rsid w:val="007B49AA"/>
    <w:rsid w:val="007B4A4C"/>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570BF"/>
    <w:rsid w:val="00862CE4"/>
    <w:rsid w:val="00864B7F"/>
    <w:rsid w:val="00881692"/>
    <w:rsid w:val="00882539"/>
    <w:rsid w:val="008858FF"/>
    <w:rsid w:val="00891F9C"/>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245EE"/>
    <w:rsid w:val="00A40F60"/>
    <w:rsid w:val="00A44E3D"/>
    <w:rsid w:val="00A72D2E"/>
    <w:rsid w:val="00A74447"/>
    <w:rsid w:val="00A74CE5"/>
    <w:rsid w:val="00A77500"/>
    <w:rsid w:val="00A849B6"/>
    <w:rsid w:val="00A8536F"/>
    <w:rsid w:val="00A8775D"/>
    <w:rsid w:val="00A911E7"/>
    <w:rsid w:val="00A939D9"/>
    <w:rsid w:val="00AB77AA"/>
    <w:rsid w:val="00AC0E98"/>
    <w:rsid w:val="00AC4748"/>
    <w:rsid w:val="00AD5259"/>
    <w:rsid w:val="00B01D36"/>
    <w:rsid w:val="00B078CD"/>
    <w:rsid w:val="00B20712"/>
    <w:rsid w:val="00B32BD1"/>
    <w:rsid w:val="00B40832"/>
    <w:rsid w:val="00B43238"/>
    <w:rsid w:val="00B45DD3"/>
    <w:rsid w:val="00B53368"/>
    <w:rsid w:val="00B54B90"/>
    <w:rsid w:val="00B6358B"/>
    <w:rsid w:val="00B64FA8"/>
    <w:rsid w:val="00B73582"/>
    <w:rsid w:val="00B75216"/>
    <w:rsid w:val="00B755A2"/>
    <w:rsid w:val="00B9104C"/>
    <w:rsid w:val="00B91D52"/>
    <w:rsid w:val="00B9490F"/>
    <w:rsid w:val="00B96A9A"/>
    <w:rsid w:val="00BA1ACD"/>
    <w:rsid w:val="00BD09F8"/>
    <w:rsid w:val="00BE356A"/>
    <w:rsid w:val="00BE5A21"/>
    <w:rsid w:val="00C005B2"/>
    <w:rsid w:val="00C03086"/>
    <w:rsid w:val="00C1565C"/>
    <w:rsid w:val="00C21E0F"/>
    <w:rsid w:val="00C362CA"/>
    <w:rsid w:val="00C37A99"/>
    <w:rsid w:val="00C772C1"/>
    <w:rsid w:val="00C93D22"/>
    <w:rsid w:val="00CA7176"/>
    <w:rsid w:val="00CB51D7"/>
    <w:rsid w:val="00CC75B0"/>
    <w:rsid w:val="00CD2773"/>
    <w:rsid w:val="00CD78D7"/>
    <w:rsid w:val="00CE01BA"/>
    <w:rsid w:val="00CE143B"/>
    <w:rsid w:val="00CE326A"/>
    <w:rsid w:val="00CE3A91"/>
    <w:rsid w:val="00D03236"/>
    <w:rsid w:val="00D04B95"/>
    <w:rsid w:val="00D07DBA"/>
    <w:rsid w:val="00D23C16"/>
    <w:rsid w:val="00D27003"/>
    <w:rsid w:val="00D324AD"/>
    <w:rsid w:val="00D9307A"/>
    <w:rsid w:val="00DB263E"/>
    <w:rsid w:val="00DB4322"/>
    <w:rsid w:val="00DD1D0C"/>
    <w:rsid w:val="00DE186D"/>
    <w:rsid w:val="00E167C7"/>
    <w:rsid w:val="00E26354"/>
    <w:rsid w:val="00E440CF"/>
    <w:rsid w:val="00E55B78"/>
    <w:rsid w:val="00E76361"/>
    <w:rsid w:val="00E81606"/>
    <w:rsid w:val="00E84020"/>
    <w:rsid w:val="00EB7A80"/>
    <w:rsid w:val="00EC47F6"/>
    <w:rsid w:val="00EE6D6D"/>
    <w:rsid w:val="00EF08C9"/>
    <w:rsid w:val="00EF1EF9"/>
    <w:rsid w:val="00EF2CE7"/>
    <w:rsid w:val="00EF535E"/>
    <w:rsid w:val="00F15CF0"/>
    <w:rsid w:val="00F471F7"/>
    <w:rsid w:val="00F66032"/>
    <w:rsid w:val="00F81E9A"/>
    <w:rsid w:val="00F83B96"/>
    <w:rsid w:val="00F8441D"/>
    <w:rsid w:val="00F87C1E"/>
    <w:rsid w:val="00F958C2"/>
    <w:rsid w:val="00FA740E"/>
    <w:rsid w:val="00FC06C7"/>
    <w:rsid w:val="00FD5DB4"/>
    <w:rsid w:val="00FD7FCC"/>
    <w:rsid w:val="00FE1724"/>
    <w:rsid w:val="00FE753C"/>
    <w:rsid w:val="00FF2346"/>
    <w:rsid w:val="026D61CD"/>
    <w:rsid w:val="0C204A09"/>
    <w:rsid w:val="42987DE0"/>
    <w:rsid w:val="59D42242"/>
    <w:rsid w:val="638B7E1E"/>
    <w:rsid w:val="6B0B00A3"/>
    <w:rsid w:val="728662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92E3-538C-4BC3-A4E5-FC3FA114DE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571</Words>
  <Characters>3257</Characters>
  <Lines>27</Lines>
  <Paragraphs>7</Paragraphs>
  <TotalTime>760</TotalTime>
  <ScaleCrop>false</ScaleCrop>
  <LinksUpToDate>false</LinksUpToDate>
  <CharactersWithSpaces>3821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2024-05-15T08:26:52Z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F11123071E51435BA8998DA8ADC6DF6A</vt:lpwstr>
  </property>
</Properties>
</file>