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廊坊市广阳区九州镇白家务办事处2020年部门预算信息公开情况说明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3" w:firstLineChars="200"/>
        <w:rPr>
          <w:rFonts w:hint="eastAsia" w:ascii="Times New Roman" w:hAnsi="Times New Roman" w:eastAsia="黑体" w:cs="Times New Roman"/>
          <w:b/>
          <w:sz w:val="32"/>
          <w:szCs w:val="32"/>
          <w:lang w:eastAsia="zh-CN"/>
        </w:rPr>
      </w:pPr>
      <w:r>
        <w:rPr>
          <w:rFonts w:ascii="Times New Roman" w:hAnsi="黑体" w:eastAsia="黑体" w:cs="Times New Roman"/>
          <w:b/>
          <w:sz w:val="32"/>
          <w:szCs w:val="32"/>
        </w:rPr>
        <w:t>一、部门职责及机构设置情况</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部门职责：</w:t>
      </w:r>
    </w:p>
    <w:p>
      <w:pPr>
        <w:spacing w:line="500" w:lineRule="exact"/>
        <w:ind w:firstLine="640" w:firstLineChars="200"/>
        <w:jc w:val="left"/>
        <w:rPr>
          <w:rFonts w:ascii="仿宋_GB2312" w:hAnsi="宋体" w:eastAsia="仿宋_GB2312"/>
          <w:sz w:val="32"/>
          <w:szCs w:val="32"/>
        </w:rPr>
      </w:pPr>
      <w:r>
        <w:rPr>
          <w:rFonts w:hint="eastAsia" w:ascii="仿宋_GB2312" w:eastAsia="仿宋_GB2312"/>
          <w:sz w:val="32"/>
          <w:szCs w:val="32"/>
        </w:rPr>
        <w:t>根据《廊坊市广阳区白家务办事处职能配置、内设机构和人员编制规定》， 廊坊市广阳区白家务办事处的主要职责是：</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政务服务职责：负责政务公开、单位会议管理、督察督办、政务联络、办事处日常工作等。</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   应急管理职责：负责基层政府值班工作，及时报告重要情况，传达和督促落实镇政府领导指示。协助镇政府领导做好需由基层政府组织处理的突发事件应急处置工作。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地方志事务职责：负责全辖区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工会事务管理职责：研究指导全办事处工会自身建设；承担工委、政府及全国总工会交办的其他事项。</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团委事务管理职责：负责团委综合业务管理。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宣传事务管理职责：负责系统综合业务管理和机关综合事务管理。确保各项业务工作谋划到位、顺利开展。保障机关工作正常高效运转。</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建设与环保政务管理职责：负责环境保护系统综合业务管理和机关综合事务管理。加强城乡建设与环保保护管理工作。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大气污染治理工作职责: 负责大气污染治理领导小组日常工作，制定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通过制</w:t>
      </w:r>
      <w:r>
        <w:rPr>
          <w:rFonts w:hint="eastAsia" w:ascii="仿宋_GB2312" w:eastAsia="仿宋_GB2312"/>
          <w:sz w:val="32"/>
          <w:szCs w:val="32"/>
          <w:lang w:eastAsia="zh-CN"/>
        </w:rPr>
        <w:t>订</w:t>
      </w:r>
      <w:r>
        <w:rPr>
          <w:rFonts w:hint="eastAsia" w:ascii="仿宋_GB2312" w:eastAsia="仿宋_GB2312"/>
          <w:sz w:val="32"/>
          <w:szCs w:val="32"/>
        </w:rPr>
        <w:t>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bookmarkStart w:id="5" w:name="_GoBack"/>
      <w:bookmarkEnd w:id="5"/>
    </w:p>
    <w:p>
      <w:pPr>
        <w:spacing w:line="500" w:lineRule="exact"/>
        <w:ind w:firstLine="560" w:firstLineChars="200"/>
        <w:jc w:val="left"/>
        <w:rPr>
          <w:rFonts w:ascii="Times New Roman" w:eastAsia="方正仿宋_GBK"/>
          <w:sz w:val="28"/>
        </w:rPr>
      </w:pP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35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975"/>
        <w:gridCol w:w="1560"/>
        <w:gridCol w:w="1701"/>
        <w:gridCol w:w="3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2975" w:type="dxa"/>
            <w:tcBorders>
              <w:top w:val="outset" w:color="auto" w:sz="6" w:space="0"/>
              <w:bottom w:val="outset" w:color="auto" w:sz="6" w:space="0"/>
              <w:right w:val="outset" w:color="auto" w:sz="6"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单位名称</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单位性质</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单位规格</w:t>
            </w:r>
          </w:p>
        </w:tc>
        <w:tc>
          <w:tcPr>
            <w:tcW w:w="3118" w:type="dxa"/>
            <w:tcBorders>
              <w:top w:val="outset" w:color="auto" w:sz="6" w:space="0"/>
              <w:left w:val="outset" w:color="auto" w:sz="6" w:space="0"/>
              <w:bottom w:val="outset" w:color="auto" w:sz="6"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6" w:hRule="atLeast"/>
          <w:tblCellSpacing w:w="0" w:type="dxa"/>
          <w:jc w:val="center"/>
        </w:trPr>
        <w:tc>
          <w:tcPr>
            <w:tcW w:w="2975" w:type="dxa"/>
            <w:tcBorders>
              <w:top w:val="outset" w:color="auto" w:sz="6" w:space="0"/>
              <w:bottom w:val="outset" w:color="auto" w:sz="6" w:space="0"/>
              <w:right w:val="outset" w:color="auto" w:sz="6" w:space="0"/>
            </w:tcBorders>
            <w:vAlign w:val="center"/>
          </w:tcPr>
          <w:p>
            <w:pPr>
              <w:spacing w:line="300" w:lineRule="exact"/>
              <w:jc w:val="left"/>
              <w:rPr>
                <w:rFonts w:ascii="仿宋" w:hAnsi="仿宋" w:eastAsia="仿宋"/>
                <w:sz w:val="32"/>
                <w:szCs w:val="32"/>
              </w:rPr>
            </w:pPr>
            <w:r>
              <w:rPr>
                <w:rFonts w:hint="eastAsia" w:ascii="仿宋" w:hAnsi="仿宋" w:eastAsia="仿宋"/>
                <w:sz w:val="32"/>
                <w:szCs w:val="32"/>
              </w:rPr>
              <w:t>廊坊市广阳区九州镇白家务办事处财政所</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行政</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正科级</w:t>
            </w:r>
          </w:p>
        </w:tc>
        <w:tc>
          <w:tcPr>
            <w:tcW w:w="3118" w:type="dxa"/>
            <w:tcBorders>
              <w:top w:val="outset" w:color="auto" w:sz="6" w:space="0"/>
              <w:left w:val="outset" w:color="auto" w:sz="6" w:space="0"/>
              <w:bottom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2" w:hRule="atLeast"/>
          <w:tblCellSpacing w:w="0" w:type="dxa"/>
          <w:jc w:val="center"/>
        </w:trPr>
        <w:tc>
          <w:tcPr>
            <w:tcW w:w="2975" w:type="dxa"/>
            <w:tcBorders>
              <w:top w:val="outset" w:color="auto" w:sz="6" w:space="0"/>
              <w:bottom w:val="outset" w:color="auto" w:sz="6" w:space="0"/>
              <w:right w:val="outset" w:color="auto" w:sz="6" w:space="0"/>
            </w:tcBorders>
            <w:vAlign w:val="center"/>
          </w:tcPr>
          <w:p>
            <w:pPr>
              <w:spacing w:line="300" w:lineRule="exact"/>
              <w:jc w:val="left"/>
              <w:rPr>
                <w:rFonts w:ascii="仿宋" w:hAnsi="仿宋" w:eastAsia="仿宋"/>
                <w:sz w:val="32"/>
                <w:szCs w:val="32"/>
              </w:rPr>
            </w:pPr>
            <w:r>
              <w:rPr>
                <w:rFonts w:hint="eastAsia" w:ascii="仿宋" w:hAnsi="仿宋" w:eastAsia="仿宋"/>
                <w:sz w:val="32"/>
                <w:szCs w:val="32"/>
              </w:rPr>
              <w:t>廊坊市广阳区九州镇白家务办事处计生办</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行政</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正科级</w:t>
            </w:r>
          </w:p>
        </w:tc>
        <w:tc>
          <w:tcPr>
            <w:tcW w:w="3118" w:type="dxa"/>
            <w:tcBorders>
              <w:top w:val="outset" w:color="auto" w:sz="6" w:space="0"/>
              <w:left w:val="outset" w:color="auto" w:sz="6" w:space="0"/>
              <w:bottom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0" w:hRule="atLeast"/>
          <w:tblCellSpacing w:w="0" w:type="dxa"/>
          <w:jc w:val="center"/>
        </w:trPr>
        <w:tc>
          <w:tcPr>
            <w:tcW w:w="2975" w:type="dxa"/>
            <w:tcBorders>
              <w:top w:val="outset" w:color="auto" w:sz="6" w:space="0"/>
              <w:bottom w:val="outset" w:color="auto" w:sz="6" w:space="0"/>
              <w:right w:val="outset" w:color="auto" w:sz="6" w:space="0"/>
            </w:tcBorders>
            <w:vAlign w:val="center"/>
          </w:tcPr>
          <w:p>
            <w:pPr>
              <w:spacing w:line="300" w:lineRule="exact"/>
              <w:jc w:val="left"/>
              <w:rPr>
                <w:rFonts w:ascii="仿宋" w:hAnsi="仿宋" w:eastAsia="仿宋"/>
                <w:sz w:val="32"/>
                <w:szCs w:val="32"/>
              </w:rPr>
            </w:pPr>
            <w:r>
              <w:rPr>
                <w:rFonts w:hint="eastAsia" w:ascii="仿宋" w:hAnsi="仿宋" w:eastAsia="仿宋"/>
                <w:sz w:val="32"/>
                <w:szCs w:val="32"/>
              </w:rPr>
              <w:t>廊坊市广阳区九州镇白家务办事处农业办</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行政</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正科级</w:t>
            </w:r>
          </w:p>
        </w:tc>
        <w:tc>
          <w:tcPr>
            <w:tcW w:w="3118" w:type="dxa"/>
            <w:tcBorders>
              <w:top w:val="outset" w:color="auto" w:sz="6" w:space="0"/>
              <w:left w:val="outset" w:color="auto" w:sz="6" w:space="0"/>
              <w:bottom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2975" w:type="dxa"/>
            <w:tcBorders>
              <w:top w:val="outset" w:color="auto" w:sz="6" w:space="0"/>
              <w:bottom w:val="outset" w:color="auto" w:sz="6" w:space="0"/>
              <w:right w:val="outset" w:color="auto" w:sz="6" w:space="0"/>
            </w:tcBorders>
            <w:vAlign w:val="center"/>
          </w:tcPr>
          <w:p>
            <w:pPr>
              <w:spacing w:line="300" w:lineRule="exact"/>
              <w:jc w:val="left"/>
              <w:rPr>
                <w:rFonts w:ascii="仿宋" w:hAnsi="仿宋" w:eastAsia="仿宋"/>
                <w:sz w:val="32"/>
                <w:szCs w:val="32"/>
              </w:rPr>
            </w:pPr>
            <w:r>
              <w:rPr>
                <w:rFonts w:hint="eastAsia" w:ascii="仿宋" w:hAnsi="仿宋" w:eastAsia="仿宋"/>
                <w:sz w:val="32"/>
                <w:szCs w:val="32"/>
              </w:rPr>
              <w:t>廊坊市广阳区九州镇白家务办事处小学</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事业</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正科级</w:t>
            </w:r>
          </w:p>
        </w:tc>
        <w:tc>
          <w:tcPr>
            <w:tcW w:w="3118" w:type="dxa"/>
            <w:tcBorders>
              <w:top w:val="outset" w:color="auto" w:sz="6" w:space="0"/>
              <w:left w:val="outset" w:color="auto" w:sz="6" w:space="0"/>
              <w:bottom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blCellSpacing w:w="0" w:type="dxa"/>
          <w:jc w:val="center"/>
        </w:trPr>
        <w:tc>
          <w:tcPr>
            <w:tcW w:w="2975" w:type="dxa"/>
            <w:tcBorders>
              <w:top w:val="outset" w:color="auto" w:sz="6" w:space="0"/>
              <w:bottom w:val="outset" w:color="auto" w:sz="6" w:space="0"/>
              <w:right w:val="outset" w:color="auto" w:sz="6" w:space="0"/>
            </w:tcBorders>
            <w:vAlign w:val="center"/>
          </w:tcPr>
          <w:p>
            <w:pPr>
              <w:spacing w:line="300" w:lineRule="exact"/>
              <w:jc w:val="left"/>
              <w:rPr>
                <w:rFonts w:ascii="仿宋" w:hAnsi="仿宋" w:eastAsia="仿宋"/>
                <w:sz w:val="32"/>
                <w:szCs w:val="32"/>
              </w:rPr>
            </w:pPr>
            <w:r>
              <w:rPr>
                <w:rFonts w:hint="eastAsia" w:ascii="仿宋" w:hAnsi="仿宋" w:eastAsia="仿宋"/>
                <w:sz w:val="32"/>
                <w:szCs w:val="32"/>
              </w:rPr>
              <w:t>廊坊市广阳区九州镇白家务办事处其他教育</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事业</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正科级</w:t>
            </w:r>
          </w:p>
        </w:tc>
        <w:tc>
          <w:tcPr>
            <w:tcW w:w="3118" w:type="dxa"/>
            <w:tcBorders>
              <w:top w:val="outset" w:color="auto" w:sz="6" w:space="0"/>
              <w:left w:val="outset" w:color="auto" w:sz="6" w:space="0"/>
              <w:bottom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jc w:val="center"/>
        </w:trPr>
        <w:tc>
          <w:tcPr>
            <w:tcW w:w="2975" w:type="dxa"/>
            <w:tcBorders>
              <w:top w:val="outset" w:color="auto" w:sz="6" w:space="0"/>
              <w:bottom w:val="outset" w:color="auto" w:sz="6" w:space="0"/>
              <w:right w:val="outset" w:color="auto" w:sz="6" w:space="0"/>
            </w:tcBorders>
            <w:vAlign w:val="center"/>
          </w:tcPr>
          <w:p>
            <w:pPr>
              <w:spacing w:line="300" w:lineRule="exact"/>
              <w:jc w:val="left"/>
              <w:rPr>
                <w:rFonts w:ascii="仿宋" w:hAnsi="仿宋" w:eastAsia="仿宋"/>
                <w:sz w:val="32"/>
                <w:szCs w:val="32"/>
              </w:rPr>
            </w:pPr>
            <w:r>
              <w:rPr>
                <w:rFonts w:hint="eastAsia" w:ascii="仿宋" w:hAnsi="仿宋" w:eastAsia="仿宋"/>
                <w:sz w:val="32"/>
                <w:szCs w:val="32"/>
              </w:rPr>
              <w:t>廊坊市广阳区九州镇白家务办事处人民政府</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行政</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正科级</w:t>
            </w:r>
          </w:p>
        </w:tc>
        <w:tc>
          <w:tcPr>
            <w:tcW w:w="3118" w:type="dxa"/>
            <w:tcBorders>
              <w:top w:val="outset" w:color="auto" w:sz="6" w:space="0"/>
              <w:left w:val="outset" w:color="auto" w:sz="6" w:space="0"/>
              <w:bottom w:val="outset" w:color="auto" w:sz="6" w:space="0"/>
            </w:tcBorders>
            <w:vAlign w:val="center"/>
          </w:tcPr>
          <w:p>
            <w:pPr>
              <w:spacing w:line="300" w:lineRule="exact"/>
              <w:jc w:val="center"/>
              <w:rPr>
                <w:rFonts w:ascii="仿宋" w:hAnsi="仿宋" w:eastAsia="仿宋"/>
                <w:sz w:val="32"/>
                <w:szCs w:val="32"/>
              </w:rPr>
            </w:pPr>
            <w:r>
              <w:rPr>
                <w:rFonts w:hint="eastAsia" w:ascii="仿宋" w:hAnsi="仿宋" w:eastAsia="仿宋"/>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3632.47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3632.47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3632.47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2715.66</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2633.56</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82.10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916.81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白家务办事处非公办教师工资及各项保险费用及对村民委员会和村党支部的补助支出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3632.47</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734.07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较少106.45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人员调动减少人员经费支出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840.52</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对村民委员会和村党支部的补助支出；其他支出无增减变化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82.10</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jc w:val="left"/>
        <w:rPr>
          <w:rFonts w:ascii="仿宋_GB2312" w:eastAsia="仿宋_GB2312" w:cs="Times New Roman" w:hAnsiTheme="majorEastAsia"/>
          <w:kern w:val="0"/>
          <w:sz w:val="32"/>
          <w:szCs w:val="32"/>
        </w:rPr>
      </w:pPr>
      <w:r>
        <w:rPr>
          <w:rFonts w:hint="eastAsia" w:ascii="仿宋_GB2312" w:hAnsi="新宋体" w:eastAsia="仿宋_GB2312" w:cs="新宋体"/>
          <w:kern w:val="0"/>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w:t>
      </w:r>
      <w:r>
        <w:rPr>
          <w:rFonts w:hint="eastAsia" w:ascii="仿宋_GB2312" w:eastAsia="仿宋_GB2312" w:cs="宋体" w:hAnsiTheme="majorEastAsia"/>
          <w:color w:val="000000"/>
          <w:kern w:val="0"/>
          <w:sz w:val="32"/>
          <w:szCs w:val="32"/>
        </w:rPr>
        <w:t>加强为民服务的理念，进一步完善预算绩效管理制度体系，着力推进全过程预算绩效管理工作，着力提高预算绩效管理工作质量。</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cs="Times New Roman"/>
          <w:b/>
          <w:kern w:val="0"/>
          <w:sz w:val="32"/>
          <w:szCs w:val="32"/>
        </w:rPr>
      </w:pPr>
      <w:r>
        <w:rPr>
          <w:rFonts w:ascii="新宋体" w:hAnsi="Calibri" w:eastAsia="新宋体" w:cs="新宋体"/>
          <w:b/>
          <w:kern w:val="0"/>
          <w:sz w:val="32"/>
          <w:szCs w:val="32"/>
        </w:rPr>
        <w:t>1</w:t>
      </w:r>
      <w:r>
        <w:rPr>
          <w:rFonts w:hint="eastAsia" w:ascii="新宋体" w:hAnsi="新宋体" w:eastAsia="新宋体" w:cs="新宋体"/>
          <w:b/>
          <w:kern w:val="0"/>
          <w:sz w:val="32"/>
          <w:szCs w:val="32"/>
        </w:rPr>
        <w:t>、持续提升政务服务与管理工作水平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cs="Times New Roman"/>
          <w:b/>
          <w:kern w:val="0"/>
          <w:sz w:val="32"/>
          <w:szCs w:val="32"/>
        </w:rPr>
      </w:pPr>
      <w:r>
        <w:rPr>
          <w:rFonts w:ascii="新宋体" w:hAnsi="Calibri" w:eastAsia="新宋体" w:cs="新宋体"/>
          <w:b/>
          <w:kern w:val="0"/>
          <w:sz w:val="32"/>
          <w:szCs w:val="32"/>
        </w:rPr>
        <w:t>2</w:t>
      </w:r>
      <w:r>
        <w:rPr>
          <w:rFonts w:hint="eastAsia" w:ascii="新宋体" w:hAnsi="新宋体" w:eastAsia="新宋体" w:cs="新宋体"/>
          <w:b/>
          <w:kern w:val="0"/>
          <w:sz w:val="32"/>
          <w:szCs w:val="32"/>
        </w:rPr>
        <w:t>、持续提升政府电子政务管理水平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cs="Times New Roman"/>
          <w:b/>
          <w:kern w:val="0"/>
          <w:sz w:val="32"/>
          <w:szCs w:val="32"/>
        </w:rPr>
      </w:pPr>
      <w:r>
        <w:rPr>
          <w:rFonts w:ascii="新宋体" w:hAnsi="Calibri" w:eastAsia="新宋体" w:cs="新宋体"/>
          <w:b/>
          <w:kern w:val="0"/>
          <w:sz w:val="32"/>
          <w:szCs w:val="32"/>
        </w:rPr>
        <w:t>3</w:t>
      </w:r>
      <w:r>
        <w:rPr>
          <w:rFonts w:hint="eastAsia" w:ascii="新宋体" w:hAnsi="新宋体" w:eastAsia="新宋体" w:cs="新宋体"/>
          <w:b/>
          <w:kern w:val="0"/>
          <w:sz w:val="32"/>
          <w:szCs w:val="32"/>
        </w:rPr>
        <w:t>、提升应急管理水平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新宋体" w:eastAsia="仿宋_GB2312" w:cs="新宋体"/>
          <w:kern w:val="0"/>
          <w:sz w:val="32"/>
          <w:szCs w:val="32"/>
        </w:rPr>
      </w:pPr>
      <w:r>
        <w:rPr>
          <w:rFonts w:hint="eastAsia" w:ascii="仿宋_GB2312" w:hAnsi="新宋体" w:eastAsia="仿宋_GB2312" w:cs="新宋体"/>
          <w:kern w:val="0"/>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绩效指标：保障日常应急值守和突发事件及时处理，处理率达到95%；做好应急宣传工作，宣传覆盖面积达到95%以上。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cs="Times New Roman"/>
          <w:b/>
          <w:kern w:val="0"/>
          <w:sz w:val="32"/>
          <w:szCs w:val="32"/>
        </w:rPr>
      </w:pPr>
      <w:r>
        <w:rPr>
          <w:rFonts w:ascii="新宋体" w:hAnsi="Calibri" w:eastAsia="新宋体" w:cs="新宋体"/>
          <w:b/>
          <w:kern w:val="0"/>
          <w:sz w:val="32"/>
          <w:szCs w:val="32"/>
        </w:rPr>
        <w:t>4</w:t>
      </w:r>
      <w:r>
        <w:rPr>
          <w:rFonts w:hint="eastAsia" w:ascii="新宋体" w:hAnsi="新宋体" w:eastAsia="新宋体" w:cs="新宋体"/>
          <w:b/>
          <w:kern w:val="0"/>
          <w:sz w:val="32"/>
          <w:szCs w:val="32"/>
        </w:rPr>
        <w:t>、持续提升综合业务事务管理水平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仿宋_GB2312" w:hAnsi="Times New Roman" w:eastAsia="仿宋_GB2312" w:cs="Times New Roman"/>
          <w:kern w:val="0"/>
          <w:sz w:val="32"/>
          <w:szCs w:val="32"/>
        </w:rPr>
      </w:pPr>
      <w:r>
        <w:rPr>
          <w:rFonts w:hint="eastAsia" w:ascii="仿宋_GB2312" w:hAnsi="新宋体" w:eastAsia="仿宋_GB2312" w:cs="新宋体"/>
          <w:kern w:val="0"/>
          <w:sz w:val="32"/>
          <w:szCs w:val="32"/>
        </w:rP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cs="Times New Roman"/>
          <w:kern w:val="0"/>
          <w:sz w:val="32"/>
          <w:szCs w:val="32"/>
        </w:rPr>
      </w:pPr>
      <w:r>
        <w:rPr>
          <w:rFonts w:hint="eastAsia" w:ascii="Times New Roman" w:hAnsi="Times New Roman" w:eastAsia="楷体_GB2312" w:cs="Times New Roman"/>
          <w:b/>
          <w:sz w:val="32"/>
          <w:szCs w:val="32"/>
        </w:rPr>
        <w:t>（三）工作保障措施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5"/>
        <w:rPr>
          <w:rFonts w:hint="eastAsia" w:ascii="仿宋_GB2312" w:hAnsi="Times New Roman" w:eastAsia="仿宋_GB2312" w:cs="Times New Roman"/>
          <w:kern w:val="0"/>
          <w:sz w:val="32"/>
          <w:szCs w:val="32"/>
        </w:rPr>
      </w:pPr>
      <w:r>
        <w:rPr>
          <w:rFonts w:hint="eastAsia" w:ascii="仿宋_GB2312" w:hAnsi="Calibri" w:eastAsia="仿宋_GB2312" w:cs="新宋体"/>
          <w:b/>
          <w:kern w:val="0"/>
          <w:sz w:val="32"/>
          <w:szCs w:val="32"/>
        </w:rPr>
        <w:t>1</w:t>
      </w:r>
      <w:r>
        <w:rPr>
          <w:rFonts w:hint="eastAsia" w:ascii="仿宋_GB2312" w:hAnsi="新宋体" w:eastAsia="仿宋_GB2312" w:cs="新宋体"/>
          <w:b/>
          <w:kern w:val="0"/>
          <w:sz w:val="32"/>
          <w:szCs w:val="32"/>
        </w:rPr>
        <w:t>、坚持改革创新。</w:t>
      </w:r>
      <w:r>
        <w:rPr>
          <w:rFonts w:hint="eastAsia" w:ascii="仿宋_GB2312" w:hAnsi="新宋体" w:eastAsia="仿宋_GB2312" w:cs="新宋体"/>
          <w:kern w:val="0"/>
          <w:sz w:val="32"/>
          <w:szCs w:val="32"/>
        </w:rPr>
        <w:t>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5"/>
        <w:rPr>
          <w:rFonts w:hint="eastAsia" w:ascii="仿宋_GB2312" w:hAnsi="Times New Roman" w:eastAsia="仿宋_GB2312" w:cs="Times New Roman"/>
          <w:kern w:val="0"/>
          <w:sz w:val="32"/>
          <w:szCs w:val="32"/>
        </w:rPr>
      </w:pPr>
      <w:r>
        <w:rPr>
          <w:rFonts w:hint="eastAsia" w:ascii="仿宋_GB2312" w:hAnsi="Calibri" w:eastAsia="仿宋_GB2312" w:cs="新宋体"/>
          <w:b/>
          <w:kern w:val="0"/>
          <w:sz w:val="32"/>
          <w:szCs w:val="32"/>
        </w:rPr>
        <w:t>2</w:t>
      </w:r>
      <w:r>
        <w:rPr>
          <w:rFonts w:hint="eastAsia" w:ascii="仿宋_GB2312" w:hAnsi="新宋体" w:eastAsia="仿宋_GB2312" w:cs="新宋体"/>
          <w:b/>
          <w:kern w:val="0"/>
          <w:sz w:val="32"/>
          <w:szCs w:val="32"/>
        </w:rPr>
        <w:t>、强化预算执行。</w:t>
      </w:r>
      <w:r>
        <w:rPr>
          <w:rFonts w:hint="eastAsia" w:ascii="仿宋_GB2312" w:hAnsi="新宋体" w:eastAsia="仿宋_GB2312" w:cs="新宋体"/>
          <w:kern w:val="0"/>
          <w:sz w:val="32"/>
          <w:szCs w:val="32"/>
        </w:rPr>
        <w:t>将年度工作目标任务细化分解，落实到岗、落实到人。科学制定预算使用计划，加快履行政府采购程序，督促相关科室加快项目执行，根据需要召开调度会，及时协调解决工作中存在的困难和问题。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5"/>
        <w:rPr>
          <w:rFonts w:hint="eastAsia" w:ascii="仿宋_GB2312" w:hAnsi="Times New Roman" w:eastAsia="仿宋_GB2312" w:cs="Times New Roman"/>
          <w:kern w:val="0"/>
          <w:sz w:val="32"/>
          <w:szCs w:val="32"/>
        </w:rPr>
      </w:pPr>
      <w:r>
        <w:rPr>
          <w:rFonts w:hint="eastAsia" w:ascii="仿宋_GB2312" w:hAnsi="Calibri" w:eastAsia="仿宋_GB2312" w:cs="新宋体"/>
          <w:b/>
          <w:kern w:val="0"/>
          <w:sz w:val="32"/>
          <w:szCs w:val="32"/>
        </w:rPr>
        <w:t>3</w:t>
      </w:r>
      <w:r>
        <w:rPr>
          <w:rFonts w:hint="eastAsia" w:ascii="仿宋_GB2312" w:hAnsi="新宋体" w:eastAsia="仿宋_GB2312" w:cs="新宋体"/>
          <w:b/>
          <w:kern w:val="0"/>
          <w:sz w:val="32"/>
          <w:szCs w:val="32"/>
        </w:rPr>
        <w:t>、加强内控建设。</w:t>
      </w:r>
      <w:r>
        <w:rPr>
          <w:rFonts w:hint="eastAsia" w:ascii="仿宋_GB2312" w:hAnsi="新宋体" w:eastAsia="仿宋_GB2312" w:cs="新宋体"/>
          <w:kern w:val="0"/>
          <w:sz w:val="32"/>
          <w:szCs w:val="32"/>
        </w:rPr>
        <w:t>建立健全内部控制体系，认真执行财经法规和政策要求，对重大支出、资产处置及其他重要经济事项进行有效监督，并完善内部审计，配合做好审计、财政等外部检查，确保资金使用安全有效。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5"/>
        <w:rPr>
          <w:rFonts w:hint="eastAsia" w:ascii="仿宋_GB2312" w:hAnsi="Times New Roman" w:eastAsia="仿宋_GB2312" w:cs="Times New Roman"/>
          <w:kern w:val="0"/>
          <w:sz w:val="32"/>
          <w:szCs w:val="32"/>
        </w:rPr>
      </w:pPr>
      <w:r>
        <w:rPr>
          <w:rFonts w:hint="eastAsia" w:ascii="仿宋_GB2312" w:hAnsi="Calibri" w:eastAsia="仿宋_GB2312" w:cs="新宋体"/>
          <w:b/>
          <w:kern w:val="0"/>
          <w:sz w:val="32"/>
          <w:szCs w:val="32"/>
        </w:rPr>
        <w:t>4</w:t>
      </w:r>
      <w:r>
        <w:rPr>
          <w:rFonts w:hint="eastAsia" w:ascii="仿宋_GB2312" w:hAnsi="新宋体" w:eastAsia="仿宋_GB2312" w:cs="新宋体"/>
          <w:b/>
          <w:kern w:val="0"/>
          <w:sz w:val="32"/>
          <w:szCs w:val="32"/>
        </w:rPr>
        <w:t>、完善绩效管理。</w:t>
      </w:r>
      <w:r>
        <w:rPr>
          <w:rFonts w:hint="eastAsia" w:ascii="仿宋_GB2312" w:hAnsi="新宋体" w:eastAsia="仿宋_GB2312" w:cs="新宋体"/>
          <w:kern w:val="0"/>
          <w:sz w:val="32"/>
          <w:szCs w:val="32"/>
        </w:rPr>
        <w:t>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84"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1.村级组织运转经费绩效目标表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574109"/>
      <w:r>
        <w:rPr>
          <w:rFonts w:hint="eastAsia" w:ascii="方正仿宋_GBK" w:eastAsia="方正仿宋_GBK"/>
          <w:b/>
          <w:sz w:val="28"/>
        </w:rPr>
        <w:instrText xml:space="preserve">1、村级组织运转经费绩效目标表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开展党组织活动提高党员党性修养和服务意识；救助生产生活困难的党员，使党员时刻感到党的关怀及温暖；2、调动“两委干部”及村民小组长的积极性，提高村级管理水平；3、提高村级办公水平，确保村级承接的上级安排的各项事务；4、通过综合服务站建设、提高村内公共设施的日常维护，使群众在生产生活中得到帮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数量指标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辖区村级综合服务站个数</w:t>
            </w:r>
          </w:p>
        </w:tc>
        <w:tc>
          <w:tcPr>
            <w:tcW w:w="2891" w:type="dxa"/>
            <w:shd w:val="clear" w:color="auto" w:fill="auto"/>
            <w:vAlign w:val="center"/>
          </w:tcPr>
          <w:p>
            <w:pPr>
              <w:rPr>
                <w:rFonts w:ascii="宋体" w:hAnsi="宋体" w:eastAsia="宋体" w:cs="宋体"/>
                <w:sz w:val="18"/>
                <w:szCs w:val="18"/>
              </w:rPr>
            </w:pPr>
            <w:r>
              <w:rPr>
                <w:rFonts w:hint="eastAsia"/>
                <w:sz w:val="18"/>
                <w:szCs w:val="18"/>
              </w:rPr>
              <w:t>辖区内具有规范、功能齐全、高质量综合服务站个数</w:t>
            </w:r>
          </w:p>
        </w:tc>
        <w:tc>
          <w:tcPr>
            <w:tcW w:w="1276"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color w:val="000000"/>
              </w:rPr>
              <w:t>≥1个</w:t>
            </w:r>
          </w:p>
        </w:tc>
        <w:tc>
          <w:tcPr>
            <w:tcW w:w="1701" w:type="dxa"/>
            <w:shd w:val="clear" w:color="auto" w:fill="auto"/>
            <w:vAlign w:val="center"/>
          </w:tcPr>
          <w:p>
            <w:pPr>
              <w:rPr>
                <w:rFonts w:ascii="宋体" w:hAnsi="宋体" w:eastAsia="宋体" w:cs="宋体"/>
                <w:color w:val="000000"/>
                <w:szCs w:val="21"/>
              </w:rPr>
            </w:pPr>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发放准确率</w:t>
            </w:r>
          </w:p>
        </w:tc>
        <w:tc>
          <w:tcPr>
            <w:tcW w:w="2891" w:type="dxa"/>
            <w:shd w:val="clear" w:color="auto" w:fill="auto"/>
            <w:vAlign w:val="center"/>
          </w:tcPr>
          <w:p>
            <w:pPr>
              <w:rPr>
                <w:rFonts w:ascii="宋体" w:hAnsi="宋体" w:eastAsia="宋体" w:cs="宋体"/>
                <w:sz w:val="18"/>
                <w:szCs w:val="18"/>
              </w:rPr>
            </w:pPr>
            <w:r>
              <w:rPr>
                <w:rFonts w:hint="eastAsia"/>
                <w:sz w:val="18"/>
                <w:szCs w:val="18"/>
              </w:rPr>
              <w:t>准确发放基础职务补贴人数占享受岗位基础职务补贴人数的比例</w:t>
            </w:r>
          </w:p>
        </w:tc>
        <w:tc>
          <w:tcPr>
            <w:tcW w:w="1276" w:type="dxa"/>
            <w:shd w:val="clear" w:color="auto" w:fill="auto"/>
            <w:vAlign w:val="center"/>
          </w:tcPr>
          <w:p>
            <w:pPr>
              <w:jc w:val="center"/>
              <w:rPr>
                <w:rFonts w:ascii="Times New Roman" w:hAnsi="Times New Roman" w:eastAsia="宋体" w:cs="Times New Roman"/>
                <w:color w:val="000000"/>
                <w:sz w:val="24"/>
                <w:szCs w:val="24"/>
              </w:rPr>
            </w:pPr>
            <w:r>
              <w:rPr>
                <w:rFonts w:ascii="Times New Roman" w:hAnsi="Times New Roman" w:cs="Times New Roman"/>
                <w:color w:val="000000"/>
              </w:rPr>
              <w:t>　</w:t>
            </w:r>
            <w:r>
              <w:rPr>
                <w:rFonts w:hint="eastAsia" w:ascii="Times New Roman" w:hAnsi="Times New Roman"/>
                <w:color w:val="000000"/>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保障党员学习教育正常开展</w:t>
            </w:r>
          </w:p>
        </w:tc>
        <w:tc>
          <w:tcPr>
            <w:tcW w:w="2891" w:type="dxa"/>
            <w:shd w:val="clear" w:color="auto" w:fill="auto"/>
            <w:vAlign w:val="center"/>
          </w:tcPr>
          <w:p>
            <w:pPr>
              <w:rPr>
                <w:rFonts w:ascii="宋体" w:hAnsi="宋体" w:eastAsia="宋体" w:cs="宋体"/>
                <w:sz w:val="18"/>
                <w:szCs w:val="18"/>
              </w:rPr>
            </w:pPr>
            <w:r>
              <w:rPr>
                <w:rFonts w:hint="eastAsia"/>
                <w:sz w:val="18"/>
                <w:szCs w:val="18"/>
              </w:rPr>
              <w:t>提高党员的教育水平</w:t>
            </w:r>
          </w:p>
        </w:tc>
        <w:tc>
          <w:tcPr>
            <w:tcW w:w="1276" w:type="dxa"/>
            <w:shd w:val="clear" w:color="auto" w:fill="auto"/>
            <w:vAlign w:val="center"/>
          </w:tcPr>
          <w:p>
            <w:pPr>
              <w:rPr>
                <w:rFonts w:ascii="宋体" w:hAnsi="宋体" w:eastAsia="宋体" w:cs="宋体"/>
                <w:sz w:val="18"/>
                <w:szCs w:val="18"/>
              </w:rPr>
            </w:pPr>
            <w:r>
              <w:rPr>
                <w:rFonts w:hint="eastAsia"/>
                <w:sz w:val="18"/>
                <w:szCs w:val="18"/>
              </w:rPr>
              <w:t>逐步提高党员党性修养和服务意识</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rPr>
                <w:rFonts w:ascii="宋体" w:hAnsi="宋体" w:eastAsia="宋体" w:cs="宋体"/>
                <w:sz w:val="18"/>
                <w:szCs w:val="18"/>
              </w:rPr>
            </w:pPr>
            <w:r>
              <w:rPr>
                <w:rFonts w:hint="eastAsia"/>
                <w:sz w:val="18"/>
                <w:szCs w:val="18"/>
              </w:rPr>
              <w:t>可持续影响指标</w:t>
            </w:r>
          </w:p>
        </w:tc>
        <w:tc>
          <w:tcPr>
            <w:tcW w:w="1276" w:type="dxa"/>
            <w:shd w:val="clear" w:color="auto" w:fill="auto"/>
            <w:vAlign w:val="center"/>
          </w:tcPr>
          <w:p>
            <w:pPr>
              <w:rPr>
                <w:rFonts w:ascii="宋体" w:hAnsi="宋体" w:eastAsia="宋体" w:cs="宋体"/>
                <w:sz w:val="18"/>
                <w:szCs w:val="18"/>
              </w:rPr>
            </w:pPr>
            <w:r>
              <w:rPr>
                <w:rFonts w:hint="eastAsia"/>
                <w:sz w:val="18"/>
                <w:szCs w:val="18"/>
              </w:rPr>
              <w:t>服务群众生产生活</w:t>
            </w:r>
          </w:p>
        </w:tc>
        <w:tc>
          <w:tcPr>
            <w:tcW w:w="2891" w:type="dxa"/>
            <w:shd w:val="clear" w:color="auto" w:fill="auto"/>
            <w:vAlign w:val="center"/>
          </w:tcPr>
          <w:p>
            <w:pPr>
              <w:rPr>
                <w:rFonts w:ascii="宋体" w:hAnsi="宋体" w:eastAsia="宋体" w:cs="宋体"/>
                <w:sz w:val="18"/>
                <w:szCs w:val="18"/>
              </w:rPr>
            </w:pPr>
            <w:r>
              <w:rPr>
                <w:rFonts w:hint="eastAsia"/>
                <w:sz w:val="18"/>
                <w:szCs w:val="18"/>
              </w:rPr>
              <w:t>确保群众生产生活活动正常开展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rPr>
                <w:rFonts w:ascii="宋体" w:hAnsi="宋体" w:eastAsia="宋体" w:cs="宋体"/>
                <w:color w:val="000000"/>
                <w:szCs w:val="21"/>
              </w:rPr>
            </w:pPr>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18"/>
                <w:szCs w:val="18"/>
              </w:rPr>
            </w:pPr>
            <w:r>
              <w:rPr>
                <w:rFonts w:hint="eastAsia"/>
                <w:sz w:val="18"/>
                <w:szCs w:val="18"/>
              </w:rPr>
              <w:t>社会效益指标</w:t>
            </w:r>
          </w:p>
        </w:tc>
        <w:tc>
          <w:tcPr>
            <w:tcW w:w="1276" w:type="dxa"/>
            <w:shd w:val="clear" w:color="auto" w:fill="auto"/>
            <w:vAlign w:val="center"/>
          </w:tcPr>
          <w:p>
            <w:pPr>
              <w:rPr>
                <w:rFonts w:ascii="宋体" w:hAnsi="宋体" w:eastAsia="宋体" w:cs="宋体"/>
                <w:sz w:val="18"/>
                <w:szCs w:val="18"/>
              </w:rPr>
            </w:pPr>
            <w:r>
              <w:rPr>
                <w:rFonts w:hint="eastAsia"/>
                <w:sz w:val="18"/>
                <w:szCs w:val="18"/>
              </w:rPr>
              <w:t>突发事件处理效果</w:t>
            </w:r>
          </w:p>
        </w:tc>
        <w:tc>
          <w:tcPr>
            <w:tcW w:w="2891" w:type="dxa"/>
            <w:shd w:val="clear" w:color="auto" w:fill="auto"/>
            <w:vAlign w:val="center"/>
          </w:tcPr>
          <w:p>
            <w:pPr>
              <w:rPr>
                <w:rFonts w:ascii="宋体" w:hAnsi="宋体" w:eastAsia="宋体" w:cs="宋体"/>
                <w:sz w:val="18"/>
                <w:szCs w:val="18"/>
              </w:rPr>
            </w:pPr>
            <w:r>
              <w:rPr>
                <w:rFonts w:hint="eastAsia"/>
                <w:sz w:val="18"/>
                <w:szCs w:val="18"/>
              </w:rPr>
              <w:t>反映突发事件是否能够得到及时发现并部署处理措施情况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jc w:val="center"/>
              <w:rPr>
                <w:rFonts w:ascii="宋体" w:hAnsi="宋体" w:eastAsia="宋体" w:cs="宋体"/>
                <w:sz w:val="18"/>
                <w:szCs w:val="18"/>
              </w:rPr>
            </w:pPr>
            <w:r>
              <w:rPr>
                <w:rFonts w:hint="eastAsia"/>
                <w:sz w:val="18"/>
                <w:szCs w:val="18"/>
              </w:rPr>
              <w:t>服务对象满意度指标</w:t>
            </w:r>
          </w:p>
        </w:tc>
        <w:tc>
          <w:tcPr>
            <w:tcW w:w="1276" w:type="dxa"/>
            <w:shd w:val="clear" w:color="auto" w:fill="auto"/>
            <w:vAlign w:val="center"/>
          </w:tcPr>
          <w:p>
            <w:pPr>
              <w:rPr>
                <w:rFonts w:ascii="宋体" w:hAnsi="宋体" w:eastAsia="宋体" w:cs="宋体"/>
                <w:sz w:val="18"/>
                <w:szCs w:val="18"/>
              </w:rPr>
            </w:pPr>
            <w:r>
              <w:rPr>
                <w:rFonts w:hint="eastAsia"/>
                <w:sz w:val="18"/>
                <w:szCs w:val="18"/>
              </w:rPr>
              <w:t>群众满意度</w:t>
            </w:r>
          </w:p>
        </w:tc>
        <w:tc>
          <w:tcPr>
            <w:tcW w:w="2891" w:type="dxa"/>
            <w:shd w:val="clear" w:color="auto" w:fill="auto"/>
            <w:vAlign w:val="center"/>
          </w:tcPr>
          <w:p>
            <w:pPr>
              <w:rPr>
                <w:rFonts w:ascii="宋体" w:hAnsi="宋体" w:eastAsia="宋体" w:cs="宋体"/>
                <w:sz w:val="18"/>
                <w:szCs w:val="18"/>
              </w:rPr>
            </w:pPr>
            <w:r>
              <w:rPr>
                <w:rFonts w:hint="eastAsia"/>
                <w:sz w:val="18"/>
                <w:szCs w:val="18"/>
              </w:rPr>
              <w:t>接受服务的群众满意度调查达到完全满意或者满意的占全部调查对象的比例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bl>
    <w:p>
      <w:pPr>
        <w:spacing w:line="300" w:lineRule="exact"/>
        <w:jc w:val="left"/>
        <w:sectPr>
          <w:pgSz w:w="16839" w:h="11907" w:orient="landscape"/>
          <w:pgMar w:top="1304" w:right="1985" w:bottom="1191" w:left="1134" w:header="851" w:footer="992" w:gutter="0"/>
          <w:cols w:space="425" w:num="1"/>
          <w:docGrid w:type="lines" w:linePitch="312" w:charSpace="0"/>
        </w:sectPr>
      </w:pPr>
    </w:p>
    <w:p>
      <w:pPr>
        <w:jc w:val="left"/>
        <w:outlineLvl w:val="1"/>
        <w:rPr>
          <w:rFonts w:ascii="Times New Roman" w:hAnsi="宋体"/>
          <w:b/>
          <w:sz w:val="28"/>
        </w:rPr>
      </w:pPr>
      <w:r>
        <w:rPr>
          <w:rFonts w:hint="eastAsia" w:ascii="方正仿宋_GBK" w:eastAsia="方正仿宋_GBK"/>
          <w:b/>
          <w:sz w:val="28"/>
        </w:rPr>
        <w:t>2.非公办教师经费绩效目标表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574110"/>
      <w:r>
        <w:rPr>
          <w:rFonts w:hint="eastAsia" w:ascii="方正仿宋_GBK" w:eastAsia="方正仿宋_GBK"/>
          <w:b/>
          <w:sz w:val="28"/>
        </w:rPr>
        <w:instrText xml:space="preserve">2、非公办教师经费绩效目标表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、足额发放非公办教师工资并按时交纳各项保险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乡村教师、校长培训人数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民师参加培训，提高教师整体教学水平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毛入学率（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毛入学率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专任教师比（</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专任教师数量占教职工总数的比率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学生辍学率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辍学学生人数占应在学学生人数的比率（反向指标）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hint="eastAsia" w:ascii="Times New Roman" w:hAnsi="Times New Roman" w:eastAsia="仿宋_GB2312" w:cs="Times New Roman"/>
          <w:sz w:val="32"/>
          <w:szCs w:val="24"/>
        </w:rPr>
        <w:t>2020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3.81</w:t>
      </w:r>
      <w:r>
        <w:rPr>
          <w:rFonts w:ascii="Times New Roman" w:hAnsi="Times New Roman" w:eastAsia="仿宋_GB2312" w:cs="Times New Roman"/>
          <w:sz w:val="32"/>
          <w:szCs w:val="24"/>
        </w:rPr>
        <w:t>万元。具体内容见下表。</w:t>
      </w:r>
    </w:p>
    <w:bookmarkEnd w:id="3"/>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4" w:name="_Toc32574966"/>
      <w:r>
        <w:rPr>
          <w:rFonts w:hint="eastAsia" w:ascii="方正小标宋_GBK" w:eastAsia="方正小标宋_GBK"/>
          <w:sz w:val="32"/>
        </w:rPr>
        <w:instrText xml:space="preserve">部门政府采购预算</w:instrText>
      </w:r>
      <w:bookmarkEnd w:id="4"/>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8"/>
        <w:tblW w:w="144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6"/>
        <w:gridCol w:w="1134"/>
        <w:gridCol w:w="1305"/>
        <w:gridCol w:w="1418"/>
        <w:gridCol w:w="850"/>
        <w:gridCol w:w="851"/>
        <w:gridCol w:w="850"/>
        <w:gridCol w:w="851"/>
        <w:gridCol w:w="1134"/>
        <w:gridCol w:w="992"/>
        <w:gridCol w:w="1559"/>
        <w:gridCol w:w="992"/>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8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sz w:val="24"/>
              </w:rPr>
              <w:t>[913]</w:t>
            </w:r>
            <w:r>
              <w:rPr>
                <w:rFonts w:hint="eastAsia" w:ascii="方正小标宋_GBK" w:eastAsia="方正小标宋_GBK"/>
                <w:sz w:val="24"/>
              </w:rPr>
              <w:t>廊坊市广阳区白家务办事处</w:t>
            </w:r>
          </w:p>
        </w:tc>
        <w:tc>
          <w:tcPr>
            <w:tcW w:w="6237"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30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237"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305" w:type="dxa"/>
            <w:vMerge w:val="continue"/>
            <w:shd w:val="clear" w:color="auto" w:fill="auto"/>
            <w:vAlign w:val="center"/>
          </w:tcPr>
          <w:p>
            <w:pPr>
              <w:spacing w:line="300" w:lineRule="exact"/>
              <w:jc w:val="left"/>
              <w:outlineLvl w:val="0"/>
              <w:rPr>
                <w:rFonts w:ascii="Times New Roman" w:eastAsia="方正仿宋_GBK"/>
                <w:sz w:val="28"/>
              </w:rPr>
            </w:pPr>
          </w:p>
        </w:tc>
        <w:tc>
          <w:tcPr>
            <w:tcW w:w="1418" w:type="dxa"/>
            <w:vMerge w:val="continue"/>
            <w:shd w:val="clear" w:color="auto" w:fill="auto"/>
            <w:vAlign w:val="center"/>
          </w:tcPr>
          <w:p>
            <w:pPr>
              <w:spacing w:line="300" w:lineRule="exact"/>
              <w:jc w:val="left"/>
              <w:outlineLvl w:val="0"/>
              <w:rPr>
                <w:rFonts w:ascii="Times New Roman" w:eastAsia="方正仿宋_GBK"/>
                <w:sz w:val="28"/>
              </w:rPr>
            </w:pPr>
          </w:p>
        </w:tc>
        <w:tc>
          <w:tcPr>
            <w:tcW w:w="850" w:type="dxa"/>
            <w:vMerge w:val="continue"/>
            <w:shd w:val="clear" w:color="auto" w:fill="auto"/>
            <w:vAlign w:val="center"/>
          </w:tcPr>
          <w:p>
            <w:pPr>
              <w:spacing w:line="300" w:lineRule="exact"/>
              <w:jc w:val="left"/>
              <w:outlineLvl w:val="0"/>
              <w:rPr>
                <w:rFonts w:ascii="Times New Roman" w:eastAsia="方正仿宋_GBK"/>
                <w:sz w:val="28"/>
              </w:rPr>
            </w:pPr>
          </w:p>
        </w:tc>
        <w:tc>
          <w:tcPr>
            <w:tcW w:w="851" w:type="dxa"/>
            <w:vMerge w:val="continue"/>
            <w:shd w:val="clear" w:color="auto" w:fill="auto"/>
            <w:vAlign w:val="center"/>
          </w:tcPr>
          <w:p>
            <w:pPr>
              <w:spacing w:line="300" w:lineRule="exact"/>
              <w:jc w:val="left"/>
              <w:outlineLvl w:val="0"/>
              <w:rPr>
                <w:rFonts w:ascii="Times New Roman" w:eastAsia="方正仿宋_GBK"/>
                <w:sz w:val="28"/>
              </w:rPr>
            </w:pPr>
          </w:p>
        </w:tc>
        <w:tc>
          <w:tcPr>
            <w:tcW w:w="850" w:type="dxa"/>
            <w:vMerge w:val="continue"/>
            <w:shd w:val="clear" w:color="auto" w:fill="auto"/>
            <w:vAlign w:val="center"/>
          </w:tcPr>
          <w:p>
            <w:pPr>
              <w:spacing w:line="300" w:lineRule="exact"/>
              <w:jc w:val="left"/>
              <w:outlineLvl w:val="0"/>
              <w:rPr>
                <w:rFonts w:ascii="Times New Roman" w:eastAsia="方正仿宋_GBK"/>
                <w:sz w:val="28"/>
              </w:rPr>
            </w:pPr>
          </w:p>
        </w:tc>
        <w:tc>
          <w:tcPr>
            <w:tcW w:w="8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305" w:type="dxa"/>
            <w:shd w:val="clear" w:color="auto" w:fill="auto"/>
            <w:vAlign w:val="center"/>
          </w:tcPr>
          <w:p>
            <w:pPr>
              <w:spacing w:line="300" w:lineRule="exact"/>
              <w:jc w:val="left"/>
              <w:rPr>
                <w:rFonts w:ascii="方正书宋_GBK" w:eastAsia="方正书宋_GBK"/>
                <w:b/>
              </w:rPr>
            </w:pPr>
          </w:p>
        </w:tc>
        <w:tc>
          <w:tcPr>
            <w:tcW w:w="1418"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r>
              <w:rPr>
                <w:rFonts w:ascii="方正书宋_GBK" w:eastAsia="方正书宋_GBK"/>
                <w:b/>
              </w:rPr>
              <w:t>3.81</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3.81</w:t>
            </w:r>
          </w:p>
        </w:tc>
        <w:tc>
          <w:tcPr>
            <w:tcW w:w="992" w:type="dxa"/>
            <w:shd w:val="clear" w:color="auto" w:fill="auto"/>
            <w:vAlign w:val="center"/>
          </w:tcPr>
          <w:p>
            <w:pPr>
              <w:spacing w:line="300" w:lineRule="exact"/>
              <w:jc w:val="right"/>
              <w:rPr>
                <w:rFonts w:ascii="方正书宋_GBK" w:eastAsia="方正书宋_GBK"/>
                <w:b/>
              </w:rPr>
            </w:pPr>
          </w:p>
        </w:tc>
        <w:tc>
          <w:tcPr>
            <w:tcW w:w="1559" w:type="dxa"/>
            <w:shd w:val="clear" w:color="auto" w:fill="auto"/>
            <w:vAlign w:val="center"/>
          </w:tcPr>
          <w:p>
            <w:pPr>
              <w:spacing w:line="300" w:lineRule="exact"/>
              <w:jc w:val="right"/>
              <w:rPr>
                <w:rFonts w:ascii="方正书宋_GBK" w:eastAsia="方正书宋_GBK"/>
                <w:b/>
              </w:rPr>
            </w:pPr>
          </w:p>
        </w:tc>
        <w:tc>
          <w:tcPr>
            <w:tcW w:w="992"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0.24</w:t>
            </w:r>
          </w:p>
        </w:tc>
        <w:tc>
          <w:tcPr>
            <w:tcW w:w="13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418"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85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851"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92" w:type="dxa"/>
            <w:shd w:val="clear" w:color="auto" w:fill="auto"/>
            <w:vAlign w:val="center"/>
          </w:tcPr>
          <w:p>
            <w:pPr>
              <w:spacing w:line="300" w:lineRule="exact"/>
              <w:jc w:val="right"/>
              <w:rPr>
                <w:rFonts w:ascii="方正书宋_GBK" w:eastAsia="方正书宋_GBK"/>
              </w:rPr>
            </w:pPr>
          </w:p>
        </w:tc>
        <w:tc>
          <w:tcPr>
            <w:tcW w:w="1559" w:type="dxa"/>
            <w:shd w:val="clear" w:color="auto" w:fill="auto"/>
            <w:vAlign w:val="center"/>
          </w:tcPr>
          <w:p>
            <w:pPr>
              <w:spacing w:line="300" w:lineRule="exact"/>
              <w:jc w:val="right"/>
              <w:rPr>
                <w:rFonts w:ascii="方正书宋_GBK" w:eastAsia="方正书宋_GBK"/>
              </w:rPr>
            </w:pPr>
          </w:p>
        </w:tc>
        <w:tc>
          <w:tcPr>
            <w:tcW w:w="992"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3.33</w:t>
            </w:r>
          </w:p>
        </w:tc>
        <w:tc>
          <w:tcPr>
            <w:tcW w:w="13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418"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85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9</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851" w:type="dxa"/>
            <w:shd w:val="clear" w:color="auto" w:fill="auto"/>
            <w:vAlign w:val="center"/>
          </w:tcPr>
          <w:p>
            <w:pPr>
              <w:spacing w:line="300" w:lineRule="exact"/>
              <w:jc w:val="right"/>
              <w:rPr>
                <w:rFonts w:ascii="方正书宋_GBK" w:eastAsia="方正书宋_GBK"/>
              </w:rPr>
            </w:pPr>
            <w:r>
              <w:rPr>
                <w:rFonts w:ascii="方正书宋_GBK" w:eastAsia="方正书宋_GBK"/>
              </w:rPr>
              <w:t>3.33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3.33</w:t>
            </w:r>
          </w:p>
        </w:tc>
        <w:tc>
          <w:tcPr>
            <w:tcW w:w="992" w:type="dxa"/>
            <w:shd w:val="clear" w:color="auto" w:fill="auto"/>
            <w:vAlign w:val="center"/>
          </w:tcPr>
          <w:p>
            <w:pPr>
              <w:spacing w:line="300" w:lineRule="exact"/>
              <w:jc w:val="right"/>
              <w:rPr>
                <w:rFonts w:ascii="方正书宋_GBK" w:eastAsia="方正书宋_GBK"/>
              </w:rPr>
            </w:pPr>
          </w:p>
        </w:tc>
        <w:tc>
          <w:tcPr>
            <w:tcW w:w="1559" w:type="dxa"/>
            <w:shd w:val="clear" w:color="auto" w:fill="auto"/>
            <w:vAlign w:val="center"/>
          </w:tcPr>
          <w:p>
            <w:pPr>
              <w:spacing w:line="300" w:lineRule="exact"/>
              <w:jc w:val="right"/>
              <w:rPr>
                <w:rFonts w:ascii="方正书宋_GBK" w:eastAsia="方正书宋_GBK"/>
              </w:rPr>
            </w:pPr>
          </w:p>
        </w:tc>
        <w:tc>
          <w:tcPr>
            <w:tcW w:w="992"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0.24</w:t>
            </w:r>
          </w:p>
        </w:tc>
        <w:tc>
          <w:tcPr>
            <w:tcW w:w="130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418"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85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850"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851"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92" w:type="dxa"/>
            <w:shd w:val="clear" w:color="auto" w:fill="auto"/>
            <w:vAlign w:val="center"/>
          </w:tcPr>
          <w:p>
            <w:pPr>
              <w:spacing w:line="300" w:lineRule="exact"/>
              <w:jc w:val="right"/>
              <w:rPr>
                <w:rFonts w:ascii="方正书宋_GBK" w:eastAsia="方正书宋_GBK"/>
              </w:rPr>
            </w:pPr>
          </w:p>
        </w:tc>
        <w:tc>
          <w:tcPr>
            <w:tcW w:w="1559" w:type="dxa"/>
            <w:shd w:val="clear" w:color="auto" w:fill="auto"/>
            <w:vAlign w:val="center"/>
          </w:tcPr>
          <w:p>
            <w:pPr>
              <w:spacing w:line="300" w:lineRule="exact"/>
              <w:jc w:val="right"/>
              <w:rPr>
                <w:rFonts w:ascii="方正书宋_GBK" w:eastAsia="方正书宋_GBK"/>
              </w:rPr>
            </w:pPr>
          </w:p>
        </w:tc>
        <w:tc>
          <w:tcPr>
            <w:tcW w:w="992"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广阳区廊坊市广阳区九州镇白家务办事处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451.31</w:t>
      </w:r>
      <w:r>
        <w:rPr>
          <w:rFonts w:ascii="Times New Roman" w:hAnsi="Times New Roman" w:eastAsia="仿宋_GB2312" w:cs="Times New Roman"/>
          <w:sz w:val="32"/>
          <w:szCs w:val="32"/>
        </w:rPr>
        <w:t>万元，本年度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总额为3.81万元，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计算机设备、打印设备、空调等，已列入政府采购预算。详见</w:t>
      </w:r>
      <w:r>
        <w:rPr>
          <w:rFonts w:hint="eastAsia" w:ascii="Times New Roman" w:hAnsi="Times New Roman" w:eastAsia="仿宋_GB2312" w:cs="Times New Roman"/>
          <w:sz w:val="32"/>
          <w:szCs w:val="32"/>
        </w:rPr>
        <w:t>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广阳区九州镇白家务办事处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451.31</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170.03</w:t>
            </w:r>
          </w:p>
        </w:tc>
      </w:tr>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277CE"/>
    <w:rsid w:val="00037AF6"/>
    <w:rsid w:val="000410F2"/>
    <w:rsid w:val="00041AED"/>
    <w:rsid w:val="0004565F"/>
    <w:rsid w:val="00070080"/>
    <w:rsid w:val="00072187"/>
    <w:rsid w:val="00075D5F"/>
    <w:rsid w:val="0008180F"/>
    <w:rsid w:val="00093DA3"/>
    <w:rsid w:val="000B529B"/>
    <w:rsid w:val="000C24E6"/>
    <w:rsid w:val="000C3A19"/>
    <w:rsid w:val="000C5FF0"/>
    <w:rsid w:val="000E4305"/>
    <w:rsid w:val="000F0D09"/>
    <w:rsid w:val="000F6C8C"/>
    <w:rsid w:val="00106DC6"/>
    <w:rsid w:val="001245BB"/>
    <w:rsid w:val="001251A3"/>
    <w:rsid w:val="0015229A"/>
    <w:rsid w:val="00160266"/>
    <w:rsid w:val="001643E8"/>
    <w:rsid w:val="00176C13"/>
    <w:rsid w:val="001919C4"/>
    <w:rsid w:val="0019723B"/>
    <w:rsid w:val="001A0943"/>
    <w:rsid w:val="001B5C1D"/>
    <w:rsid w:val="001C4FBB"/>
    <w:rsid w:val="001E0757"/>
    <w:rsid w:val="001E6DDC"/>
    <w:rsid w:val="001E70E9"/>
    <w:rsid w:val="001F5C92"/>
    <w:rsid w:val="001F7873"/>
    <w:rsid w:val="00200F36"/>
    <w:rsid w:val="002212BA"/>
    <w:rsid w:val="00230E48"/>
    <w:rsid w:val="00241FD4"/>
    <w:rsid w:val="002461A3"/>
    <w:rsid w:val="00246317"/>
    <w:rsid w:val="00251B12"/>
    <w:rsid w:val="00265318"/>
    <w:rsid w:val="00265F39"/>
    <w:rsid w:val="002835D7"/>
    <w:rsid w:val="00290FD6"/>
    <w:rsid w:val="00292821"/>
    <w:rsid w:val="00296113"/>
    <w:rsid w:val="002A673A"/>
    <w:rsid w:val="002C5E13"/>
    <w:rsid w:val="002C62BC"/>
    <w:rsid w:val="002E0EB8"/>
    <w:rsid w:val="002E4C91"/>
    <w:rsid w:val="002F3896"/>
    <w:rsid w:val="002F3E58"/>
    <w:rsid w:val="003016EC"/>
    <w:rsid w:val="0030542C"/>
    <w:rsid w:val="00311B7A"/>
    <w:rsid w:val="003126B6"/>
    <w:rsid w:val="00313D9C"/>
    <w:rsid w:val="00325215"/>
    <w:rsid w:val="0033339C"/>
    <w:rsid w:val="00335660"/>
    <w:rsid w:val="00376F30"/>
    <w:rsid w:val="00396001"/>
    <w:rsid w:val="003A05EE"/>
    <w:rsid w:val="003B2D68"/>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A0E43"/>
    <w:rsid w:val="004A6E89"/>
    <w:rsid w:val="004B0C3A"/>
    <w:rsid w:val="004C49A8"/>
    <w:rsid w:val="004C58D3"/>
    <w:rsid w:val="004D0352"/>
    <w:rsid w:val="004D5788"/>
    <w:rsid w:val="004E3066"/>
    <w:rsid w:val="004E419C"/>
    <w:rsid w:val="004E74CD"/>
    <w:rsid w:val="00506E5E"/>
    <w:rsid w:val="00524EFD"/>
    <w:rsid w:val="00572067"/>
    <w:rsid w:val="00573562"/>
    <w:rsid w:val="00590ECE"/>
    <w:rsid w:val="005C0E90"/>
    <w:rsid w:val="005D0C27"/>
    <w:rsid w:val="005D37CA"/>
    <w:rsid w:val="005D757C"/>
    <w:rsid w:val="005F5714"/>
    <w:rsid w:val="005F7AE1"/>
    <w:rsid w:val="00611D03"/>
    <w:rsid w:val="00614A29"/>
    <w:rsid w:val="00651BA2"/>
    <w:rsid w:val="00654FB9"/>
    <w:rsid w:val="00673D76"/>
    <w:rsid w:val="006854F0"/>
    <w:rsid w:val="006B0218"/>
    <w:rsid w:val="006B1C4A"/>
    <w:rsid w:val="006B610D"/>
    <w:rsid w:val="006C206A"/>
    <w:rsid w:val="006E49F5"/>
    <w:rsid w:val="007013C8"/>
    <w:rsid w:val="00727C84"/>
    <w:rsid w:val="00741AF5"/>
    <w:rsid w:val="0074338E"/>
    <w:rsid w:val="00753836"/>
    <w:rsid w:val="0075393C"/>
    <w:rsid w:val="00754592"/>
    <w:rsid w:val="00776C08"/>
    <w:rsid w:val="00786C12"/>
    <w:rsid w:val="00790ABF"/>
    <w:rsid w:val="007B49AA"/>
    <w:rsid w:val="007C219A"/>
    <w:rsid w:val="007C45CD"/>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36D2"/>
    <w:rsid w:val="008F4662"/>
    <w:rsid w:val="0090563F"/>
    <w:rsid w:val="00905D08"/>
    <w:rsid w:val="00925753"/>
    <w:rsid w:val="00937F8B"/>
    <w:rsid w:val="009425F4"/>
    <w:rsid w:val="00943BD8"/>
    <w:rsid w:val="00954B2C"/>
    <w:rsid w:val="00966C5C"/>
    <w:rsid w:val="009676A1"/>
    <w:rsid w:val="00973104"/>
    <w:rsid w:val="00980D6D"/>
    <w:rsid w:val="009842F6"/>
    <w:rsid w:val="00984E9A"/>
    <w:rsid w:val="00995BF0"/>
    <w:rsid w:val="00996540"/>
    <w:rsid w:val="009A16D5"/>
    <w:rsid w:val="009A353D"/>
    <w:rsid w:val="009B0B77"/>
    <w:rsid w:val="009B394C"/>
    <w:rsid w:val="009B511E"/>
    <w:rsid w:val="009B5215"/>
    <w:rsid w:val="009C6C86"/>
    <w:rsid w:val="009D37D3"/>
    <w:rsid w:val="009D3807"/>
    <w:rsid w:val="009F24CE"/>
    <w:rsid w:val="00A16E6C"/>
    <w:rsid w:val="00A40F60"/>
    <w:rsid w:val="00A44E3D"/>
    <w:rsid w:val="00A72D2E"/>
    <w:rsid w:val="00A74447"/>
    <w:rsid w:val="00A74CE5"/>
    <w:rsid w:val="00A755F0"/>
    <w:rsid w:val="00A77500"/>
    <w:rsid w:val="00A849B6"/>
    <w:rsid w:val="00A8536F"/>
    <w:rsid w:val="00A911E7"/>
    <w:rsid w:val="00A939D9"/>
    <w:rsid w:val="00AB77AA"/>
    <w:rsid w:val="00AC0E98"/>
    <w:rsid w:val="00AC4748"/>
    <w:rsid w:val="00AD5259"/>
    <w:rsid w:val="00B01D36"/>
    <w:rsid w:val="00B078CD"/>
    <w:rsid w:val="00B115DE"/>
    <w:rsid w:val="00B20712"/>
    <w:rsid w:val="00B32BD1"/>
    <w:rsid w:val="00B40832"/>
    <w:rsid w:val="00B42C80"/>
    <w:rsid w:val="00B43238"/>
    <w:rsid w:val="00B45DD3"/>
    <w:rsid w:val="00B54B90"/>
    <w:rsid w:val="00B6358B"/>
    <w:rsid w:val="00B64FA8"/>
    <w:rsid w:val="00B73582"/>
    <w:rsid w:val="00B75216"/>
    <w:rsid w:val="00B755A2"/>
    <w:rsid w:val="00B9104C"/>
    <w:rsid w:val="00B91D52"/>
    <w:rsid w:val="00B9490F"/>
    <w:rsid w:val="00BA1ACD"/>
    <w:rsid w:val="00BA3561"/>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B7610"/>
    <w:rsid w:val="00DC33B7"/>
    <w:rsid w:val="00DD1D0C"/>
    <w:rsid w:val="00DE0484"/>
    <w:rsid w:val="00DE186D"/>
    <w:rsid w:val="00E167C7"/>
    <w:rsid w:val="00E440CF"/>
    <w:rsid w:val="00E55B78"/>
    <w:rsid w:val="00E76361"/>
    <w:rsid w:val="00E84020"/>
    <w:rsid w:val="00EB7A80"/>
    <w:rsid w:val="00EC47F6"/>
    <w:rsid w:val="00EE6D6D"/>
    <w:rsid w:val="00EF08C9"/>
    <w:rsid w:val="00EF4A3F"/>
    <w:rsid w:val="00EF535E"/>
    <w:rsid w:val="00F15CF0"/>
    <w:rsid w:val="00F471F7"/>
    <w:rsid w:val="00F66032"/>
    <w:rsid w:val="00F83B96"/>
    <w:rsid w:val="00F8441D"/>
    <w:rsid w:val="00F860AB"/>
    <w:rsid w:val="00F87100"/>
    <w:rsid w:val="00F87C1E"/>
    <w:rsid w:val="00F958C2"/>
    <w:rsid w:val="00FA740E"/>
    <w:rsid w:val="00FB5F62"/>
    <w:rsid w:val="00FC06C7"/>
    <w:rsid w:val="00FD5DB4"/>
    <w:rsid w:val="00FD7FCC"/>
    <w:rsid w:val="00FE1724"/>
    <w:rsid w:val="00FE753C"/>
    <w:rsid w:val="00FF2346"/>
    <w:rsid w:val="11FC7669"/>
    <w:rsid w:val="51BA5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Normal]"/>
    <w:uiPriority w:val="99"/>
    <w:pPr>
      <w:widowControl w:val="0"/>
      <w:autoSpaceDE w:val="0"/>
      <w:autoSpaceDN w:val="0"/>
      <w:adjustRightInd w:val="0"/>
    </w:pPr>
    <w:rPr>
      <w:rFonts w:ascii="宋体" w:hAnsi="Calibri"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94D1-B976-4DED-A44F-D04559C051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1178</Words>
  <Characters>6718</Characters>
  <Lines>55</Lines>
  <Paragraphs>15</Paragraphs>
  <TotalTime>86</TotalTime>
  <ScaleCrop>false</ScaleCrop>
  <LinksUpToDate>false</LinksUpToDate>
  <CharactersWithSpaces>7881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2020-02-08T07:20:00Z</dcterms:created>
  <dc:creator>guest</dc:creator>
  <cp:lastModifiedBy>111</cp:lastModifiedBy>
  <cp:lastPrinted>2019-02-18T02:45:00Z</cp:lastPrinted>
  <dcterms:modified xsi:type="dcterms:W3CDTF">2024-07-18T07:05:53Z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DEA4A328E17A4A0A82A9072C28A2D56F</vt:lpwstr>
  </property>
</Properties>
</file>