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rFonts w:hint="eastAsia"/>
          <w:b/>
          <w:sz w:val="44"/>
          <w:szCs w:val="44"/>
        </w:rPr>
        <w:t>廊坊市广阳区人民政府信访局</w:t>
      </w:r>
    </w:p>
    <w:p/>
    <w:p/>
    <w:p/>
    <w:p/>
    <w:p>
      <w:pPr>
        <w:widowControl/>
        <w:jc w:val="center"/>
        <w:rPr>
          <w:color w:val="000000"/>
          <w:sz w:val="72"/>
          <w:szCs w:val="72"/>
        </w:rPr>
      </w:pPr>
      <w:r>
        <w:rPr>
          <w:rFonts w:ascii="黑体" w:eastAsia="黑体" w:hint="eastAsia"/>
          <w:color w:val="000000"/>
          <w:sz w:val="72"/>
          <w:szCs w:val="72"/>
        </w:rPr>
        <w:t>第一部分  部门概况</w:t>
      </w:r>
    </w:p>
    <w:p/>
    <w:p/>
    <w:p/>
    <w:p/>
    <w:p/>
    <w:p/>
    <w:p/>
    <w:p/>
    <w:p/>
    <w:p/>
    <w:p/>
    <w:p/>
    <w:p>
      <w:bookmarkStart w:id="0" w:name="_GoBack"/>
      <w:bookmarkEnd w:id="0"/>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研究提出全区信访工作思路，拟定全区信访工作有关制度、规定。2、接待人民群众来访，办理人民群众来信，查办信访案件。3、负责区委、区政府人民群众建议征集办公室工作。4、调查研究和综合分析全区信访形势及信访工作状况，及时向区委、区政府提出对策建议。5、参与全区社会治安综合治理和维护社会政治稳定工作，参与处理影响社会政治稳定的突发性、群体性事件。6、对乡镇、街办处党委、政府和区直有关部门信访工作年度责任目标进行考核。7、督促检查和组织指导全区乡镇、街办处及有关部门的信访工作。8、组织指导全区信访工作业务建设。9、承办区委、区政府及上级信访部门交办的有关事项。</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98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廊坊市广阳区人民政府信访局</w:t>
            </w:r>
          </w:p>
        </w:tc>
        <w:tc>
          <w:tcPr>
            <w:tcW w:w="244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hint="eastAsia"/>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本部门2018年度收支总计（含结转和结余）306.89万元，与 2017年度决算相比，本年收支各增加51.57万元，增加20.71%，主要是包括以前年度预留的个人部分职业年金和人员工资调整。</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本部门2018年度本年收入合计300.55万元，其中：财政拨款收入266.54万元，占88.7%；事业收入0万元，占0%；经营收入0万元，占0%；其他收入34.01万元，占11.3%。</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本部门2018年度本年支出合计306.78万元，其中：基本支出306.78万元，占100%；项目支出0万元，占0%；经营支出0万元，占0%。</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266.54万元,比2017年度增加22.56万元，增长9.6%，主要原因是是以前年度预留的个人部分职业年金；本年支出272.77万元，增加28.79万元，增长11.8%，主要原因是以前年度预留的个人部分职业年金。</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266.54万元，完成年初预算的100%,比年初预算增加48.32万元，决算数大于预算数，主要原因是以前年度预留的个人部分职业年金和人员工资调整；本年支出272.77万元，完成年初预算的100%,比年初预算增加54.55万元，决算数大于预算数，主要原因是以前年度预留的个人部分职业年金和人员工资调整。</w:t>
      </w:r>
    </w:p>
    <w:p>
      <w:pPr>
        <w:adjustRightInd w:val="0"/>
        <w:snapToGrid w:val="0"/>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（三）财政拨款支出决算结构情况。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年度财政拨款支出272.77万元，主要用于以下方面：一般公共服务（类）支出225.22万元，占82.6%；社会保障和就业（类）支出 28.44万元，占10.4%；住房保障（类）支出12万元，占4.4%;医疗卫生与计划生育（类）支出 7.11万元占2.6%。</w:t>
      </w:r>
    </w:p>
    <w:p>
      <w:pPr>
        <w:adjustRightInd w:val="0"/>
        <w:snapToGrid w:val="0"/>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272.79万元，其中：人员经费248.33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24.46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三公”经费支出共计1.75万元，比年初预算减少0.55万元，降低23.9%，主要原因是无公务接待费用发生，比2017年度决算增加0.1万元，增长6.1%，主要原因是汽车维修费增加。具体情况如下：</w:t>
      </w:r>
    </w:p>
    <w:p>
      <w:pPr>
        <w:adjustRightInd w:val="0"/>
        <w:snapToGrid w:val="0"/>
        <w:spacing w:after="0" w:line="580" w:lineRule="exact"/>
        <w:ind w:firstLineChars="200" w:firstLine="640"/>
        <w:rPr>
          <w:rFonts w:eastAsia="仿宋_GB2312"/>
          <w:sz w:val="32"/>
          <w:szCs w:val="32"/>
          <w:highlight w:val="yellow"/>
        </w:rPr>
      </w:pPr>
      <w:r>
        <w:rPr>
          <w:rFonts w:eastAsia="楷体_GB2312" w:hint="eastAsia"/>
          <w:b/>
          <w:bCs/>
          <w:sz w:val="32"/>
          <w:szCs w:val="32"/>
        </w:rPr>
        <w:t>（一）</w:t>
      </w: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pPr>
        <w:widowControl/>
        <w:numPr>
          <w:ilvl w:val="0"/>
          <w:numId w:val="1"/>
        </w:numPr>
        <w:ind w:left="0" w:firstLineChars="200" w:firstLine="640"/>
        <w:jc w:val="left"/>
        <w:rPr>
          <w:rFonts w:eastAsia="楷体_GB2312"/>
          <w:b/>
          <w:bCs/>
          <w:sz w:val="32"/>
          <w:szCs w:val="32"/>
        </w:rPr>
      </w:pPr>
      <w:r>
        <w:rPr>
          <w:rFonts w:eastAsia="楷体_GB2312"/>
          <w:b/>
          <w:bCs/>
          <w:sz w:val="32"/>
          <w:szCs w:val="32"/>
        </w:rPr>
        <w:t>公务用车购置及运行维护费支出</w:t>
      </w:r>
      <w:r>
        <w:rPr>
          <w:rFonts w:eastAsia="楷体_GB2312" w:hint="eastAsia"/>
          <w:b/>
          <w:bCs/>
          <w:sz w:val="32"/>
          <w:szCs w:val="32"/>
        </w:rPr>
        <w:t>1.75</w:t>
      </w:r>
      <w:r>
        <w:rPr>
          <w:rFonts w:eastAsia="楷体_GB2312"/>
          <w:b/>
          <w:bCs/>
          <w:sz w:val="32"/>
          <w:szCs w:val="32"/>
        </w:rPr>
        <w:t>万元。</w:t>
      </w:r>
    </w:p>
    <w:p>
      <w:pPr>
        <w:widowControl/>
        <w:ind w:firstLineChars="200" w:firstLine="640"/>
        <w:jc w:val="left"/>
        <w:rPr>
          <w:rFonts w:eastAsia="仿宋_GB2312"/>
          <w:b/>
          <w:bCs/>
          <w:sz w:val="32"/>
          <w:szCs w:val="32"/>
        </w:rPr>
      </w:pPr>
      <w:r>
        <w:rPr>
          <w:rFonts w:ascii="仿宋_GB2312" w:eastAsia="仿宋_GB2312" w:cs="DengXian-Regular" w:hint="eastAsia"/>
          <w:sz w:val="32"/>
          <w:szCs w:val="32"/>
        </w:rPr>
        <w:t>本部门2018年度公务用车购置及运行维护费比年初预算</w:t>
      </w:r>
      <w:r>
        <w:rPr>
          <w:rFonts w:eastAsia="仿宋_GB2312"/>
          <w:sz w:val="32"/>
          <w:szCs w:val="32"/>
        </w:rPr>
        <w:t>减少</w:t>
      </w:r>
      <w:r>
        <w:rPr>
          <w:rFonts w:eastAsia="仿宋_GB2312" w:hint="eastAsia"/>
          <w:sz w:val="32"/>
          <w:szCs w:val="32"/>
        </w:rPr>
        <w:t>0.55</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23.9</w:t>
      </w:r>
      <w:r>
        <w:rPr>
          <w:rFonts w:eastAsia="仿宋_GB2312"/>
          <w:sz w:val="32"/>
          <w:szCs w:val="32"/>
        </w:rPr>
        <w:t>%</w:t>
      </w:r>
      <w:r>
        <w:rPr>
          <w:rFonts w:ascii="仿宋_GB2312" w:eastAsia="仿宋_GB2312" w:cs="DengXian-Regular" w:hint="eastAsia"/>
          <w:sz w:val="32"/>
          <w:szCs w:val="32"/>
        </w:rPr>
        <w:t>,主要原因是</w:t>
      </w:r>
      <w:r>
        <w:rPr>
          <w:rFonts w:ascii="仿宋_GB2312" w:eastAsia="仿宋_GB2312" w:cs="仿宋_GB2312"/>
          <w:color w:val="000000"/>
          <w:kern w:val="0"/>
          <w:sz w:val="31"/>
          <w:szCs w:val="31"/>
        </w:rPr>
        <w:t>严格执行了公车管理制度</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0.1</w:t>
      </w:r>
      <w:r>
        <w:rPr>
          <w:rFonts w:eastAsia="仿宋_GB2312"/>
          <w:sz w:val="32"/>
          <w:szCs w:val="32"/>
        </w:rPr>
        <w:t>万元，增长</w:t>
      </w:r>
      <w:r>
        <w:rPr>
          <w:rFonts w:eastAsia="仿宋_GB2312" w:hint="eastAsia"/>
          <w:sz w:val="32"/>
          <w:szCs w:val="32"/>
        </w:rPr>
        <w:t>6.1</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汽车维修费增加。</w:t>
      </w:r>
      <w:r>
        <w:rPr>
          <w:rFonts w:eastAsia="仿宋_GB2312"/>
          <w:b/>
          <w:bCs/>
          <w:sz w:val="32"/>
          <w:szCs w:val="32"/>
        </w:rPr>
        <w:t>其中：</w:t>
      </w:r>
    </w:p>
    <w:p>
      <w:pPr>
        <w:widowControl/>
        <w:ind w:firstLineChars="200" w:firstLine="640"/>
        <w:jc w:val="left"/>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w:t>
      </w:r>
      <w:r>
        <w:rPr>
          <w:rFonts w:ascii="仿宋_GB2312" w:eastAsia="仿宋_GB2312" w:cs="仿宋_GB2312"/>
          <w:color w:val="000000"/>
          <w:kern w:val="0"/>
          <w:sz w:val="31"/>
          <w:szCs w:val="31"/>
        </w:rPr>
        <w:t>公务用车购置费支出较年初预算无增减变化；较</w:t>
      </w:r>
      <w:r>
        <w:rPr>
          <w:rFonts w:ascii="TimesNewRomanPSMT" w:eastAsia="TimesNewRomanPSMT" w:cs="TimesNewRomanPSMT" w:hAnsi="TimesNewRomanPSMT"/>
          <w:color w:val="000000"/>
          <w:kern w:val="0"/>
          <w:sz w:val="31"/>
          <w:szCs w:val="31"/>
        </w:rPr>
        <w:t xml:space="preserve">2017 </w:t>
      </w:r>
      <w:r>
        <w:rPr>
          <w:rFonts w:ascii="仿宋_GB2312" w:eastAsia="仿宋_GB2312" w:cs="仿宋_GB2312"/>
          <w:color w:val="000000"/>
          <w:kern w:val="0"/>
          <w:sz w:val="31"/>
          <w:szCs w:val="31"/>
        </w:rPr>
        <w:t>年度决算无增减变化。</w:t>
      </w:r>
    </w:p>
    <w:p>
      <w:pPr>
        <w:adjustRightInd w:val="0"/>
        <w:snapToGrid w:val="0"/>
        <w:spacing w:line="584" w:lineRule="exact"/>
        <w:ind w:firstLineChars="200" w:firstLine="640"/>
        <w:rPr>
          <w:rFonts w:eastAsia="仿宋_GB2312"/>
          <w:sz w:val="32"/>
          <w:szCs w:val="32"/>
          <w:highlight w:val="yellow"/>
        </w:rPr>
      </w:pPr>
      <w:r>
        <w:rPr>
          <w:rFonts w:eastAsia="仿宋_GB2312"/>
          <w:b/>
          <w:sz w:val="32"/>
          <w:szCs w:val="32"/>
        </w:rPr>
        <w:t>公务用车运行维护费支出</w:t>
      </w:r>
      <w:r>
        <w:rPr>
          <w:rFonts w:eastAsia="仿宋_GB2312" w:hint="eastAsia"/>
          <w:b/>
          <w:sz w:val="32"/>
          <w:szCs w:val="32"/>
        </w:rPr>
        <w:t>1.75</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0.55</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23.9</w:t>
      </w:r>
      <w:r>
        <w:rPr>
          <w:rFonts w:eastAsia="仿宋_GB2312"/>
          <w:sz w:val="32"/>
          <w:szCs w:val="32"/>
        </w:rPr>
        <w:t>%</w:t>
      </w:r>
      <w:r>
        <w:rPr>
          <w:rFonts w:ascii="仿宋_GB2312" w:eastAsia="仿宋_GB2312" w:cs="DengXian-Regular" w:hint="eastAsia"/>
          <w:sz w:val="32"/>
          <w:szCs w:val="32"/>
        </w:rPr>
        <w:t>,主要原因是</w:t>
      </w:r>
      <w:r>
        <w:rPr>
          <w:rFonts w:ascii="仿宋_GB2312" w:eastAsia="仿宋_GB2312" w:cs="仿宋_GB2312"/>
          <w:color w:val="000000"/>
          <w:kern w:val="0"/>
          <w:sz w:val="31"/>
          <w:szCs w:val="31"/>
        </w:rPr>
        <w:t>严格执行了公车管理制度</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0.1</w:t>
      </w:r>
      <w:r>
        <w:rPr>
          <w:rFonts w:eastAsia="仿宋_GB2312"/>
          <w:sz w:val="32"/>
          <w:szCs w:val="32"/>
        </w:rPr>
        <w:t>万元，增长</w:t>
      </w:r>
      <w:r>
        <w:rPr>
          <w:rFonts w:eastAsia="仿宋_GB2312" w:hint="eastAsia"/>
          <w:sz w:val="32"/>
          <w:szCs w:val="32"/>
        </w:rPr>
        <w:t>6.1</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汽车维修费增加。</w:t>
      </w:r>
    </w:p>
    <w:p>
      <w:pPr>
        <w:adjustRightInd w:val="0"/>
        <w:snapToGrid w:val="0"/>
        <w:spacing w:line="584" w:lineRule="exact"/>
        <w:ind w:firstLineChars="200" w:firstLine="640"/>
        <w:rPr>
          <w:rFonts w:eastAsia="仿宋_GB2312"/>
          <w:sz w:val="32"/>
          <w:szCs w:val="32"/>
          <w:highlight w:val="yellow"/>
        </w:rPr>
      </w:pPr>
      <w:r>
        <w:rPr>
          <w:rFonts w:eastAsia="楷体_GB2312" w:hint="eastAsia"/>
          <w:b/>
          <w:bCs/>
          <w:sz w:val="32"/>
          <w:szCs w:val="32"/>
        </w:rPr>
        <w:t>（三）</w:t>
      </w:r>
      <w:r>
        <w:rPr>
          <w:rFonts w:eastAsia="楷体_GB2312"/>
          <w:b/>
          <w:bCs/>
          <w:sz w:val="32"/>
          <w:szCs w:val="32"/>
        </w:rPr>
        <w:t>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年度未发生公务接待经费支出。公务接待费支出较年初预算无增减变化；较201</w:t>
      </w:r>
      <w:r>
        <w:rPr>
          <w:rFonts w:eastAsia="仿宋_GB2312" w:hint="eastAsia"/>
          <w:sz w:val="32"/>
          <w:szCs w:val="32"/>
        </w:rPr>
        <w:t>7</w:t>
      </w:r>
      <w:r>
        <w:rPr>
          <w:rFonts w:eastAsia="仿宋_GB2312"/>
          <w:sz w:val="32"/>
          <w:szCs w:val="32"/>
        </w:rPr>
        <w:t>年度决算无增减变化。</w:t>
      </w:r>
    </w:p>
    <w:p>
      <w:pPr>
        <w:pStyle w:val="2"/>
        <w:spacing w:before="0" w:after="0" w:line="580" w:lineRule="exact"/>
        <w:ind w:firstLineChars="200" w:firstLine="640"/>
        <w:rPr>
          <w:rFonts w:ascii="黑体" w:eastAsia="黑体"/>
          <w:b w:val="0"/>
          <w:bCs w:val="0"/>
        </w:rPr>
      </w:pPr>
      <w:r>
        <w:rPr>
          <w:rFonts w:ascii="黑体" w:eastAsia="黑体" w:hint="eastAsia"/>
          <w:b w:val="0"/>
          <w:bCs w:val="0"/>
        </w:rPr>
        <w:t>六、预算绩效情况说明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（一）预算绩效管理工作开展情况。 </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一是绩效评价管理机制不断完善。加强了绩效评价管理与财 </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 xml:space="preserve">政资金监管、财政监督检查工作的相互融合，绩效评价在预算分配、预算执行、结果应用的全过程管理机制不断完善。二是绩效管理理念逐步建立。绩效评价工作的开展，特别是绩效评价结果 </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 xml:space="preserve">的应用，有利于全面提高财政资金使用的效果。 </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（二）项目绩效自评结果 </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我单位严格按照财政局文件要求，对 2018 年项目进行自评 </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 xml:space="preserve">价，评价结果良好，取得了良好的社会效益，达到了预期的效益 </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目标。</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（三）重点项目绩效评价结果。 </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从评价结果看，我单位能较好地完成项目，取得良好的社会效益，资金管理完善，达到预期的效益目标。评价结果为良好。</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本部门2018年度机关运行经费支出24.46万元，比年初预算数增加4.9万元，增长25.1%。主要原因是本年度房屋进行维修。较2017年度决算增加1.48万元，增长6.4%，主要原因是本年度房屋进行维修。</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w:t>
      </w:r>
      <w:r>
        <w:rPr>
          <w:rFonts w:ascii="仿宋_GB2312" w:eastAsia="仿宋_GB2312" w:cs="DengXian-Regular"/>
          <w:sz w:val="32"/>
          <w:szCs w:val="32"/>
        </w:rPr>
        <w:t>未发生</w:t>
      </w:r>
      <w:r>
        <w:rPr>
          <w:rFonts w:ascii="仿宋_GB2312" w:eastAsia="仿宋_GB2312" w:cs="DengXian-Regular" w:hint="eastAsia"/>
          <w:sz w:val="32"/>
          <w:szCs w:val="32"/>
        </w:rPr>
        <w:t>政府采购</w:t>
      </w:r>
      <w:r>
        <w:rPr>
          <w:rFonts w:ascii="仿宋_GB2312" w:eastAsia="仿宋_GB2312" w:cs="DengXian-Regular"/>
          <w:sz w:val="32"/>
          <w:szCs w:val="32"/>
        </w:rPr>
        <w:t>费用</w:t>
      </w:r>
      <w:r>
        <w:rPr>
          <w:rFonts w:ascii="仿宋_GB2312" w:eastAsia="仿宋_GB2312" w:cs="DengXian-Regular" w:hint="eastAsia"/>
          <w:sz w:val="32"/>
          <w:szCs w:val="32"/>
        </w:rPr>
        <w:t>支出</w:t>
      </w:r>
      <w:r>
        <w:rPr>
          <w:rFonts w:ascii="仿宋_GB2312" w:eastAsia="仿宋_GB2312" w:cs="DengXian-Regular"/>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比上年增加0辆。其中，副部（省）级及以上领导用车0辆，主要领导干部用车0辆，机要通信用车1辆，应急保障用车0辆，执法执勤用车0辆，特种专业技术用车0辆，离退休干部用车0辆，其他用车0辆；单位价值50万元以上通用设备0台（套），单位价值100万元以上专用设备0（套）。</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1、本部门 2018 年度无政府采购情况，政府性基金预算财政拨款收入支出及国有资本经营预算财政拨款收入支出无收支及结转结余情况，故政府采购情况表，政府性基金预算财政拨款收入支出及国有资本经营预算财政拨款收入支出表以空表列示。 </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640"/>
        <w:jc w:val="left"/>
        <w:rPr>
          <w:rFonts w:ascii="宋体" w:eastAsia="宋体" w:cs="MS-UIGothic,Bold"/>
          <w:b/>
          <w:bCs/>
          <w:kern w:val="0"/>
          <w:sz w:val="32"/>
          <w:szCs w:val="3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DengXian-Regular">
    <w:altName w:val="宋体"/>
    <w:panose1 w:val="00000000000000000000"/>
    <w:charset w:val="86"/>
    <w:family w:val="auto"/>
    <w:pitch w:val="variable"/>
    <w:sig w:usb0="00000000" w:usb1="00000000" w:usb2="00000010" w:usb3="00000000" w:csb0="00040001" w:csb1="00000000"/>
  </w:font>
  <w:font w:name="ArialUnicodeMS">
    <w:altName w:val="Malgun Gothic"/>
    <w:panose1 w:val="00000000000000000000"/>
    <w:charset w:val="81"/>
    <w:family w:val="auto"/>
    <w:pitch w:val="variable"/>
    <w:sig w:usb0="00000000" w:usb1="00000000" w:usb2="00000010" w:usb3="00000000" w:csb0="00080001" w:csb1="00000000"/>
  </w:font>
  <w:font w:name="MS-UIGothic,Bold">
    <w:altName w:val="Malgun Gothic"/>
    <w:panose1 w:val="00000000000000000000"/>
    <w:charset w:val="81"/>
    <w:family w:val="auto"/>
    <w:pitch w:val="variable"/>
    <w:sig w:usb0="00000000" w:usb1="00000000" w:usb2="00000010" w:usb3="00000000" w:csb0="00080000"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TimesNewRomanPSMT">
    <w:altName w:val="Arial"/>
    <w:panose1 w:val="00000000000000000000"/>
    <w:charset w:val="00"/>
    <w:family w:val="swiss"/>
    <w:pitch w:val="variable"/>
    <w:sig w:usb0="00000000"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F9A42A5C"/>
    <w:multiLevelType w:val="singleLevel"/>
    <w:tmpl w:val="F9A42A5C"/>
    <w:lvl w:ilvl="0">
      <w:start w:val="2"/>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eastAsia="宋体"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eastAsia="宋体"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cs="Times New Roman"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cs="Times New Roman" w:hAnsi="Cambria"/>
      <w:sz w:val="18"/>
      <w:szCs w:val="18"/>
    </w:rPr>
  </w:style>
  <w:style w:type="paragraph" w:styleId="19">
    <w:name w:val="Subtitle"/>
    <w:basedOn w:val="0"/>
    <w:next w:val="0"/>
    <w:pPr>
      <w:widowControl/>
      <w:spacing w:after="200" w:line="276" w:lineRule="auto"/>
      <w:jc w:val="left"/>
    </w:pPr>
    <w:rPr>
      <w:rFonts w:ascii="Calibri" w:eastAsia="宋体"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eastAsia="宋体" w:cs="Arial" w:hAnsi="Calibri"/>
      <w:color w:val="3A2C24"/>
      <w:spacing w:val="5"/>
      <w:kern w:val="28"/>
      <w:sz w:val="52"/>
      <w:szCs w:val="52"/>
    </w:rPr>
  </w:style>
  <w:style w:type="paragraph" w:customStyle="1" w:styleId="21">
    <w:name w:val="No Spacing"/>
    <w:pPr>
      <w:spacing w:after="160" w:line="480" w:lineRule="auto"/>
    </w:pPr>
    <w:rPr>
      <w:rFonts w:ascii="Cambria" w:eastAsia="黑体" w:cs="Times New Roman" w:hAnsi="Cambria"/>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Cs w:val="22"/>
      <w:lang w:eastAsia="zh-CN"/>
    </w:rPr>
  </w:style>
  <w:style w:type="character" w:customStyle="1" w:styleId="25">
    <w:name w:val="Style4"/>
    <w:basedOn w:val="10"/>
    <w:rPr>
      <w:rFonts w:ascii="Cambria" w:eastAsia="黑体" w:cs="Times New Roman" w:hAnsi="Cambria"/>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68</TotalTime>
  <Application>Yozo_Office</Application>
  <Pages>16</Pages>
  <Words>4073</Words>
  <Characters>4388</Characters>
  <Lines>258</Lines>
  <Paragraphs>93</Paragraphs>
  <CharactersWithSpaces>4411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lenovo</cp:lastModifiedBy>
  <cp:revision>42</cp:revision>
  <cp:lastPrinted>2019-09-27T00:42:00Z</cp:lastPrinted>
  <dcterms:created xsi:type="dcterms:W3CDTF">2019-09-26T01:09:00Z</dcterms:created>
  <dcterms:modified xsi:type="dcterms:W3CDTF">2019-11-25T02:42:47Z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2052-11.1.0.9145</vt:lpwstr>
  </property>
</Properties>
</file>