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bookmarkStart w:id="4" w:name="_GoBack"/>
      <w:r>
        <w:rPr>
          <w:rFonts w:hint="eastAsia" w:ascii="方正小标宋简体" w:hAnsi="Times New Roman" w:eastAsia="方正小标宋简体" w:cs="Times New Roman"/>
          <w:sz w:val="44"/>
          <w:szCs w:val="44"/>
        </w:rPr>
        <w:t>廊坊市广阳区交通运输局2019年部门预算信息公开</w:t>
      </w:r>
    </w:p>
    <w:bookmarkEnd w:id="4"/>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广阳区交通运输局</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（一）拟定全区交通行业发展战略、政策、规范性文件并监督执行。</w:t>
      </w:r>
    </w:p>
    <w:p>
      <w:pPr>
        <w:pStyle w:val="17"/>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（二）根据省市区国民经济发展总体布局，拟定公路交通行业发展规划，制</w:t>
      </w:r>
      <w:r>
        <w:rPr>
          <w:rFonts w:hint="eastAsia" w:ascii="仿宋_GB2312" w:eastAsia="仿宋_GB2312" w:cs="Microsoft Sans Serif"/>
          <w:sz w:val="32"/>
          <w:szCs w:val="32"/>
          <w:lang w:eastAsia="zh-CN"/>
        </w:rPr>
        <w:t>订</w:t>
      </w:r>
      <w:r>
        <w:rPr>
          <w:rFonts w:hint="eastAsia" w:ascii="仿宋_GB2312" w:eastAsia="仿宋_GB2312" w:cs="Microsoft Sans Serif"/>
          <w:sz w:val="32"/>
          <w:szCs w:val="32"/>
        </w:rPr>
        <w:t>中长期计划和年度计划并监督实施，负责交通行业统计和信息引导。</w:t>
      </w:r>
    </w:p>
    <w:p>
      <w:pPr>
        <w:pStyle w:val="17"/>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三）负责全区公路交通的行业管理和运输组织管理，实施依法行政，建立完善的信息、行业联运服务体系，负责货运市场。客运出租市场、汽车维修市场、搬捣装卸市场、汽车综合性能检测、驾驶员培训工作的行业规划和管理，引导交通运输业优化结构、协调发展。</w:t>
      </w:r>
    </w:p>
    <w:p>
      <w:pPr>
        <w:pStyle w:val="17"/>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（四）组织实施公路及其设施（含标志标线）的建设、养护和管理，清理全区公路两侧违章建筑，治理大件运输和超限运输，提高公路通行能力，依法维护路产路权。</w:t>
      </w:r>
    </w:p>
    <w:p>
      <w:pPr>
        <w:pStyle w:val="17"/>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（五）依法组织并实施交通规费征收。</w:t>
      </w:r>
    </w:p>
    <w:p>
      <w:pPr>
        <w:pStyle w:val="17"/>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（六）负责全区范围内公路、桥梁建设市场管理、工程的招、投标管理，并负责公路工程的质量监督及质量鉴定工作。</w:t>
      </w:r>
    </w:p>
    <w:p>
      <w:pPr>
        <w:pStyle w:val="17"/>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（七）指导全区交通系统财务管理，负责国有资产管理；负责全区交通专项资金管理和使用；组织交通系统财务内部审计工作。</w:t>
      </w:r>
    </w:p>
    <w:p>
      <w:pPr>
        <w:pStyle w:val="17"/>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八）组织实施交通职工教育培训、职称评定、交流和使用工作，管理局机关并指导直属单位的人事、劳动、机构编制管理、人才资源开发工作，负责直属单位领导班子建设和股级干部管理工作，负责工人技术等级培训。考核工作，负责全区交通战备工作。</w:t>
      </w:r>
    </w:p>
    <w:p>
      <w:pPr>
        <w:pStyle w:val="17"/>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（九）指导全区交通行业的精神文明建设和职工队伍思想建设，指导行业交通安全保卫工作。</w:t>
      </w:r>
    </w:p>
    <w:p>
      <w:pPr>
        <w:pStyle w:val="17"/>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（十）承办区政府交办的其他事项。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107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710"/>
        <w:gridCol w:w="1530"/>
        <w:gridCol w:w="30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71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53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04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710"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530"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3045"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4443" w:type="dxa"/>
            <w:shd w:val="clear" w:color="auto" w:fill="auto"/>
            <w:vAlign w:val="center"/>
          </w:tcPr>
          <w:p>
            <w:pPr>
              <w:widowControl/>
              <w:spacing w:line="225" w:lineRule="atLeast"/>
              <w:jc w:val="center"/>
              <w:rPr>
                <w:rFonts w:ascii="Times New Roman" w:hAnsi="Times New Roman" w:eastAsia="仿宋_GB2312" w:cs="Times New Roman"/>
                <w:b/>
                <w:szCs w:val="21"/>
              </w:rPr>
            </w:pPr>
            <w:r>
              <w:rPr>
                <w:rFonts w:hint="eastAsia" w:ascii="仿宋_GB2312" w:eastAsia="仿宋_GB2312" w:cs="宋体"/>
                <w:kern w:val="0"/>
                <w:szCs w:val="21"/>
              </w:rPr>
              <w:t>廊坊市广阳区交通运输局</w:t>
            </w:r>
          </w:p>
        </w:tc>
        <w:tc>
          <w:tcPr>
            <w:tcW w:w="1710" w:type="dxa"/>
            <w:shd w:val="clear" w:color="auto" w:fill="auto"/>
            <w:vAlign w:val="center"/>
          </w:tcPr>
          <w:p>
            <w:pPr>
              <w:widowControl/>
              <w:spacing w:line="225" w:lineRule="atLeast"/>
              <w:jc w:val="center"/>
              <w:rPr>
                <w:rFonts w:ascii="Times New Roman" w:hAnsi="Times New Roman" w:eastAsia="仿宋_GB2312" w:cs="Times New Roman"/>
                <w:b/>
                <w:szCs w:val="21"/>
              </w:rPr>
            </w:pPr>
            <w:r>
              <w:rPr>
                <w:rFonts w:hint="eastAsia" w:ascii="仿宋_GB2312" w:eastAsia="仿宋_GB2312" w:cs="宋体"/>
                <w:kern w:val="0"/>
                <w:szCs w:val="21"/>
              </w:rPr>
              <w:t>行政单位</w:t>
            </w:r>
          </w:p>
        </w:tc>
        <w:tc>
          <w:tcPr>
            <w:tcW w:w="1530" w:type="dxa"/>
            <w:shd w:val="clear" w:color="auto" w:fill="auto"/>
            <w:vAlign w:val="center"/>
          </w:tcPr>
          <w:p>
            <w:pPr>
              <w:widowControl/>
              <w:spacing w:line="225" w:lineRule="atLeast"/>
              <w:jc w:val="center"/>
              <w:rPr>
                <w:rFonts w:ascii="Times New Roman" w:hAnsi="Times New Roman" w:eastAsia="仿宋_GB2312" w:cs="Times New Roman"/>
                <w:b/>
                <w:szCs w:val="21"/>
              </w:rPr>
            </w:pPr>
            <w:r>
              <w:rPr>
                <w:rFonts w:hint="eastAsia" w:ascii="仿宋_GB2312" w:eastAsia="仿宋_GB2312" w:cs="宋体"/>
                <w:kern w:val="0"/>
                <w:szCs w:val="21"/>
              </w:rPr>
              <w:t>正科级</w:t>
            </w:r>
          </w:p>
        </w:tc>
        <w:tc>
          <w:tcPr>
            <w:tcW w:w="3045" w:type="dxa"/>
            <w:shd w:val="clear" w:color="auto" w:fill="auto"/>
            <w:vAlign w:val="center"/>
          </w:tcPr>
          <w:p>
            <w:pPr>
              <w:widowControl/>
              <w:spacing w:line="225" w:lineRule="atLeast"/>
              <w:jc w:val="center"/>
              <w:rPr>
                <w:rFonts w:ascii="Times New Roman" w:hAnsi="Times New Roman" w:eastAsia="仿宋_GB2312" w:cs="Times New Roman"/>
                <w:b/>
                <w:szCs w:val="21"/>
              </w:rPr>
            </w:pPr>
            <w:r>
              <w:rPr>
                <w:rFonts w:hint="eastAsia" w:ascii="仿宋_GB2312" w:eastAsia="仿宋_GB2312" w:cs="宋体"/>
                <w:kern w:val="0"/>
                <w:szCs w:val="21"/>
              </w:rPr>
              <w:t>财政性资金定额或定向补助</w:t>
            </w:r>
          </w:p>
        </w:tc>
      </w:tr>
    </w:tbl>
    <w:p>
      <w:pPr>
        <w:spacing w:line="584" w:lineRule="exact"/>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广阳区交通</w:t>
      </w:r>
      <w:r>
        <w:rPr>
          <w:rFonts w:ascii="Times New Roman" w:hAnsi="Times New Roman" w:eastAsia="仿宋_GB2312" w:cs="Times New Roman"/>
          <w:sz w:val="32"/>
          <w:szCs w:val="32"/>
        </w:rPr>
        <w:t>运输局机关及所属事业单位的收支包含在部门预算中。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1215.40</w:t>
      </w:r>
      <w:r>
        <w:rPr>
          <w:rFonts w:ascii="Times New Roman" w:hAnsi="Times New Roman" w:eastAsia="仿宋_GB2312" w:cs="Times New Roman"/>
          <w:sz w:val="32"/>
          <w:szCs w:val="32"/>
        </w:rPr>
        <w:t>万元，其中：一般公共预算收</w:t>
      </w:r>
      <w:r>
        <w:rPr>
          <w:rFonts w:hint="eastAsia" w:ascii="Times New Roman" w:hAnsi="Times New Roman" w:eastAsia="仿宋_GB2312" w:cs="Times New Roman"/>
          <w:sz w:val="32"/>
          <w:szCs w:val="32"/>
        </w:rPr>
        <w:t>入1215.40</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广阳区交通运输局</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1215.40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789.39</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673.54</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115.85</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426.01</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426.01</w:t>
      </w:r>
      <w:r>
        <w:rPr>
          <w:rFonts w:ascii="Times New Roman" w:hAnsi="Times New Roman" w:eastAsia="仿宋_GB2312" w:cs="Times New Roman"/>
          <w:sz w:val="32"/>
          <w:szCs w:val="32"/>
        </w:rPr>
        <w:t>万元，主要为</w:t>
      </w:r>
      <w:r>
        <w:rPr>
          <w:rFonts w:hint="eastAsia" w:ascii="仿宋_GB2312" w:eastAsia="仿宋_GB2312" w:cs="宋体"/>
          <w:color w:val="000000"/>
          <w:kern w:val="0"/>
          <w:sz w:val="32"/>
          <w:szCs w:val="32"/>
        </w:rPr>
        <w:t>县道日常养护及养护工程资金</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1215.40</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229.38</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27.75</w:t>
      </w:r>
      <w:r>
        <w:rPr>
          <w:rFonts w:ascii="Times New Roman" w:hAnsi="Times New Roman" w:eastAsia="仿宋_GB2312" w:cs="Times New Roman"/>
          <w:sz w:val="32"/>
          <w:szCs w:val="32"/>
        </w:rPr>
        <w:t>万元，主要为</w:t>
      </w:r>
      <w:r>
        <w:rPr>
          <w:rFonts w:hint="eastAsia" w:ascii="仿宋_GB2312" w:eastAsia="仿宋_GB2312" w:cs="宋体"/>
          <w:color w:val="000000"/>
          <w:kern w:val="0"/>
          <w:sz w:val="32"/>
          <w:szCs w:val="32"/>
        </w:rPr>
        <w:t>人员经费支出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201.63</w:t>
      </w:r>
      <w:r>
        <w:rPr>
          <w:rFonts w:ascii="Times New Roman" w:hAnsi="Times New Roman" w:eastAsia="仿宋_GB2312" w:cs="Times New Roman"/>
          <w:sz w:val="32"/>
          <w:szCs w:val="32"/>
        </w:rPr>
        <w:t>万元，主要为</w:t>
      </w:r>
      <w:r>
        <w:rPr>
          <w:rFonts w:hint="eastAsia" w:ascii="仿宋_GB2312" w:eastAsia="仿宋_GB2312" w:cs="宋体"/>
          <w:color w:val="000000"/>
          <w:kern w:val="0"/>
          <w:sz w:val="32"/>
          <w:szCs w:val="32"/>
        </w:rPr>
        <w:t>县道日常养护及养护工程</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0.29</w:t>
      </w:r>
      <w:r>
        <w:rPr>
          <w:rFonts w:ascii="Times New Roman" w:hAnsi="Times New Roman" w:eastAsia="仿宋_GB2312" w:cs="Times New Roman"/>
          <w:sz w:val="32"/>
          <w:szCs w:val="32"/>
        </w:rPr>
        <w:t>万元，主要用于机关办公区的日常维修、办公用房水电费、办公用房取暖费、办公用房物业管理费等日常运行支出。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相比减少0.23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方正仿宋_GBK" w:eastAsia="方正仿宋_GBK"/>
          <w:sz w:val="32"/>
          <w:szCs w:val="32"/>
        </w:rPr>
      </w:pPr>
      <w:r>
        <w:rPr>
          <w:rFonts w:ascii="方正仿宋_GBK" w:eastAsia="方正仿宋_GBK"/>
          <w:sz w:val="32"/>
          <w:szCs w:val="32"/>
        </w:rPr>
        <w:t>1、加大行业法制建设和市场经济建设力度，全面提高行业市场化和法制化程度。</w:t>
      </w:r>
    </w:p>
    <w:p>
      <w:pPr>
        <w:spacing w:line="500" w:lineRule="exact"/>
        <w:ind w:firstLine="560"/>
        <w:rPr>
          <w:rFonts w:ascii="方正仿宋_GBK" w:eastAsia="方正仿宋_GBK"/>
          <w:sz w:val="32"/>
          <w:szCs w:val="32"/>
        </w:rPr>
      </w:pPr>
      <w:r>
        <w:rPr>
          <w:rFonts w:ascii="方正仿宋_GBK" w:eastAsia="方正仿宋_GBK"/>
          <w:sz w:val="32"/>
          <w:szCs w:val="32"/>
        </w:rPr>
        <w:t>2、加大公路运政、路政管理力度，全面提高依法行政的综合能力。</w:t>
      </w:r>
    </w:p>
    <w:p>
      <w:pPr>
        <w:spacing w:line="500" w:lineRule="exact"/>
        <w:ind w:firstLine="560"/>
        <w:rPr>
          <w:rFonts w:ascii="方正仿宋_GBK" w:eastAsia="方正仿宋_GBK"/>
          <w:sz w:val="32"/>
          <w:szCs w:val="32"/>
        </w:rPr>
      </w:pPr>
      <w:r>
        <w:rPr>
          <w:rFonts w:ascii="方正仿宋_GBK" w:eastAsia="方正仿宋_GBK"/>
          <w:sz w:val="32"/>
          <w:szCs w:val="32"/>
        </w:rPr>
        <w:t>3、随着企业改革、改制的进展，对交通企业的管理进一步向政策指导、信息服务、法律监督和市场调控方面转变，最终实现与企业脱钩。</w:t>
      </w:r>
    </w:p>
    <w:p>
      <w:pPr>
        <w:spacing w:line="500" w:lineRule="exact"/>
        <w:ind w:firstLine="560"/>
        <w:rPr>
          <w:rFonts w:ascii="方正仿宋_GBK" w:eastAsia="方正仿宋_GBK"/>
          <w:sz w:val="32"/>
          <w:szCs w:val="32"/>
        </w:rPr>
      </w:pPr>
      <w:r>
        <w:rPr>
          <w:rFonts w:ascii="方正仿宋_GBK" w:eastAsia="方正仿宋_GBK"/>
          <w:sz w:val="32"/>
          <w:szCs w:val="32"/>
        </w:rPr>
        <w:t>4、大力减少审批事项，将市、区政府明确的行政审批制度改革事项落到实处。</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方正仿宋_GBK" w:eastAsia="方正仿宋_GBK"/>
          <w:sz w:val="32"/>
          <w:szCs w:val="32"/>
        </w:rPr>
      </w:pPr>
      <w:r>
        <w:rPr>
          <w:rFonts w:ascii="方正仿宋_GBK" w:eastAsia="方正仿宋_GBK"/>
          <w:sz w:val="32"/>
          <w:szCs w:val="32"/>
        </w:rPr>
        <w:t>一、交通运输基础设施建设</w:t>
      </w:r>
    </w:p>
    <w:p>
      <w:pPr>
        <w:spacing w:line="500" w:lineRule="exact"/>
        <w:ind w:firstLine="560"/>
        <w:rPr>
          <w:rFonts w:ascii="方正仿宋_GBK" w:eastAsia="方正仿宋_GBK"/>
          <w:sz w:val="32"/>
          <w:szCs w:val="32"/>
        </w:rPr>
      </w:pPr>
      <w:r>
        <w:rPr>
          <w:rFonts w:ascii="方正仿宋_GBK" w:eastAsia="方正仿宋_GBK"/>
          <w:sz w:val="32"/>
          <w:szCs w:val="32"/>
        </w:rPr>
        <w:t>职责描述：按县政府规定权限审批、核准县规划内和年度计划规模内的固定资产投资项目，完成交通基础设施投资；对重点工程建设、工程质量和安全生产进行监管，对招投标活动进行监督管理。</w:t>
      </w:r>
    </w:p>
    <w:p>
      <w:pPr>
        <w:spacing w:line="500" w:lineRule="exact"/>
        <w:ind w:firstLine="560"/>
        <w:rPr>
          <w:rFonts w:ascii="方正仿宋_GBK" w:eastAsia="方正仿宋_GBK"/>
          <w:sz w:val="32"/>
          <w:szCs w:val="32"/>
        </w:rPr>
      </w:pPr>
      <w:r>
        <w:rPr>
          <w:rFonts w:ascii="方正仿宋_GBK" w:eastAsia="方正仿宋_GBK"/>
          <w:sz w:val="32"/>
          <w:szCs w:val="32"/>
        </w:rPr>
        <w:t>年度绩效目标：按要求完成全年普通干线公路投资和农村公路投资。</w:t>
      </w:r>
    </w:p>
    <w:p>
      <w:pPr>
        <w:spacing w:line="500" w:lineRule="exact"/>
        <w:ind w:firstLine="560"/>
        <w:rPr>
          <w:rFonts w:ascii="方正仿宋_GBK" w:eastAsia="方正仿宋_GBK"/>
          <w:sz w:val="32"/>
          <w:szCs w:val="32"/>
        </w:rPr>
      </w:pPr>
      <w:r>
        <w:rPr>
          <w:rFonts w:ascii="方正仿宋_GBK" w:eastAsia="方正仿宋_GBK"/>
          <w:sz w:val="32"/>
          <w:szCs w:val="32"/>
        </w:rPr>
        <w:t>二、交通运输基础设施养护、维护</w:t>
      </w:r>
    </w:p>
    <w:p>
      <w:pPr>
        <w:spacing w:line="500" w:lineRule="exact"/>
        <w:ind w:firstLine="560"/>
        <w:rPr>
          <w:rFonts w:ascii="方正仿宋_GBK" w:eastAsia="方正仿宋_GBK"/>
          <w:sz w:val="32"/>
          <w:szCs w:val="32"/>
        </w:rPr>
      </w:pPr>
      <w:r>
        <w:rPr>
          <w:rFonts w:ascii="方正仿宋_GBK" w:eastAsia="方正仿宋_GBK"/>
          <w:sz w:val="32"/>
          <w:szCs w:val="32"/>
        </w:rPr>
        <w:t>职责描述：组织交通运输基础设施养护、维护。</w:t>
      </w:r>
    </w:p>
    <w:p>
      <w:pPr>
        <w:spacing w:line="500" w:lineRule="exact"/>
        <w:ind w:firstLine="560"/>
        <w:rPr>
          <w:rFonts w:ascii="方正仿宋_GBK" w:eastAsia="方正仿宋_GBK"/>
          <w:sz w:val="32"/>
          <w:szCs w:val="32"/>
        </w:rPr>
      </w:pPr>
      <w:r>
        <w:rPr>
          <w:rFonts w:ascii="方正仿宋_GBK" w:eastAsia="方正仿宋_GBK"/>
          <w:sz w:val="32"/>
          <w:szCs w:val="32"/>
        </w:rPr>
        <w:t>年度绩效目标：按要求完成全年养护及养护工程项目。</w:t>
      </w:r>
    </w:p>
    <w:p>
      <w:pPr>
        <w:spacing w:line="500" w:lineRule="exact"/>
        <w:ind w:firstLine="560"/>
        <w:rPr>
          <w:rFonts w:ascii="方正仿宋_GBK" w:eastAsia="方正仿宋_GBK"/>
          <w:sz w:val="32"/>
          <w:szCs w:val="32"/>
        </w:rPr>
      </w:pPr>
      <w:r>
        <w:rPr>
          <w:rFonts w:ascii="方正仿宋_GBK" w:eastAsia="方正仿宋_GBK"/>
          <w:sz w:val="32"/>
          <w:szCs w:val="32"/>
        </w:rPr>
        <w:t>三、交通运输管理</w:t>
      </w:r>
    </w:p>
    <w:p>
      <w:pPr>
        <w:spacing w:line="500" w:lineRule="exact"/>
        <w:ind w:firstLine="560"/>
        <w:rPr>
          <w:rFonts w:ascii="方正仿宋_GBK" w:eastAsia="方正仿宋_GBK"/>
          <w:sz w:val="32"/>
          <w:szCs w:val="32"/>
        </w:rPr>
      </w:pPr>
      <w:r>
        <w:rPr>
          <w:rFonts w:ascii="方正仿宋_GBK" w:eastAsia="方正仿宋_GBK"/>
          <w:sz w:val="32"/>
          <w:szCs w:val="32"/>
        </w:rPr>
        <w:t>职责描述：承担全县综合运输体系的规划协调，指导城乡客运及有关设施规划和管理，指导出租汽车行业管理工作。</w:t>
      </w:r>
    </w:p>
    <w:p>
      <w:pPr>
        <w:spacing w:line="500" w:lineRule="exact"/>
        <w:ind w:firstLine="560"/>
        <w:rPr>
          <w:rFonts w:ascii="方正仿宋_GBK" w:eastAsia="方正仿宋_GBK"/>
          <w:sz w:val="32"/>
          <w:szCs w:val="32"/>
        </w:rPr>
      </w:pPr>
      <w:r>
        <w:rPr>
          <w:rFonts w:ascii="方正仿宋_GBK" w:eastAsia="方正仿宋_GBK"/>
          <w:sz w:val="32"/>
          <w:szCs w:val="32"/>
        </w:rPr>
        <w:t>年度绩效目标：客运管理业务顺利开展，按时完成工作，并保障行业安全稳与稳定。</w:t>
      </w:r>
    </w:p>
    <w:p>
      <w:pPr>
        <w:spacing w:line="500" w:lineRule="exact"/>
        <w:ind w:firstLine="560"/>
        <w:rPr>
          <w:rFonts w:ascii="方正仿宋_GBK" w:eastAsia="方正仿宋_GBK"/>
          <w:sz w:val="32"/>
          <w:szCs w:val="32"/>
        </w:rPr>
      </w:pPr>
      <w:r>
        <w:rPr>
          <w:rFonts w:ascii="方正仿宋_GBK" w:eastAsia="方正仿宋_GBK"/>
          <w:sz w:val="32"/>
          <w:szCs w:val="32"/>
        </w:rPr>
        <w:t>四、交通政务管理</w:t>
      </w:r>
    </w:p>
    <w:p>
      <w:pPr>
        <w:spacing w:line="500" w:lineRule="exact"/>
        <w:ind w:firstLine="560"/>
        <w:rPr>
          <w:rFonts w:ascii="方正仿宋_GBK" w:eastAsia="方正仿宋_GBK"/>
          <w:sz w:val="32"/>
          <w:szCs w:val="32"/>
        </w:rPr>
      </w:pPr>
      <w:r>
        <w:rPr>
          <w:rFonts w:ascii="方正仿宋_GBK" w:eastAsia="方正仿宋_GBK"/>
          <w:sz w:val="32"/>
          <w:szCs w:val="32"/>
        </w:rPr>
        <w:t>职责描述：负责交通运输综合交通运输体系建设，综合业务管理和综合事物管理。</w:t>
      </w:r>
    </w:p>
    <w:p>
      <w:pPr>
        <w:spacing w:line="500" w:lineRule="exact"/>
        <w:ind w:firstLine="480" w:firstLineChars="150"/>
        <w:rPr>
          <w:rFonts w:ascii="方正仿宋_GBK" w:eastAsia="方正仿宋_GBK"/>
          <w:sz w:val="32"/>
          <w:szCs w:val="32"/>
        </w:rPr>
      </w:pPr>
      <w:r>
        <w:rPr>
          <w:rFonts w:ascii="方正仿宋_GBK" w:eastAsia="方正仿宋_GBK"/>
          <w:sz w:val="32"/>
          <w:szCs w:val="32"/>
        </w:rPr>
        <w:t>年度绩效目标：保障各项业务工作畅通和机关正常工作高效运转。</w:t>
      </w:r>
    </w:p>
    <w:p>
      <w:pPr>
        <w:spacing w:line="584"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bookmarkEnd w:id="0"/>
      <w:bookmarkStart w:id="1" w:name="_Toc504489147"/>
    </w:p>
    <w:p>
      <w:pPr>
        <w:spacing w:line="584" w:lineRule="exact"/>
        <w:jc w:val="center"/>
        <w:outlineLvl w:val="0"/>
        <w:rPr>
          <w:rFonts w:ascii="Times New Roman" w:hAnsi="Times New Roman" w:eastAsia="仿宋_GB2312" w:cs="Times New Roman"/>
          <w:b/>
          <w:sz w:val="32"/>
        </w:rPr>
      </w:pPr>
      <w:r>
        <w:rPr>
          <w:rFonts w:ascii="Times New Roman" w:hAnsi="Times New Roman" w:eastAsia="仿宋_GB2312" w:cs="Times New Roman"/>
          <w:b/>
          <w:sz w:val="32"/>
        </w:rPr>
        <w:t>部门职责-工作活动绩效目标</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810廊坊市广阳区交通运输局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一、交通运输基础设施建设</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按区政府规定权限审批、核准县规划内和年度计划规模内的固定资产投资项目，完成交通基础设施投资；对重点工程建设、工程质量和安全生产进行监管，对招投标活动进行监督管理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高速公路投资总额XX亿元、在建里程XX公里；普通干线公路投资总额XX亿元，在建里程XX公里；农村公路投资总额XX亿元，新增里程XX公里；场站建设投资总额XX亿元，建设项目XX个；物流园区(中心)项目总投资XX亿元,建设项目XX个；农村客运站点总投资XX亿元,建设四级站XX个，五级站XX个，简易站XX个，候车亭XXX个，招呼站牌X个；新建出租车汽车综合服务区XX个；保障交通基础设施建设项目质量；按时偿还到期公路建设贷款，无贷款违约。</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1、普通国省干线公路建设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安排补助资金，组织实施各项普通国省干线公路建设，完成投资任务。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按计划完成全年普通干线公路投资建设。 </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年度普通干线建设工程量完成率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年度普通干线公路建设项目投资完成率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年度普通干线公路建设项目工程质量合格率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2、公路客货运站（场）及城乡客运基础设施建设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组织实施全区汽车客、货运站场新改（扩）建工程（含综合客货运枢纽、等级客运站、简易站、候车亭、招呼牌等）建设。</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按计划完成全年客货站点基础建设。</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年度客货运场站建设项目工程质量合格率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年度客货运场站建设投资完成率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年度客货运场站建设工程量完成率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3、交通基础设施建设的协调、监督和管理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监管辖区有关重点工程建设、工程质量和安全生产及行业招投标活动进行监督和管理，做好建设过程中的协调管理工作。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公路建设市场运转有序，各项业务顺利开展，工作按时完成。</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交通基础设施建设重点项目监督检查率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交通基础设施建设重点项目招投标合格率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交通基础设施建设重点项目完成率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4、交通配套设施建设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其他与区级建设任务紧密相关的交通基础设施建设。</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按全年计划完成全区相关配套设施建设。</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年度交通配套设施项目工程质量合格率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交通配套设施建设投资完成率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交通配套设施工程量完成率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5、农村公路建设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组织实施各项农村公路建设，完成投资任务。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按计划完成全年辖区农村公路建设。</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年度农村公路建设项目工程质量合格率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年度农村公路建设项目投资完成率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年度农村公路建设工程量完成率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二、交通运输管理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承担全区综合运输体系的规划协调，指导城乡客运及有关设施规划和管理，对全县公路及其设施的建设和养护进行管理，指导出租汽车行业管理工作。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保障道路通畅，完成运输生产任务，确保安全生产，提高服务保障水平。按时完成2017年全国公路水路统计抽样调查工作。</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1、道路运输管理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对辖区城、乡客货运输、从业人员、道路运输相关业务进行行业管理、市场监管及安全检查，对辖区货运源头治超工作进行监督检查。</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加强辖区道路运输市场监督管理，确保行业市场稳定；加强城、乡客货运输的衔接协调管理，确保运输市场有序发展；加强货运源头治超管理，确保公路畅通有序。</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年营业性客货运周转量目标完成率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超限超载率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行业市场监督检查率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2、公路管理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对公路建设、养护、运营及路政、治理超限超载进行管理。审批公路建设项目施工图并进行现场管理，依法行使公路方面行政处罚权，对全区公路超限治理进行监督管理。</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提高公路等级水平，缓解繁忙路段交通压力；维护路产路权，治理超限运输，保障通行能力，提高服务水平。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路产路权监督检查率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审批完成率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超限超载率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3、城市客运管理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对辖区客运（含公共汽电车、出租汽车、汽车租赁）进行行业管理。</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客运管理业务顺利开展，按时完成工作，保障行业安全与稳定。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行业市场监督检查率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行业市场安全生产达标率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乘客满意率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三、交通政务管理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134.40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负责交通运输综合交通运输体系建设，综合业务管理和综合事物管理。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机动车维修与检测人员考试 人次，信息管理系统正常运行，修订公路定额，应急事项处理及时，各项事务运行正常。</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指导交通运输行业继续教育和中等专业技术教育，开展行业干部教育培训。指导行业体制改革、安全生产和应急管理等。</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保障各项业务工作畅通。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开展系统培训率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2、综合事务管理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134.40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管理交通国有资产，筹措、管理、监督交通建设专项资金，开展基本建设项目绩效监督管理工作和行业内部审计工作，承担国防交通战备工作，指导行业交通公安工作及行业精神文明建设。</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保障机关正常工作高效运转</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行业稳定率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四、交通运输基础设施养护、维护</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291.61</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组织交通运输基础设施养护、维护，对招投标活动进行监督管理。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高速公路日常养护XX公里，路基路面大中修XX公里；普通国省干线公路大中修里程XX公里，加固桥梁XXXX延米，治理隐患里程XXXX公里；高速绿色廊道建设XXXX公里，普通国省干线绿化里程XXXX公里，节点面积XXX万平方米；提升普通国省干线日常养护作业效率；对农村公路养护实施“以奖代补”；完善更新公路建设管理养护基础数据。</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1、普通国省干线公路养护</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对普通国省干线公路主体及其附属设施、设备进行保养中修、大修、维护等。</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按计划完成全年普通干线公路大中修工程。</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年度普通干线公路养护投资完成率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恢复设计功能（恢复率）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公路技术状况指数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年度普通干线公路养护工程量完成率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2、农村公路养护以奖代补</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291.61</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通过以奖代补等形式对农村公路保养与维护进行资金补助，引导带动各地加强农村公路养护。</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恢复、提升农村公路原有技术指标，维护、完善交通工程、安全设施、服务管理等附属设施，保持良好的技术状况。 </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年度农村公路养护投资完成率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年度农村公路养护工程量完成率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年度农村公路养护工程质量合格率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3、公路建设管理养护基础数据采集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按时、保质、保量完成数据采集分析，为公路管理提供依据和支持。</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公路基础信息数据更新率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公路基础信息数据使用率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公路基础信息数据维护率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4、公路、水运工程养护监督和管理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各项业务顺利开展，按时完成工作。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工作质量指标率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用户满意率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项目质量合格率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bookmarkEnd w:id="1"/>
    </w:tbl>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bookmarkStart w:id="3" w:name="_Toc504489153"/>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r>
        <w:rPr>
          <w:rFonts w:ascii="Times New Roman" w:hAnsi="Times New Roman" w:eastAsia="仿宋_GB2312" w:cs="Times New Roman"/>
          <w:sz w:val="32"/>
        </w:rPr>
        <w:t>部门政府采购预算</w:t>
      </w:r>
      <w:bookmarkEnd w:id="3"/>
    </w:p>
    <w:tbl>
      <w:tblPr>
        <w:tblStyle w:val="9"/>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810廊坊市广阳区交通运输局</w:t>
            </w:r>
          </w:p>
        </w:tc>
        <w:tc>
          <w:tcPr>
            <w:tcW w:w="639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93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37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74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91" w:type="dxa"/>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1057"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555" w:type="dxa"/>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8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057"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79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92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92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8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1057" w:type="dxa"/>
            <w:shd w:val="clear" w:color="auto" w:fill="auto"/>
            <w:vAlign w:val="center"/>
          </w:tcPr>
          <w:p>
            <w:pPr>
              <w:spacing w:line="584" w:lineRule="exact"/>
              <w:jc w:val="right"/>
              <w:rPr>
                <w:rFonts w:ascii="Times New Roman" w:hAnsi="Times New Roman" w:eastAsia="仿宋_GB2312" w:cs="Times New Roman"/>
                <w:b/>
              </w:rPr>
            </w:pP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p>
        </w:tc>
        <w:tc>
          <w:tcPr>
            <w:tcW w:w="1057" w:type="dxa"/>
            <w:shd w:val="clear" w:color="auto" w:fill="auto"/>
            <w:vAlign w:val="center"/>
          </w:tcPr>
          <w:p>
            <w:pPr>
              <w:spacing w:line="584" w:lineRule="exact"/>
              <w:jc w:val="right"/>
              <w:rPr>
                <w:rFonts w:ascii="Times New Roman" w:hAnsi="Times New Roman" w:eastAsia="仿宋_GB2312" w:cs="Times New Roman"/>
                <w:b/>
              </w:rPr>
            </w:pP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广阳区交通运输局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94.65</w:t>
      </w:r>
      <w:r>
        <w:rPr>
          <w:rFonts w:ascii="Times New Roman" w:hAnsi="Times New Roman" w:eastAsia="仿宋_GB2312" w:cs="Times New Roman"/>
          <w:sz w:val="32"/>
          <w:szCs w:val="32"/>
        </w:rPr>
        <w:t>万元，本年度我部门</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810</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广阳区交通</w:t>
            </w:r>
            <w:r>
              <w:rPr>
                <w:rFonts w:ascii="Times New Roman" w:hAnsi="Times New Roman" w:eastAsia="仿宋_GB2312" w:cs="Times New Roman"/>
                <w:kern w:val="0"/>
                <w:sz w:val="22"/>
              </w:rPr>
              <w:t>运输局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94.65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78.86</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swiss"/>
    <w:pitch w:val="default"/>
    <w:sig w:usb0="E1002AFF" w:usb1="C0000002" w:usb2="00000008" w:usb3="00000000" w:csb0="200101FF" w:csb1="2028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4"/>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51590"/>
    <w:rsid w:val="00451871"/>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A7A86"/>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0214"/>
    <w:rsid w:val="00920B32"/>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2BC1"/>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133C"/>
    <w:rsid w:val="00DB4322"/>
    <w:rsid w:val="00DD1D0C"/>
    <w:rsid w:val="00DD4034"/>
    <w:rsid w:val="00DE186D"/>
    <w:rsid w:val="00E167C7"/>
    <w:rsid w:val="00E440CF"/>
    <w:rsid w:val="00E55B78"/>
    <w:rsid w:val="00E65939"/>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E1724"/>
    <w:rsid w:val="00FE753C"/>
    <w:rsid w:val="00FF2346"/>
    <w:rsid w:val="037A2832"/>
    <w:rsid w:val="1C8A59C0"/>
    <w:rsid w:val="1CAE11BD"/>
    <w:rsid w:val="20DF21F3"/>
    <w:rsid w:val="23981591"/>
    <w:rsid w:val="2E0228AD"/>
    <w:rsid w:val="33E3426E"/>
    <w:rsid w:val="382D7400"/>
    <w:rsid w:val="3DCE55DD"/>
    <w:rsid w:val="5A1F1A4D"/>
    <w:rsid w:val="612F6A94"/>
    <w:rsid w:val="67707EB0"/>
    <w:rsid w:val="76F13378"/>
    <w:rsid w:val="7C7E7B95"/>
    <w:rsid w:val="7E234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alloon Text"/>
    <w:basedOn w:val="1"/>
    <w:link w:val="14"/>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39"/>
    <w:rPr>
      <w:rFonts w:ascii="Times New Roman" w:hAnsi="Times New Roman" w:eastAsia="宋体" w:cs="Times New Roman"/>
      <w:szCs w:val="24"/>
    </w:rPr>
  </w:style>
  <w:style w:type="paragraph" w:styleId="7">
    <w:name w:val="footnote text"/>
    <w:basedOn w:val="1"/>
    <w:link w:val="16"/>
    <w:semiHidden/>
    <w:unhideWhenUsed/>
    <w:qFormat/>
    <w:uiPriority w:val="99"/>
    <w:pPr>
      <w:snapToGrid w:val="0"/>
      <w:jc w:val="left"/>
    </w:pPr>
    <w:rPr>
      <w:rFonts w:ascii="Calibri" w:hAnsi="Calibri" w:eastAsia="宋体" w:cs="Times New Roman"/>
      <w:sz w:val="18"/>
      <w:szCs w:val="18"/>
    </w:rPr>
  </w:style>
  <w:style w:type="paragraph" w:styleId="8">
    <w:name w:val="toc 2"/>
    <w:basedOn w:val="1"/>
    <w:next w:val="1"/>
    <w:qFormat/>
    <w:uiPriority w:val="39"/>
    <w:pPr>
      <w:ind w:left="420" w:leftChars="200"/>
    </w:pPr>
    <w:rPr>
      <w:rFonts w:ascii="Times New Roman" w:hAnsi="Times New Roman" w:eastAsia="宋体" w:cs="Times New Roman"/>
      <w:szCs w:val="24"/>
    </w:rPr>
  </w:style>
  <w:style w:type="character" w:styleId="11">
    <w:name w:val="footnote reference"/>
    <w:semiHidden/>
    <w:unhideWhenUsed/>
    <w:qFormat/>
    <w:uiPriority w:val="99"/>
    <w:rPr>
      <w:vertAlign w:val="superscript"/>
    </w:rPr>
  </w:style>
  <w:style w:type="character" w:customStyle="1" w:styleId="12">
    <w:name w:val="页眉 Char"/>
    <w:basedOn w:val="10"/>
    <w:link w:val="5"/>
    <w:qFormat/>
    <w:uiPriority w:val="99"/>
    <w:rPr>
      <w:rFonts w:ascii="Times New Roman" w:hAnsi="Times New Roman" w:eastAsia="宋体" w:cs="Times New Roman"/>
      <w:sz w:val="18"/>
      <w:szCs w:val="18"/>
    </w:rPr>
  </w:style>
  <w:style w:type="character" w:customStyle="1" w:styleId="13">
    <w:name w:val="页脚 Char"/>
    <w:basedOn w:val="10"/>
    <w:link w:val="4"/>
    <w:qFormat/>
    <w:uiPriority w:val="99"/>
    <w:rPr>
      <w:rFonts w:ascii="Times New Roman" w:hAnsi="Times New Roman" w:eastAsia="宋体" w:cs="Times New Roman"/>
      <w:sz w:val="18"/>
      <w:szCs w:val="18"/>
    </w:rPr>
  </w:style>
  <w:style w:type="character" w:customStyle="1" w:styleId="14">
    <w:name w:val="批注框文本 Char"/>
    <w:basedOn w:val="10"/>
    <w:link w:val="3"/>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6">
    <w:name w:val="脚注文本 Char"/>
    <w:basedOn w:val="10"/>
    <w:link w:val="7"/>
    <w:semiHidden/>
    <w:qFormat/>
    <w:uiPriority w:val="99"/>
    <w:rPr>
      <w:rFonts w:ascii="Calibri" w:hAnsi="Calibri" w:eastAsia="宋体" w:cs="Times New Roman"/>
      <w:sz w:val="18"/>
      <w:szCs w:val="18"/>
    </w:rPr>
  </w:style>
  <w:style w:type="paragraph" w:customStyle="1" w:styleId="17">
    <w:name w:val="[Normal]"/>
    <w:next w:val="2"/>
    <w:qFormat/>
    <w:uiPriority w:val="0"/>
    <w:pPr>
      <w:widowControl w:val="0"/>
      <w:autoSpaceDE w:val="0"/>
      <w:autoSpaceDN w:val="0"/>
      <w:adjustRightInd w:val="0"/>
    </w:pPr>
    <w:rPr>
      <w:rFonts w:ascii="宋体" w:hAnsi="Calibri"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1059</Words>
  <Characters>6042</Characters>
  <Lines>50</Lines>
  <Paragraphs>14</Paragraphs>
  <TotalTime>14</TotalTime>
  <ScaleCrop>false</ScaleCrop>
  <LinksUpToDate>false</LinksUpToDate>
  <CharactersWithSpaces>7087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2024-07-22T00:43:45Z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6D01385ECCFB4470B2C7A2749C4CE573</vt:lpwstr>
  </property>
</Properties>
</file>