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bookmarkStart w:id="4" w:name="_GoBack"/>
      <w:r>
        <w:rPr>
          <w:rFonts w:hint="eastAsia" w:ascii="方正小标宋简体" w:hAnsi="Times New Roman" w:eastAsia="方正小标宋简体" w:cs="Times New Roman"/>
          <w:sz w:val="44"/>
          <w:szCs w:val="44"/>
        </w:rPr>
        <w:t>廊坊市广阳区安全生产监督管理局2019年部门预算信息公开</w:t>
      </w:r>
    </w:p>
    <w:bookmarkEnd w:id="4"/>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广阳区安全生产</w:t>
      </w:r>
      <w:r>
        <w:rPr>
          <w:rFonts w:ascii="Times New Roman" w:hAnsi="Times New Roman" w:eastAsia="仿宋_GB2312" w:cs="Times New Roman"/>
          <w:sz w:val="32"/>
          <w:szCs w:val="32"/>
        </w:rPr>
        <w:t>监督管理局2019年部门预算公开如下：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ascii="仿宋_GB2312" w:eastAsia="仿宋_GB2312"/>
          <w:kern w:val="0"/>
          <w:sz w:val="32"/>
        </w:rPr>
        <w:t>1、</w:t>
      </w:r>
      <w:r>
        <w:rPr>
          <w:rFonts w:hint="eastAsia" w:ascii="仿宋_GB2312" w:eastAsia="仿宋_GB2312"/>
          <w:kern w:val="0"/>
          <w:sz w:val="32"/>
        </w:rPr>
        <w:t>承担区政府安全生产委员会办公室的日常工作。</w:t>
      </w:r>
    </w:p>
    <w:p>
      <w:pPr>
        <w:spacing w:line="584" w:lineRule="exact"/>
        <w:ind w:firstLine="640" w:firstLineChars="200"/>
        <w:rPr>
          <w:rFonts w:ascii="仿宋_GB2312" w:eastAsia="仿宋_GB2312"/>
          <w:kern w:val="0"/>
          <w:sz w:val="32"/>
        </w:rPr>
      </w:pPr>
      <w:r>
        <w:rPr>
          <w:rFonts w:ascii="仿宋_GB2312" w:eastAsia="仿宋_GB2312"/>
          <w:kern w:val="0"/>
          <w:sz w:val="32"/>
        </w:rPr>
        <w:t>2、</w:t>
      </w:r>
      <w:r>
        <w:rPr>
          <w:rFonts w:hint="eastAsia" w:ascii="仿宋_GB2312" w:eastAsia="仿宋_GB2312"/>
          <w:kern w:val="0"/>
          <w:sz w:val="32"/>
        </w:rPr>
        <w:t>综合管理全区安全生产工作。组织起草安全生产方面的规范性文件，拟定及审核工矿商贸企业安全生产标准，并组织实施；组织指导全县工矿商贸企业安全生产质量标准化工作。</w:t>
      </w:r>
    </w:p>
    <w:p>
      <w:pPr>
        <w:spacing w:line="584" w:lineRule="exact"/>
        <w:ind w:firstLine="640" w:firstLineChars="200"/>
        <w:rPr>
          <w:rFonts w:ascii="仿宋_GB2312" w:eastAsia="仿宋_GB2312"/>
          <w:kern w:val="0"/>
          <w:sz w:val="32"/>
        </w:rPr>
      </w:pPr>
      <w:r>
        <w:rPr>
          <w:rFonts w:ascii="仿宋_GB2312" w:eastAsia="仿宋_GB2312"/>
          <w:kern w:val="0"/>
          <w:sz w:val="32"/>
        </w:rPr>
        <w:t>3、</w:t>
      </w:r>
      <w:r>
        <w:rPr>
          <w:rFonts w:hint="eastAsia" w:ascii="仿宋_GB2312" w:eastAsia="仿宋_GB2312"/>
          <w:kern w:val="0"/>
          <w:sz w:val="32"/>
        </w:rPr>
        <w:t>依法行使国家安全生产综合监督管理职权，指导、协调和监督有关部门安全生产监督管理工作；拟定全区安全生产发展规划；定期分析和预测全区安全生产形势，研究、协调和解决安全生产中的重大问题。</w:t>
      </w:r>
    </w:p>
    <w:p>
      <w:pPr>
        <w:spacing w:line="584" w:lineRule="exact"/>
        <w:ind w:firstLine="640" w:firstLineChars="200"/>
        <w:rPr>
          <w:rFonts w:ascii="仿宋_GB2312" w:eastAsia="仿宋_GB2312"/>
          <w:kern w:val="0"/>
          <w:sz w:val="32"/>
        </w:rPr>
      </w:pPr>
      <w:r>
        <w:rPr>
          <w:rFonts w:ascii="仿宋_GB2312" w:eastAsia="仿宋_GB2312"/>
          <w:kern w:val="0"/>
          <w:sz w:val="32"/>
        </w:rPr>
        <w:t>4、</w:t>
      </w:r>
      <w:r>
        <w:rPr>
          <w:rFonts w:hint="eastAsia" w:ascii="仿宋_GB2312" w:eastAsia="仿宋_GB2312"/>
          <w:kern w:val="0"/>
          <w:sz w:val="32"/>
        </w:rPr>
        <w:t>负责发布全区安全生产信息，综合管理全区生产安全伤亡事故调查统计和安全生产行政执法分析工作；依法组织、协调重特大事故的调查处理工作，受区政府委托对重特大事故的调查报告进行批复，并监督事故查处的落实情况；组织、指挥和协调安全生产应急救援工作。</w:t>
      </w:r>
    </w:p>
    <w:p>
      <w:pPr>
        <w:spacing w:line="584" w:lineRule="exact"/>
        <w:ind w:firstLine="640" w:firstLineChars="200"/>
        <w:rPr>
          <w:rFonts w:ascii="Times New Roman" w:hAnsi="Times New Roman" w:eastAsia="楷体_GB2312" w:cs="Times New Roman"/>
          <w:b/>
          <w:sz w:val="32"/>
          <w:szCs w:val="32"/>
        </w:rPr>
      </w:pPr>
      <w:r>
        <w:rPr>
          <w:rFonts w:ascii="仿宋_GB2312" w:eastAsia="仿宋_GB2312"/>
          <w:kern w:val="0"/>
          <w:sz w:val="32"/>
        </w:rPr>
        <w:t>5、</w:t>
      </w:r>
      <w:r>
        <w:rPr>
          <w:rFonts w:hint="eastAsia" w:ascii="仿宋_GB2312" w:eastAsia="仿宋_GB2312"/>
          <w:kern w:val="0"/>
          <w:sz w:val="32"/>
        </w:rPr>
        <w:t>负责综合监督管理危险化学品和烟花爆竹安全生产工作。</w:t>
      </w:r>
    </w:p>
    <w:p>
      <w:pPr>
        <w:spacing w:line="584" w:lineRule="exact"/>
        <w:ind w:firstLine="640" w:firstLineChars="200"/>
        <w:rPr>
          <w:rFonts w:ascii="仿宋_GB2312" w:eastAsia="仿宋_GB2312"/>
          <w:kern w:val="0"/>
          <w:sz w:val="32"/>
        </w:rPr>
      </w:pPr>
      <w:r>
        <w:rPr>
          <w:rFonts w:ascii="仿宋_GB2312" w:eastAsia="仿宋_GB2312"/>
          <w:kern w:val="0"/>
          <w:sz w:val="32"/>
        </w:rPr>
        <w:t>6、</w:t>
      </w:r>
      <w:r>
        <w:rPr>
          <w:rFonts w:hint="eastAsia" w:ascii="仿宋_GB2312" w:eastAsia="仿宋_GB2312"/>
          <w:kern w:val="0"/>
          <w:sz w:val="32"/>
        </w:rPr>
        <w:t>指导、协调全区安全生产检测检验工作；组织实施对工矿商贸企业安全生产条件和有关设备（特种设备除外）进行检测检验、安全评价、安全培训、安全咨询等社会中介组织的资质管理工作，并进行监督检查。</w:t>
      </w:r>
    </w:p>
    <w:p>
      <w:pPr>
        <w:spacing w:line="584" w:lineRule="exact"/>
        <w:ind w:firstLine="640" w:firstLineChars="200"/>
        <w:rPr>
          <w:rFonts w:ascii="仿宋_GB2312" w:eastAsia="仿宋_GB2312"/>
          <w:kern w:val="0"/>
          <w:sz w:val="32"/>
        </w:rPr>
      </w:pPr>
      <w:r>
        <w:rPr>
          <w:rFonts w:ascii="仿宋_GB2312" w:eastAsia="仿宋_GB2312"/>
          <w:kern w:val="0"/>
          <w:sz w:val="32"/>
        </w:rPr>
        <w:t>7、</w:t>
      </w:r>
      <w:r>
        <w:rPr>
          <w:rFonts w:hint="eastAsia" w:ascii="仿宋_GB2312" w:eastAsia="仿宋_GB2312"/>
          <w:kern w:val="0"/>
          <w:sz w:val="32"/>
        </w:rPr>
        <w:t>组织、指导全区安全生产宣传教育工作；负责全区安全生产监督管理人员的安全培训、考核工作；依法组织、指导并监督特种作业人员（特种设备作业人员除外）的考核工作和生产经营单位主要经营管理者、安全管理人员的安全资格培训考核工作；监督检查生产经营单位安全培训工作。</w:t>
      </w:r>
    </w:p>
    <w:p>
      <w:pPr>
        <w:spacing w:line="584" w:lineRule="exact"/>
        <w:ind w:firstLine="640" w:firstLineChars="200"/>
        <w:rPr>
          <w:rFonts w:ascii="仿宋_GB2312" w:eastAsia="仿宋_GB2312"/>
          <w:kern w:val="0"/>
          <w:sz w:val="32"/>
        </w:rPr>
      </w:pPr>
      <w:r>
        <w:rPr>
          <w:rFonts w:ascii="仿宋_GB2312" w:eastAsia="仿宋_GB2312"/>
          <w:kern w:val="0"/>
          <w:sz w:val="32"/>
        </w:rPr>
        <w:t>8、</w:t>
      </w:r>
      <w:r>
        <w:rPr>
          <w:rFonts w:hint="eastAsia" w:ascii="仿宋_GB2312" w:eastAsia="仿宋_GB2312"/>
          <w:kern w:val="0"/>
          <w:sz w:val="32"/>
        </w:rPr>
        <w:t>依法监督工矿商贸企业贯彻执行安全生产法律、法规情况及其安全生产条件和有关设备（特种设备除外）、材料、劳动防护用品的安全管理工作。</w:t>
      </w:r>
    </w:p>
    <w:p>
      <w:pPr>
        <w:spacing w:line="584" w:lineRule="exact"/>
        <w:ind w:firstLine="640" w:firstLineChars="200"/>
        <w:rPr>
          <w:rFonts w:ascii="仿宋_GB2312" w:eastAsia="仿宋_GB2312"/>
          <w:kern w:val="0"/>
          <w:sz w:val="32"/>
        </w:rPr>
      </w:pPr>
      <w:r>
        <w:rPr>
          <w:rFonts w:ascii="仿宋_GB2312" w:eastAsia="仿宋_GB2312"/>
          <w:kern w:val="0"/>
          <w:sz w:val="32"/>
        </w:rPr>
        <w:t>9、</w:t>
      </w:r>
      <w:r>
        <w:rPr>
          <w:rFonts w:hint="eastAsia" w:ascii="仿宋_GB2312" w:eastAsia="仿宋_GB2312"/>
          <w:kern w:val="0"/>
          <w:sz w:val="32"/>
        </w:rPr>
        <w:t>依法监督检查新建、改建、扩建工程项目的安全设施与主体工程同时设计、同时施工、同时投产使用（以下简称“三同时”）情况；依法监督检查生产经营单位作业场所职业卫生情况和重大危险源监控、重大事故隐患的整改工作，依法查处不具备安全生产条件的生产经营单位。</w:t>
      </w:r>
    </w:p>
    <w:p>
      <w:pPr>
        <w:spacing w:line="584" w:lineRule="exact"/>
        <w:ind w:firstLine="640" w:firstLineChars="200"/>
        <w:rPr>
          <w:rFonts w:ascii="仿宋_GB2312" w:eastAsia="仿宋_GB2312"/>
          <w:kern w:val="0"/>
          <w:sz w:val="32"/>
        </w:rPr>
      </w:pPr>
      <w:r>
        <w:rPr>
          <w:rFonts w:ascii="仿宋_GB2312" w:eastAsia="仿宋_GB2312"/>
          <w:kern w:val="0"/>
          <w:sz w:val="32"/>
        </w:rPr>
        <w:t>10、</w:t>
      </w:r>
      <w:r>
        <w:rPr>
          <w:rFonts w:hint="eastAsia" w:ascii="仿宋_GB2312" w:eastAsia="仿宋_GB2312"/>
          <w:kern w:val="0"/>
          <w:sz w:val="32"/>
        </w:rPr>
        <w:t>拟定安全生产科技规划，组织、指导安全生产重大科学技术研究和技术示范工作。</w:t>
      </w:r>
    </w:p>
    <w:p>
      <w:pPr>
        <w:spacing w:line="584" w:lineRule="exact"/>
        <w:ind w:firstLine="640" w:firstLineChars="200"/>
        <w:rPr>
          <w:rFonts w:ascii="Times New Roman" w:hAnsi="Times New Roman" w:eastAsia="楷体_GB2312" w:cs="Times New Roman"/>
          <w:b/>
          <w:sz w:val="32"/>
          <w:szCs w:val="32"/>
        </w:rPr>
      </w:pPr>
      <w:r>
        <w:rPr>
          <w:rFonts w:ascii="仿宋_GB2312" w:eastAsia="仿宋_GB2312"/>
          <w:kern w:val="0"/>
          <w:sz w:val="32"/>
        </w:rPr>
        <w:t>11、</w:t>
      </w:r>
      <w:r>
        <w:rPr>
          <w:rFonts w:hint="eastAsia" w:ascii="仿宋_GB2312" w:eastAsia="仿宋_GB2312"/>
          <w:kern w:val="0"/>
          <w:sz w:val="32"/>
        </w:rPr>
        <w:t>负责全区铁路道口安全管理工作。</w:t>
      </w:r>
    </w:p>
    <w:p>
      <w:pPr>
        <w:spacing w:line="584" w:lineRule="exact"/>
        <w:ind w:firstLine="640" w:firstLineChars="200"/>
        <w:rPr>
          <w:rFonts w:ascii="仿宋_GB2312" w:eastAsia="仿宋_GB2312"/>
          <w:kern w:val="0"/>
          <w:sz w:val="32"/>
        </w:rPr>
      </w:pPr>
      <w:r>
        <w:rPr>
          <w:rFonts w:ascii="仿宋_GB2312" w:eastAsia="仿宋_GB2312"/>
          <w:kern w:val="0"/>
          <w:sz w:val="32"/>
        </w:rPr>
        <w:t>12、</w:t>
      </w:r>
      <w:r>
        <w:rPr>
          <w:rFonts w:hint="eastAsia" w:ascii="仿宋_GB2312" w:eastAsia="仿宋_GB2312"/>
          <w:kern w:val="0"/>
          <w:sz w:val="32"/>
        </w:rPr>
        <w:t>组织实施注册安全工程师执业资格制度，监督和指导注册安全工程师执业资格考试和注册工作。</w:t>
      </w:r>
    </w:p>
    <w:p>
      <w:pPr>
        <w:spacing w:line="584" w:lineRule="exact"/>
        <w:ind w:firstLine="640" w:firstLineChars="200"/>
        <w:rPr>
          <w:rFonts w:ascii="Times New Roman" w:hAnsi="Times New Roman" w:eastAsia="楷体_GB2312" w:cs="Times New Roman"/>
          <w:b/>
          <w:sz w:val="32"/>
          <w:szCs w:val="32"/>
        </w:rPr>
      </w:pPr>
      <w:r>
        <w:rPr>
          <w:rFonts w:ascii="仿宋_GB2312" w:eastAsia="仿宋_GB2312"/>
          <w:kern w:val="0"/>
          <w:sz w:val="32"/>
        </w:rPr>
        <w:t>13、</w:t>
      </w:r>
      <w:r>
        <w:rPr>
          <w:rFonts w:hint="eastAsia" w:ascii="仿宋_GB2312" w:eastAsia="仿宋_GB2312"/>
          <w:kern w:val="0"/>
          <w:sz w:val="32"/>
        </w:rPr>
        <w:t>组织开展与区外组织安全生产方面的交流与合作。</w:t>
      </w:r>
    </w:p>
    <w:p>
      <w:pPr>
        <w:spacing w:line="584" w:lineRule="exact"/>
        <w:ind w:firstLine="640" w:firstLineChars="200"/>
        <w:rPr>
          <w:rFonts w:ascii="Times New Roman" w:hAnsi="Times New Roman" w:eastAsia="楷体_GB2312" w:cs="Times New Roman"/>
          <w:b/>
          <w:sz w:val="32"/>
          <w:szCs w:val="32"/>
        </w:rPr>
      </w:pPr>
      <w:r>
        <w:rPr>
          <w:rFonts w:ascii="仿宋_GB2312" w:eastAsia="仿宋_GB2312"/>
          <w:kern w:val="0"/>
          <w:sz w:val="32"/>
        </w:rPr>
        <w:t>14、</w:t>
      </w:r>
      <w:r>
        <w:rPr>
          <w:rFonts w:hint="eastAsia" w:ascii="仿宋_GB2312" w:eastAsia="仿宋_GB2312"/>
          <w:kern w:val="0"/>
          <w:sz w:val="32"/>
        </w:rPr>
        <w:t>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廊坊市广阳区安全生产监督管理局</w:t>
            </w:r>
          </w:p>
        </w:tc>
        <w:tc>
          <w:tcPr>
            <w:tcW w:w="1134" w:type="dxa"/>
            <w:shd w:val="clear" w:color="auto" w:fill="auto"/>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行政</w:t>
            </w:r>
          </w:p>
        </w:tc>
        <w:tc>
          <w:tcPr>
            <w:tcW w:w="1276" w:type="dxa"/>
            <w:shd w:val="clear" w:color="auto" w:fill="auto"/>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正科级</w:t>
            </w:r>
          </w:p>
        </w:tc>
        <w:tc>
          <w:tcPr>
            <w:tcW w:w="2902" w:type="dxa"/>
            <w:shd w:val="clear" w:color="auto" w:fill="auto"/>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财政拨款</w:t>
            </w:r>
          </w:p>
        </w:tc>
      </w:tr>
    </w:tbl>
    <w:p>
      <w:pPr>
        <w:spacing w:line="584" w:lineRule="exact"/>
        <w:jc w:val="center"/>
        <w:outlineLvl w:val="0"/>
        <w:rPr>
          <w:rFonts w:ascii="Times New Roman" w:hAnsi="Times New Roman" w:eastAsia="仿宋_GB2312" w:cs="Times New Roman"/>
          <w:b/>
          <w:sz w:val="32"/>
          <w:szCs w:val="24"/>
        </w:rPr>
      </w:pPr>
    </w:p>
    <w:p>
      <w:pPr>
        <w:pStyle w:val="18"/>
        <w:numPr>
          <w:ilvl w:val="0"/>
          <w:numId w:val="1"/>
        </w:numPr>
        <w:spacing w:line="584" w:lineRule="exact"/>
        <w:ind w:firstLineChars="0"/>
        <w:rPr>
          <w:rFonts w:ascii="Times New Roman" w:hAnsi="Times New Roman" w:eastAsia="黑体" w:cs="Times New Roman"/>
          <w:sz w:val="32"/>
          <w:szCs w:val="32"/>
        </w:rPr>
      </w:pPr>
      <w:r>
        <w:rPr>
          <w:rFonts w:ascii="Times New Roman" w:hAnsi="黑体" w:eastAsia="黑体" w:cs="Times New Roman"/>
          <w:sz w:val="32"/>
          <w:szCs w:val="32"/>
        </w:rPr>
        <w:t>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广阳区安全生产</w:t>
      </w:r>
      <w:r>
        <w:rPr>
          <w:rFonts w:ascii="Times New Roman" w:hAnsi="Times New Roman" w:eastAsia="仿宋_GB2312" w:cs="Times New Roman"/>
          <w:sz w:val="32"/>
          <w:szCs w:val="32"/>
        </w:rPr>
        <w:t>监督管理局机关的收支包含在部门预算中。</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b/>
          <w:sz w:val="32"/>
          <w:szCs w:val="32"/>
        </w:rPr>
        <w:t>收入说明</w:t>
      </w:r>
    </w:p>
    <w:p>
      <w:pPr>
        <w:spacing w:line="584"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669.37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69.37万元，</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广阳区安全生产</w:t>
      </w:r>
      <w:r>
        <w:rPr>
          <w:rFonts w:ascii="Times New Roman" w:hAnsi="Times New Roman" w:eastAsia="仿宋_GB2312" w:cs="Times New Roman"/>
          <w:sz w:val="32"/>
          <w:szCs w:val="32"/>
        </w:rPr>
        <w:t>监督管理局</w:t>
      </w:r>
      <w:r>
        <w:rPr>
          <w:rFonts w:hint="eastAsia" w:ascii="Times New Roman" w:hAnsi="Times New Roman" w:eastAsia="仿宋_GB2312" w:cs="Times New Roman"/>
          <w:sz w:val="32"/>
          <w:szCs w:val="32"/>
        </w:rPr>
        <w:t>2019</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69.37万元，其中基本支出</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69.37万元，包括人员经费</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04.87万元和日常公用经费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64.5万元；项目支出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，其中本级支出0万元。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69.37万元，较201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07.86万元，其中：基本支出增加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30.86万元，主要为</w:t>
      </w:r>
      <w:r>
        <w:rPr>
          <w:rFonts w:hint="eastAsia" w:ascii="Times New Roman" w:hAnsi="Times New Roman" w:eastAsia="仿宋_GB2312" w:cs="Times New Roman"/>
          <w:sz w:val="32"/>
          <w:szCs w:val="32"/>
        </w:rPr>
        <w:t>灾害防治及应急管理</w:t>
      </w:r>
      <w:r>
        <w:rPr>
          <w:rFonts w:ascii="Times New Roman" w:hAnsi="Times New Roman" w:eastAsia="仿宋_GB2312" w:cs="Times New Roman"/>
          <w:sz w:val="32"/>
          <w:szCs w:val="32"/>
        </w:rPr>
        <w:t>支出；项目减少</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3万元，主要为</w:t>
      </w:r>
      <w:r>
        <w:rPr>
          <w:rFonts w:hint="eastAsia" w:ascii="Times New Roman" w:hAnsi="Times New Roman" w:eastAsia="仿宋_GB2312" w:cs="Times New Roman"/>
          <w:sz w:val="32"/>
          <w:szCs w:val="32"/>
        </w:rPr>
        <w:t>专项工作</w:t>
      </w:r>
      <w:r>
        <w:rPr>
          <w:rFonts w:ascii="Times New Roman" w:hAnsi="Times New Roman" w:eastAsia="仿宋_GB2312" w:cs="Times New Roman"/>
          <w:sz w:val="32"/>
          <w:szCs w:val="32"/>
        </w:rPr>
        <w:t>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1.75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3.11万元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3.11万元（其中：公务用车购置费为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3.11万元)；公务接待费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w:t>
      </w:r>
      <w:r>
        <w:rPr>
          <w:rFonts w:ascii="Times New Roman" w:hAnsi="Times New Roman" w:eastAsia="仿宋_GB2312" w:cs="Times New Roman"/>
          <w:sz w:val="32"/>
          <w:szCs w:val="32"/>
        </w:rPr>
        <w:t>.69万元，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.69万元（其中：公务用车购置费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.69万元)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w:t>
      </w:r>
      <w:r>
        <w:rPr>
          <w:rFonts w:hint="eastAsia" w:ascii="仿宋_GB2312" w:hAnsi="宋体" w:eastAsia="仿宋_GB2312"/>
          <w:sz w:val="32"/>
          <w:szCs w:val="32"/>
        </w:rPr>
        <w:t>年，安监局将继续采取有效措施，充分发挥安委办职能作用，严格落实安全生产领导责任、监管责任、主体责任，以安全生产专项整治活动为契机，从保稳定、促发展的高度，警钟长鸣，常抓不懈，继续保持全区安全生产零事故的稳定态势。</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hAnsi="宋体" w:eastAsia="仿宋_GB2312"/>
          <w:sz w:val="32"/>
          <w:szCs w:val="32"/>
        </w:rPr>
        <w:t>（一）组织全县安全生产综合监督管理</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、建设县级隐患排查治理信息系统平台；</w:t>
      </w:r>
    </w:p>
    <w:p>
      <w:pPr>
        <w:spacing w:line="500" w:lineRule="exact"/>
        <w:ind w:firstLine="56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、组织开展安全生产事故专项调查；审核提出安全生产举报奖励意见；开展安全生产宣传教育活动，定期向社会公布安全生产重大事项情况；</w:t>
      </w:r>
    </w:p>
    <w:p>
      <w:pPr>
        <w:spacing w:line="500" w:lineRule="exact"/>
        <w:ind w:firstLine="56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、组织全县安全生产目标管理及考核工作；促进企业全面落实安全生产诚信管理。</w:t>
      </w:r>
    </w:p>
    <w:p>
      <w:pPr>
        <w:spacing w:line="500" w:lineRule="exact"/>
        <w:ind w:firstLine="560"/>
        <w:rPr>
          <w:rFonts w:ascii="仿宋_GB2312" w:eastAsia="仿宋_GB2312"/>
          <w:sz w:val="32"/>
          <w:szCs w:val="32"/>
        </w:rPr>
      </w:pPr>
      <w:r>
        <w:rPr>
          <w:rFonts w:hint="eastAsia" w:ascii="仿宋_GB2312" w:hAnsi="宋体" w:eastAsia="仿宋_GB2312"/>
          <w:sz w:val="32"/>
          <w:szCs w:val="32"/>
        </w:rPr>
        <w:t>（二）重点行业安全生产监管</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、依法对危险化学品和烟花爆竹生产企业、非药品易制毒企业、箱包、制鞋企业实施许可管理；</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、对高危行业企业负责人、安全管理人员安全资格及特种作业人员操作证进行验印审批；</w:t>
      </w:r>
    </w:p>
    <w:p>
      <w:pPr>
        <w:spacing w:line="500" w:lineRule="exact"/>
        <w:ind w:firstLine="56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、对重点行业企业开展安全生产监督和专项整治活动；</w:t>
      </w:r>
    </w:p>
    <w:p>
      <w:pPr>
        <w:spacing w:line="500" w:lineRule="exact"/>
        <w:ind w:firstLine="56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、加强高危行业建设项目安全条件、安全设施设计、职业病防护设施设计审查和竣工验收管理。</w:t>
      </w:r>
    </w:p>
    <w:p>
      <w:pPr>
        <w:spacing w:line="500" w:lineRule="exact"/>
        <w:ind w:firstLine="560"/>
        <w:rPr>
          <w:rFonts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、组织相关建设项目安全设施的设计审查和竣工验收；指导监督相关安全标准化工作；</w:t>
      </w:r>
    </w:p>
    <w:p>
      <w:pPr>
        <w:spacing w:line="500" w:lineRule="exact"/>
        <w:ind w:firstLine="560"/>
        <w:rPr>
          <w:rFonts w:ascii="仿宋_GB2312" w:eastAsia="仿宋_GB2312"/>
          <w:sz w:val="32"/>
          <w:szCs w:val="32"/>
        </w:rPr>
      </w:pPr>
      <w:r>
        <w:rPr>
          <w:rFonts w:hint="eastAsia" w:ascii="仿宋_GB2312" w:hAnsi="宋体" w:eastAsia="仿宋_GB2312"/>
          <w:sz w:val="32"/>
          <w:szCs w:val="32"/>
        </w:rPr>
        <w:t>（三）组织指挥和协调全县安全生产应急救援</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、组织指导全县安全生产应急救援预案编制和备案管理，结合事故多发、易发，应急管理基础薄弱的地区、领域、时段、岗位等重点，组织开展实战化应急演练。</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贯彻执行国家、省安全生产方面法律法规，组织起草相关的地方性文件，拟订安全生产制度和规划，指导协调全区安全生产工作，分析和预测全区安全生产形势，发布全区安全生产信息，研究、协调和解决安全生产中的重大问题。负责拟订和组织实施安全生产应急救援管理制度。</w:t>
      </w:r>
    </w:p>
    <w:p>
      <w:pPr>
        <w:spacing w:line="500" w:lineRule="exact"/>
        <w:ind w:firstLine="560"/>
        <w:rPr>
          <w:rFonts w:ascii="仿宋_GB2312" w:eastAsia="仿宋_GB2312"/>
          <w:sz w:val="32"/>
          <w:szCs w:val="32"/>
        </w:rPr>
      </w:pPr>
      <w:r>
        <w:rPr>
          <w:rFonts w:hint="eastAsia" w:ascii="仿宋_GB2312" w:hAnsi="宋体" w:eastAsia="仿宋_GB2312"/>
          <w:sz w:val="32"/>
          <w:szCs w:val="32"/>
        </w:rPr>
        <w:t>（四）安全生产政务管理</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、定期做好安全生产培训，编制安全生产材料，聘请专家依据新安法的要求进行组织培训，尤其是对危化重点行业。</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、做好会议组织管理、信息化建设与维护、机关财务和资产管理、标准化建设、基建及维修、视频会议系统建设、执法及车辆装备、大型设备购置、人事管理、党务管理、老干部工作等。</w:t>
      </w:r>
    </w:p>
    <w:p>
      <w:pPr>
        <w:spacing w:line="500" w:lineRule="exact"/>
        <w:ind w:firstLine="56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、负责直属企事业单位管理工作。</w:t>
      </w:r>
    </w:p>
    <w:p>
      <w:pPr>
        <w:spacing w:line="500" w:lineRule="exact"/>
        <w:ind w:firstLine="56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、对于举报安全生产隐患问题的个人和单位进行有偿奖励。</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721廊坊市广阳区安全生产监督管理局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一、组织全县安全生产综合监督管理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承担全县安全生产综合监督管理责任，依法行使综合监督管理职权；根据《</w:t>
            </w:r>
            <w:r>
              <w:rPr>
                <w:rFonts w:hint="eastAsia" w:ascii="仿宋_GB2312" w:eastAsia="仿宋_GB2312"/>
                <w:szCs w:val="21"/>
                <w:lang w:eastAsia="zh-CN"/>
              </w:rPr>
              <w:t>中华人民共和国</w:t>
            </w:r>
            <w:r>
              <w:rPr>
                <w:rFonts w:hint="eastAsia" w:ascii="仿宋_GB2312" w:eastAsia="仿宋_GB2312"/>
                <w:szCs w:val="21"/>
              </w:rPr>
              <w:t>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辨识与评估及登记建档、备案与核销等安全管理。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组织制订全县各行业</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1、加强安全生产执法监察检查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督导检查全县安全生产，最大限度地发现、纠正、督促企业消除各类隐患，预防和减少事故的发生，确保全县安全生产形势持续稳定好转。科学准确进行重大危险源等级界定；有效开展监测数据的综合分析、数据发布工作；督促企业切实加强危险源监控，有效治理隐患，落实监管责任。开展职业病危害严重行业的专项治理，组织职业病危害项目申报工作，查处用人单位职业病危害事故和违法行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隐患整改率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生产经营单位（含涉职企业）执法检查率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重大危险源辨识、分级建档及备案数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2、构建和完善安全生产监管体系</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基本建成全县安全生产隐患排查治理体系</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信息平台功能实现率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隐患排查监管覆盖率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安全培训达标率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安全生产标准化达标率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诚信等级评定覆盖率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安全事故有效处理率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专项抽查覆盖率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二、重点行业安全生产监管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                      乡镇安监站标准化建设</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1、加强高危重点行业、商贸及金属非金属矿山安全生产监管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严格审查企业的安全生产条件，从源头把好企业准入关，消除事故隐患，提升企业安全管理水平，确保我县安全生产形势稳定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工矿商贸行业整治率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隐患整改率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事故发生数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认真排查高危生产经营企业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危险化学品等企业隐患整改率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2、乡镇安监站标准化建设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健全乡镇安全监管机制建设、强化乡镇安全监管队伍建设、稳定乡镇安全监管人员队伍、加大安全监管财政保障力度、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明确各乡镇安全站职责，确保我县安全生产形势稳定及安全监管监察到位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监管队伍人员业务培训</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≥33人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≥28人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监管机制制度建设情况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≤11个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监管人员建设人数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≥33人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≥28人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三、组织指挥和协调全县安全生产应急救援</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安全生产指导预案编制和备案管理，组织应急救援演练，组织协调全县安全生产救援工作。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1、组织应急预案编制及应急演练</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组织指导全县安全生产应急救援预案编制和备案管理，结合事故多发、易发，应急管理基础薄弱的地区、领域、时段、岗位等重点，组织开展实战化应急演练。</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应急预案的管理与实施，及时组织锻炼应急救援队伍，切实提升应急处置能力。理顺应急救援工作机制，推动应急救援指挥中心和应急平台建设，提高突发事件的应急救援能力，保证政府及时采取应对措施，避免或降低事故及其危害程度。增强组织协调能力，提高应急救援效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应急救援演练完成率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应急基地演练完成次数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应急演练次数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四、安全生产政务管理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编制安全生产规划，开展安全生产调研和相关政策制订；开展对外合作交流；加强行政审批管理；开展行政复议及行政应诉工作等；为保障机关履行安全生产监管基本职责提供必要条件。</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定期做好安全生产培训，编制安全生产材料，聘请专家依据新安法的要求进行组织培训，尤其是对危化重点行业。        做好会议组织管理、信息化建设与维护、机关财务和资产管理、标准化建设、基建及维修、视频会议系统建设、执法及车辆装备、大型设备购置、人事管理、党务管理、老干部工作等。负责直属企事业单位管理工作。                            对于举报安全生产隐患问题的个人和单位进行有偿奖励。</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加强专项资金监管；开展对外合作交流；加强安全生产审批管理；开展行政复议及行政应诉工作；信访接待、业务宣传、政务信息公开等工作；开展网上行政服务；依法行政等。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保障各项业务工作畅通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信息化建设完成个数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r>
      <w:bookmarkEnd w:id="0"/>
    </w:tbl>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黑体" w:eastAsia="黑体" w:cs="Times New Roman"/>
          <w:sz w:val="32"/>
          <w:szCs w:val="32"/>
        </w:rPr>
      </w:pP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w:t>
      </w:r>
      <w:r>
        <w:rPr>
          <w:rFonts w:ascii="Times New Roman" w:hAnsi="Times New Roman" w:eastAsia="仿宋_GB2312" w:cs="Times New Roman"/>
          <w:sz w:val="32"/>
          <w:szCs w:val="24"/>
        </w:rPr>
        <w:t>6.4万元。具体内容见下表。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81"/>
        <w:gridCol w:w="818"/>
        <w:gridCol w:w="1704"/>
        <w:gridCol w:w="1058"/>
        <w:gridCol w:w="720"/>
        <w:gridCol w:w="740"/>
        <w:gridCol w:w="950"/>
        <w:gridCol w:w="956"/>
        <w:gridCol w:w="956"/>
        <w:gridCol w:w="956"/>
        <w:gridCol w:w="790"/>
        <w:gridCol w:w="924"/>
        <w:gridCol w:w="929"/>
        <w:gridCol w:w="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721廊坊市广阳区安全生产监督</w:t>
            </w:r>
            <w:r>
              <w:rPr>
                <w:rFonts w:ascii="Times New Roman" w:hAnsi="Times New Roman" w:eastAsia="仿宋_GB2312" w:cs="Times New Roman"/>
                <w:sz w:val="24"/>
              </w:rPr>
              <w:t>管理局</w:t>
            </w:r>
          </w:p>
        </w:tc>
        <w:tc>
          <w:tcPr>
            <w:tcW w:w="219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2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585"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6"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4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28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58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4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8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58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281" w:type="pct"/>
            <w:shd w:val="clear" w:color="auto" w:fill="auto"/>
            <w:vAlign w:val="center"/>
          </w:tcPr>
          <w:p>
            <w:pPr>
              <w:spacing w:line="584" w:lineRule="exact"/>
              <w:jc w:val="right"/>
              <w:rPr>
                <w:rFonts w:ascii="Times New Roman" w:hAnsi="Times New Roman" w:eastAsia="仿宋_GB2312" w:cs="Times New Roman"/>
                <w:b/>
              </w:rPr>
            </w:pPr>
          </w:p>
        </w:tc>
        <w:tc>
          <w:tcPr>
            <w:tcW w:w="585" w:type="pct"/>
            <w:shd w:val="clear" w:color="auto" w:fill="auto"/>
            <w:vAlign w:val="center"/>
          </w:tcPr>
          <w:p>
            <w:pPr>
              <w:spacing w:line="584" w:lineRule="exact"/>
              <w:jc w:val="left"/>
              <w:rPr>
                <w:rFonts w:ascii="Times New Roman" w:hAnsi="Times New Roman" w:eastAsia="仿宋_GB2312" w:cs="Times New Roman"/>
                <w:b/>
              </w:rPr>
            </w:pPr>
          </w:p>
        </w:tc>
        <w:tc>
          <w:tcPr>
            <w:tcW w:w="363" w:type="pct"/>
            <w:shd w:val="clear" w:color="auto" w:fill="auto"/>
            <w:vAlign w:val="center"/>
          </w:tcPr>
          <w:p>
            <w:pPr>
              <w:spacing w:line="584" w:lineRule="exact"/>
              <w:jc w:val="left"/>
              <w:rPr>
                <w:rFonts w:ascii="Times New Roman" w:hAnsi="Times New Roman" w:eastAsia="仿宋_GB2312" w:cs="Times New Roman"/>
                <w:b/>
              </w:rPr>
            </w:pPr>
          </w:p>
        </w:tc>
        <w:tc>
          <w:tcPr>
            <w:tcW w:w="247" w:type="pct"/>
            <w:tcBorders>
              <w:right w:val="single" w:color="auto" w:sz="4" w:space="0"/>
            </w:tcBorders>
            <w:shd w:val="clear" w:color="auto" w:fill="auto"/>
            <w:vAlign w:val="center"/>
          </w:tcPr>
          <w:p>
            <w:pPr>
              <w:spacing w:line="584" w:lineRule="exact"/>
              <w:jc w:val="left"/>
              <w:rPr>
                <w:rFonts w:ascii="Times New Roman" w:hAnsi="Times New Roman" w:eastAsia="仿宋_GB2312" w:cs="Times New Roman"/>
                <w:b/>
              </w:rPr>
            </w:pPr>
          </w:p>
        </w:tc>
        <w:tc>
          <w:tcPr>
            <w:tcW w:w="254" w:type="pct"/>
            <w:tcBorders>
              <w:left w:val="single" w:color="auto" w:sz="4" w:space="0"/>
              <w:right w:val="single" w:color="auto" w:sz="4" w:space="0"/>
            </w:tcBorders>
            <w:shd w:val="clear" w:color="auto" w:fill="auto"/>
            <w:vAlign w:val="center"/>
          </w:tcPr>
          <w:p>
            <w:pPr>
              <w:spacing w:line="584" w:lineRule="exact"/>
              <w:jc w:val="right"/>
              <w:rPr>
                <w:rFonts w:ascii="Times New Roman" w:hAnsi="Times New Roman" w:eastAsia="仿宋_GB2312" w:cs="Times New Roman"/>
                <w:b/>
              </w:rPr>
            </w:pPr>
          </w:p>
        </w:tc>
        <w:tc>
          <w:tcPr>
            <w:tcW w:w="326" w:type="pct"/>
            <w:tcBorders>
              <w:left w:val="single" w:color="auto" w:sz="4" w:space="0"/>
              <w:right w:val="single" w:color="auto" w:sz="4" w:space="0"/>
            </w:tcBorders>
            <w:shd w:val="clear" w:color="auto" w:fill="auto"/>
            <w:vAlign w:val="center"/>
          </w:tcPr>
          <w:p>
            <w:pPr>
              <w:spacing w:line="584" w:lineRule="exact"/>
              <w:jc w:val="right"/>
              <w:rPr>
                <w:rFonts w:ascii="Times New Roman" w:hAnsi="Times New Roman" w:eastAsia="仿宋_GB2312" w:cs="Times New Roman"/>
                <w:b/>
              </w:rPr>
            </w:pPr>
          </w:p>
        </w:tc>
        <w:tc>
          <w:tcPr>
            <w:tcW w:w="328" w:type="pct"/>
            <w:tcBorders>
              <w:left w:val="single" w:color="auto" w:sz="4" w:space="0"/>
              <w:right w:val="single" w:color="auto" w:sz="4" w:space="0"/>
            </w:tcBorders>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16.4</w:t>
            </w:r>
          </w:p>
        </w:tc>
        <w:tc>
          <w:tcPr>
            <w:tcW w:w="328" w:type="pct"/>
            <w:tcBorders>
              <w:left w:val="single" w:color="auto" w:sz="4" w:space="0"/>
              <w:right w:val="single" w:color="auto" w:sz="4" w:space="0"/>
            </w:tcBorders>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16.4</w:t>
            </w:r>
          </w:p>
        </w:tc>
        <w:tc>
          <w:tcPr>
            <w:tcW w:w="328" w:type="pct"/>
            <w:tcBorders>
              <w:left w:val="single" w:color="auto" w:sz="4" w:space="0"/>
            </w:tcBorders>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16.4</w:t>
            </w: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4"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spacing w:line="584" w:lineRule="exact"/>
              <w:jc w:val="right"/>
              <w:rPr>
                <w:rFonts w:ascii="仿宋_GB2312" w:eastAsia="仿宋_GB2312"/>
                <w:sz w:val="18"/>
                <w:szCs w:val="18"/>
              </w:rPr>
            </w:pPr>
          </w:p>
        </w:tc>
        <w:tc>
          <w:tcPr>
            <w:tcW w:w="585" w:type="pct"/>
            <w:shd w:val="clear" w:color="auto" w:fill="auto"/>
            <w:vAlign w:val="center"/>
          </w:tcPr>
          <w:p>
            <w:pPr>
              <w:spacing w:line="584" w:lineRule="exact"/>
              <w:jc w:val="right"/>
              <w:rPr>
                <w:rFonts w:ascii="仿宋_GB2312" w:eastAsia="仿宋_GB2312"/>
                <w:sz w:val="18"/>
                <w:szCs w:val="18"/>
              </w:rPr>
            </w:pPr>
            <w:r>
              <w:rPr>
                <w:rFonts w:hint="eastAsia" w:ascii="仿宋_GB2312" w:eastAsia="仿宋_GB2312"/>
                <w:sz w:val="18"/>
                <w:szCs w:val="18"/>
              </w:rPr>
              <w:t>计算机设备</w:t>
            </w:r>
          </w:p>
        </w:tc>
        <w:tc>
          <w:tcPr>
            <w:tcW w:w="363" w:type="pct"/>
            <w:tcBorders>
              <w:bottom w:val="single" w:color="auto" w:sz="4" w:space="0"/>
            </w:tcBorders>
            <w:shd w:val="clear" w:color="auto" w:fill="auto"/>
            <w:vAlign w:val="center"/>
          </w:tcPr>
          <w:p>
            <w:pPr>
              <w:spacing w:line="584" w:lineRule="exact"/>
              <w:jc w:val="left"/>
              <w:rPr>
                <w:rFonts w:ascii="仿宋_GB2312" w:hAnsi="Times New Roman" w:eastAsia="仿宋_GB2312" w:cs="Times New Roman"/>
                <w:b/>
              </w:rPr>
            </w:pPr>
          </w:p>
        </w:tc>
        <w:tc>
          <w:tcPr>
            <w:tcW w:w="247" w:type="pct"/>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sz w:val="18"/>
                <w:szCs w:val="18"/>
              </w:rPr>
            </w:pPr>
            <w:r>
              <w:rPr>
                <w:rFonts w:hint="eastAsia" w:ascii="仿宋_GB2312" w:eastAsia="仿宋_GB2312"/>
                <w:sz w:val="18"/>
                <w:szCs w:val="18"/>
              </w:rPr>
              <w:t>台</w:t>
            </w:r>
          </w:p>
        </w:tc>
        <w:tc>
          <w:tcPr>
            <w:tcW w:w="254"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6.00</w:t>
            </w:r>
          </w:p>
        </w:tc>
        <w:tc>
          <w:tcPr>
            <w:tcW w:w="326" w:type="pct"/>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0.50</w:t>
            </w:r>
          </w:p>
        </w:tc>
        <w:tc>
          <w:tcPr>
            <w:tcW w:w="328" w:type="pct"/>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3.00</w:t>
            </w:r>
          </w:p>
        </w:tc>
        <w:tc>
          <w:tcPr>
            <w:tcW w:w="328" w:type="pct"/>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3.00</w:t>
            </w:r>
          </w:p>
        </w:tc>
        <w:tc>
          <w:tcPr>
            <w:tcW w:w="328" w:type="pct"/>
            <w:tcBorders>
              <w:top w:val="nil"/>
              <w:left w:val="single" w:color="auto" w:sz="4" w:space="0"/>
              <w:bottom w:val="single" w:color="auto" w:sz="4" w:space="0"/>
              <w:right w:val="nil"/>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3.00</w:t>
            </w:r>
          </w:p>
        </w:tc>
        <w:tc>
          <w:tcPr>
            <w:tcW w:w="271" w:type="pct"/>
            <w:tcBorders>
              <w:bottom w:val="single" w:color="auto" w:sz="4" w:space="0"/>
            </w:tcBorders>
            <w:shd w:val="clear" w:color="auto" w:fill="auto"/>
            <w:vAlign w:val="center"/>
          </w:tcPr>
          <w:p>
            <w:pPr>
              <w:spacing w:line="584" w:lineRule="exact"/>
              <w:jc w:val="right"/>
              <w:rPr>
                <w:rFonts w:ascii="仿宋_GB2312" w:eastAsia="仿宋_GB2312"/>
                <w:sz w:val="18"/>
                <w:szCs w:val="18"/>
              </w:rPr>
            </w:pPr>
          </w:p>
        </w:tc>
        <w:tc>
          <w:tcPr>
            <w:tcW w:w="317" w:type="pct"/>
            <w:tcBorders>
              <w:bottom w:val="single" w:color="auto" w:sz="4" w:space="0"/>
            </w:tcBorders>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b/>
              </w:rPr>
            </w:pPr>
          </w:p>
        </w:tc>
        <w:tc>
          <w:tcPr>
            <w:tcW w:w="304" w:type="pct"/>
            <w:shd w:val="clear" w:color="auto" w:fill="auto"/>
            <w:vAlign w:val="center"/>
          </w:tcPr>
          <w:p>
            <w:pPr>
              <w:spacing w:line="584" w:lineRule="exact"/>
              <w:jc w:val="right"/>
              <w:rPr>
                <w:rFonts w:ascii="仿宋_GB2312"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widowControl/>
              <w:jc w:val="right"/>
              <w:rPr>
                <w:rFonts w:ascii="仿宋_GB2312" w:eastAsia="仿宋_GB2312"/>
                <w:sz w:val="18"/>
                <w:szCs w:val="18"/>
              </w:rPr>
            </w:pPr>
          </w:p>
        </w:tc>
        <w:tc>
          <w:tcPr>
            <w:tcW w:w="585"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计算机设备</w:t>
            </w:r>
          </w:p>
        </w:tc>
        <w:tc>
          <w:tcPr>
            <w:tcW w:w="363" w:type="pct"/>
            <w:tcBorders>
              <w:top w:val="single" w:color="auto" w:sz="4" w:space="0"/>
              <w:bottom w:val="single" w:color="auto" w:sz="4" w:space="0"/>
            </w:tcBorders>
            <w:shd w:val="clear" w:color="auto" w:fill="auto"/>
            <w:vAlign w:val="center"/>
          </w:tcPr>
          <w:p>
            <w:pPr>
              <w:spacing w:line="584" w:lineRule="exact"/>
              <w:jc w:val="left"/>
              <w:rPr>
                <w:rFonts w:ascii="仿宋_GB2312" w:hAnsi="Times New Roman" w:eastAsia="仿宋_GB2312" w:cs="Times New Roman"/>
              </w:rPr>
            </w:pPr>
          </w:p>
        </w:tc>
        <w:tc>
          <w:tcPr>
            <w:tcW w:w="247" w:type="pct"/>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台</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6.00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0.25</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1.50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1.50</w:t>
            </w:r>
          </w:p>
        </w:tc>
        <w:tc>
          <w:tcPr>
            <w:tcW w:w="328" w:type="pct"/>
            <w:tcBorders>
              <w:top w:val="single" w:color="auto" w:sz="4" w:space="0"/>
              <w:left w:val="single" w:color="auto" w:sz="4" w:space="0"/>
              <w:bottom w:val="single" w:color="auto" w:sz="4" w:space="0"/>
              <w:right w:val="nil"/>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1.50</w:t>
            </w:r>
          </w:p>
        </w:tc>
        <w:tc>
          <w:tcPr>
            <w:tcW w:w="271" w:type="pct"/>
            <w:tcBorders>
              <w:top w:val="single" w:color="auto" w:sz="4" w:space="0"/>
              <w:bottom w:val="single" w:color="auto" w:sz="4" w:space="0"/>
            </w:tcBorders>
            <w:shd w:val="clear" w:color="auto" w:fill="auto"/>
            <w:vAlign w:val="center"/>
          </w:tcPr>
          <w:p>
            <w:pPr>
              <w:spacing w:line="584" w:lineRule="exact"/>
              <w:jc w:val="right"/>
              <w:rPr>
                <w:rFonts w:ascii="仿宋_GB2312" w:eastAsia="仿宋_GB2312"/>
                <w:sz w:val="18"/>
                <w:szCs w:val="18"/>
              </w:rPr>
            </w:pPr>
          </w:p>
        </w:tc>
        <w:tc>
          <w:tcPr>
            <w:tcW w:w="317" w:type="pct"/>
            <w:tcBorders>
              <w:top w:val="single" w:color="auto" w:sz="4" w:space="0"/>
            </w:tcBorders>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rPr>
            </w:pPr>
          </w:p>
        </w:tc>
        <w:tc>
          <w:tcPr>
            <w:tcW w:w="304"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widowControl/>
              <w:jc w:val="right"/>
              <w:rPr>
                <w:rFonts w:ascii="仿宋_GB2312" w:eastAsia="仿宋_GB2312"/>
                <w:sz w:val="18"/>
                <w:szCs w:val="18"/>
              </w:rPr>
            </w:pPr>
          </w:p>
        </w:tc>
        <w:tc>
          <w:tcPr>
            <w:tcW w:w="585"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复印机</w:t>
            </w:r>
          </w:p>
        </w:tc>
        <w:tc>
          <w:tcPr>
            <w:tcW w:w="363" w:type="pct"/>
            <w:tcBorders>
              <w:bottom w:val="single" w:color="auto" w:sz="4" w:space="0"/>
            </w:tcBorders>
            <w:shd w:val="clear" w:color="auto" w:fill="auto"/>
            <w:vAlign w:val="center"/>
          </w:tcPr>
          <w:p>
            <w:pPr>
              <w:spacing w:line="584" w:lineRule="exact"/>
              <w:jc w:val="left"/>
              <w:rPr>
                <w:rFonts w:ascii="仿宋_GB2312" w:hAnsi="Times New Roman" w:eastAsia="仿宋_GB2312" w:cs="Times New Roman"/>
              </w:rPr>
            </w:pPr>
          </w:p>
        </w:tc>
        <w:tc>
          <w:tcPr>
            <w:tcW w:w="247" w:type="pct"/>
            <w:tcBorders>
              <w:top w:val="nil"/>
              <w:left w:val="nil"/>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台</w:t>
            </w:r>
          </w:p>
        </w:tc>
        <w:tc>
          <w:tcPr>
            <w:tcW w:w="254" w:type="pct"/>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2.00</w:t>
            </w:r>
          </w:p>
        </w:tc>
        <w:tc>
          <w:tcPr>
            <w:tcW w:w="326" w:type="pct"/>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2.00</w:t>
            </w:r>
          </w:p>
        </w:tc>
        <w:tc>
          <w:tcPr>
            <w:tcW w:w="328" w:type="pct"/>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4.00</w:t>
            </w:r>
          </w:p>
        </w:tc>
        <w:tc>
          <w:tcPr>
            <w:tcW w:w="328" w:type="pct"/>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4.00</w:t>
            </w:r>
          </w:p>
        </w:tc>
        <w:tc>
          <w:tcPr>
            <w:tcW w:w="328" w:type="pct"/>
            <w:tcBorders>
              <w:top w:val="nil"/>
              <w:left w:val="single" w:color="auto" w:sz="4" w:space="0"/>
              <w:bottom w:val="single" w:color="auto" w:sz="4" w:space="0"/>
              <w:right w:val="nil"/>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4.00</w:t>
            </w:r>
          </w:p>
        </w:tc>
        <w:tc>
          <w:tcPr>
            <w:tcW w:w="271" w:type="pct"/>
            <w:tcBorders>
              <w:bottom w:val="single" w:color="auto" w:sz="4" w:space="0"/>
            </w:tcBorders>
            <w:shd w:val="clear" w:color="auto" w:fill="auto"/>
            <w:vAlign w:val="center"/>
          </w:tcPr>
          <w:p>
            <w:pPr>
              <w:spacing w:line="584" w:lineRule="exact"/>
              <w:jc w:val="right"/>
              <w:rPr>
                <w:rFonts w:ascii="仿宋_GB2312" w:eastAsia="仿宋_GB2312"/>
                <w:sz w:val="18"/>
                <w:szCs w:val="18"/>
              </w:rPr>
            </w:pPr>
          </w:p>
        </w:tc>
        <w:tc>
          <w:tcPr>
            <w:tcW w:w="317" w:type="pct"/>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rPr>
            </w:pPr>
          </w:p>
        </w:tc>
        <w:tc>
          <w:tcPr>
            <w:tcW w:w="304"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widowControl/>
              <w:jc w:val="right"/>
              <w:rPr>
                <w:rFonts w:ascii="仿宋_GB2312" w:eastAsia="仿宋_GB2312"/>
                <w:sz w:val="18"/>
                <w:szCs w:val="18"/>
              </w:rPr>
            </w:pPr>
          </w:p>
        </w:tc>
        <w:tc>
          <w:tcPr>
            <w:tcW w:w="585"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多功能一体机</w:t>
            </w:r>
          </w:p>
        </w:tc>
        <w:tc>
          <w:tcPr>
            <w:tcW w:w="363" w:type="pct"/>
            <w:tcBorders>
              <w:top w:val="single" w:color="auto" w:sz="4" w:space="0"/>
              <w:bottom w:val="single" w:color="auto" w:sz="4" w:space="0"/>
            </w:tcBorders>
            <w:shd w:val="clear" w:color="auto" w:fill="auto"/>
            <w:vAlign w:val="center"/>
          </w:tcPr>
          <w:p>
            <w:pPr>
              <w:spacing w:line="584" w:lineRule="exact"/>
              <w:jc w:val="left"/>
              <w:rPr>
                <w:rFonts w:ascii="仿宋_GB2312" w:hAnsi="Times New Roman" w:eastAsia="仿宋_GB2312" w:cs="Times New Roman"/>
              </w:rPr>
            </w:pPr>
          </w:p>
        </w:tc>
        <w:tc>
          <w:tcPr>
            <w:tcW w:w="247" w:type="pct"/>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台</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4.00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0.30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1.20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1.20</w:t>
            </w:r>
          </w:p>
        </w:tc>
        <w:tc>
          <w:tcPr>
            <w:tcW w:w="328" w:type="pct"/>
            <w:tcBorders>
              <w:top w:val="single" w:color="auto" w:sz="4" w:space="0"/>
              <w:left w:val="single" w:color="auto" w:sz="4" w:space="0"/>
              <w:bottom w:val="single" w:color="auto" w:sz="4" w:space="0"/>
              <w:right w:val="nil"/>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1.20</w:t>
            </w:r>
          </w:p>
        </w:tc>
        <w:tc>
          <w:tcPr>
            <w:tcW w:w="271" w:type="pct"/>
            <w:tcBorders>
              <w:top w:val="single" w:color="auto" w:sz="4" w:space="0"/>
            </w:tcBorders>
            <w:shd w:val="clear" w:color="auto" w:fill="auto"/>
            <w:vAlign w:val="center"/>
          </w:tcPr>
          <w:p>
            <w:pPr>
              <w:spacing w:line="584" w:lineRule="exact"/>
              <w:jc w:val="right"/>
              <w:rPr>
                <w:rFonts w:ascii="仿宋_GB2312" w:eastAsia="仿宋_GB2312"/>
                <w:sz w:val="18"/>
                <w:szCs w:val="18"/>
              </w:rPr>
            </w:pPr>
          </w:p>
        </w:tc>
        <w:tc>
          <w:tcPr>
            <w:tcW w:w="317" w:type="pct"/>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rPr>
            </w:pPr>
          </w:p>
        </w:tc>
        <w:tc>
          <w:tcPr>
            <w:tcW w:w="304"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749" w:type="pct"/>
            <w:vMerge w:val="restar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vMerge w:val="restart"/>
            <w:shd w:val="clear" w:color="auto" w:fill="auto"/>
            <w:vAlign w:val="center"/>
          </w:tcPr>
          <w:p>
            <w:pPr>
              <w:widowControl/>
              <w:jc w:val="right"/>
              <w:rPr>
                <w:rFonts w:ascii="仿宋_GB2312" w:eastAsia="仿宋_GB2312"/>
                <w:sz w:val="18"/>
                <w:szCs w:val="18"/>
              </w:rPr>
            </w:pPr>
          </w:p>
        </w:tc>
        <w:tc>
          <w:tcPr>
            <w:tcW w:w="585" w:type="pct"/>
            <w:vMerge w:val="restar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空调机</w:t>
            </w:r>
          </w:p>
        </w:tc>
        <w:tc>
          <w:tcPr>
            <w:tcW w:w="363" w:type="pct"/>
            <w:tcBorders>
              <w:top w:val="single" w:color="auto" w:sz="4" w:space="0"/>
              <w:bottom w:val="single" w:color="auto" w:sz="4" w:space="0"/>
            </w:tcBorders>
            <w:shd w:val="clear" w:color="auto" w:fill="auto"/>
            <w:vAlign w:val="center"/>
          </w:tcPr>
          <w:p>
            <w:pPr>
              <w:spacing w:line="584" w:lineRule="exact"/>
              <w:jc w:val="left"/>
              <w:rPr>
                <w:rFonts w:ascii="仿宋_GB2312" w:hAnsi="Times New Roman" w:eastAsia="仿宋_GB2312" w:cs="Times New Roman"/>
              </w:rPr>
            </w:pPr>
          </w:p>
        </w:tc>
        <w:tc>
          <w:tcPr>
            <w:tcW w:w="247" w:type="pct"/>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台</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3.00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0.40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1.20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1.20</w:t>
            </w:r>
          </w:p>
        </w:tc>
        <w:tc>
          <w:tcPr>
            <w:tcW w:w="328" w:type="pct"/>
            <w:tcBorders>
              <w:top w:val="single" w:color="auto" w:sz="4" w:space="0"/>
              <w:left w:val="single" w:color="auto" w:sz="4" w:space="0"/>
              <w:bottom w:val="single" w:color="auto" w:sz="4" w:space="0"/>
              <w:right w:val="nil"/>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1.20</w:t>
            </w:r>
          </w:p>
        </w:tc>
        <w:tc>
          <w:tcPr>
            <w:tcW w:w="271" w:type="pct"/>
            <w:tcBorders>
              <w:bottom w:val="single" w:color="auto" w:sz="4" w:space="0"/>
            </w:tcBorders>
            <w:shd w:val="clear" w:color="auto" w:fill="auto"/>
            <w:vAlign w:val="center"/>
          </w:tcPr>
          <w:p>
            <w:pPr>
              <w:spacing w:line="584" w:lineRule="exact"/>
              <w:jc w:val="right"/>
              <w:rPr>
                <w:rFonts w:ascii="仿宋_GB2312" w:eastAsia="仿宋_GB2312"/>
                <w:sz w:val="18"/>
                <w:szCs w:val="18"/>
              </w:rPr>
            </w:pPr>
          </w:p>
        </w:tc>
        <w:tc>
          <w:tcPr>
            <w:tcW w:w="317" w:type="pct"/>
            <w:vMerge w:val="restart"/>
            <w:shd w:val="clear" w:color="auto" w:fill="auto"/>
            <w:vAlign w:val="center"/>
          </w:tcPr>
          <w:p>
            <w:pPr>
              <w:spacing w:line="584" w:lineRule="exact"/>
              <w:jc w:val="right"/>
              <w:rPr>
                <w:rFonts w:ascii="仿宋_GB2312" w:eastAsia="仿宋_GB2312"/>
                <w:sz w:val="18"/>
                <w:szCs w:val="18"/>
              </w:rPr>
            </w:pPr>
          </w:p>
        </w:tc>
        <w:tc>
          <w:tcPr>
            <w:tcW w:w="319" w:type="pct"/>
            <w:vMerge w:val="restart"/>
            <w:shd w:val="clear" w:color="auto" w:fill="auto"/>
            <w:vAlign w:val="center"/>
          </w:tcPr>
          <w:p>
            <w:pPr>
              <w:spacing w:line="584" w:lineRule="exact"/>
              <w:jc w:val="right"/>
              <w:rPr>
                <w:rFonts w:ascii="仿宋_GB2312" w:hAnsi="Times New Roman" w:eastAsia="仿宋_GB2312" w:cs="Times New Roman"/>
              </w:rPr>
            </w:pPr>
          </w:p>
        </w:tc>
        <w:tc>
          <w:tcPr>
            <w:tcW w:w="304" w:type="pct"/>
            <w:vMerge w:val="restar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jc w:val="center"/>
        </w:trPr>
        <w:tc>
          <w:tcPr>
            <w:tcW w:w="749" w:type="pct"/>
            <w:vMerge w:val="continue"/>
            <w:shd w:val="clear" w:color="auto" w:fill="auto"/>
            <w:vAlign w:val="center"/>
          </w:tcPr>
          <w:p>
            <w:pPr>
              <w:spacing w:line="584" w:lineRule="exact"/>
              <w:jc w:val="left"/>
              <w:rPr>
                <w:rFonts w:ascii="仿宋_GB2312" w:eastAsia="仿宋_GB2312"/>
                <w:sz w:val="18"/>
                <w:szCs w:val="18"/>
              </w:rPr>
            </w:pPr>
          </w:p>
        </w:tc>
        <w:tc>
          <w:tcPr>
            <w:tcW w:w="281" w:type="pct"/>
            <w:vMerge w:val="continue"/>
            <w:shd w:val="clear" w:color="auto" w:fill="auto"/>
            <w:vAlign w:val="center"/>
          </w:tcPr>
          <w:p>
            <w:pPr>
              <w:spacing w:line="584" w:lineRule="exact"/>
              <w:jc w:val="right"/>
              <w:rPr>
                <w:rFonts w:ascii="仿宋_GB2312" w:hAnsi="Times New Roman" w:eastAsia="仿宋_GB2312" w:cs="Times New Roman"/>
              </w:rPr>
            </w:pPr>
          </w:p>
        </w:tc>
        <w:tc>
          <w:tcPr>
            <w:tcW w:w="585" w:type="pct"/>
            <w:vMerge w:val="continue"/>
            <w:shd w:val="clear" w:color="auto" w:fill="auto"/>
            <w:vAlign w:val="center"/>
          </w:tcPr>
          <w:p>
            <w:pPr>
              <w:spacing w:line="584" w:lineRule="exact"/>
              <w:jc w:val="left"/>
              <w:rPr>
                <w:rFonts w:ascii="仿宋_GB2312" w:hAnsi="Times New Roman" w:eastAsia="仿宋_GB2312" w:cs="Times New Roman"/>
              </w:rPr>
            </w:pPr>
          </w:p>
        </w:tc>
        <w:tc>
          <w:tcPr>
            <w:tcW w:w="363" w:type="pct"/>
            <w:tcBorders>
              <w:top w:val="single" w:color="auto" w:sz="4" w:space="0"/>
            </w:tcBorders>
            <w:shd w:val="clear" w:color="auto" w:fill="auto"/>
            <w:vAlign w:val="center"/>
          </w:tcPr>
          <w:p>
            <w:pPr>
              <w:spacing w:line="584" w:lineRule="exact"/>
              <w:jc w:val="left"/>
              <w:rPr>
                <w:rFonts w:ascii="仿宋_GB2312" w:hAnsi="Times New Roman" w:eastAsia="仿宋_GB2312" w:cs="Times New Roman"/>
              </w:rPr>
            </w:pPr>
          </w:p>
        </w:tc>
        <w:tc>
          <w:tcPr>
            <w:tcW w:w="247" w:type="pct"/>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sz w:val="18"/>
                <w:szCs w:val="18"/>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FF"/>
                <w:sz w:val="18"/>
                <w:szCs w:val="18"/>
              </w:rPr>
            </w:pP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FF"/>
                <w:sz w:val="18"/>
                <w:szCs w:val="18"/>
              </w:rPr>
            </w:pPr>
          </w:p>
        </w:tc>
        <w:tc>
          <w:tcPr>
            <w:tcW w:w="328" w:type="pct"/>
            <w:tcBorders>
              <w:top w:val="single" w:color="auto" w:sz="4" w:space="0"/>
              <w:left w:val="single" w:color="auto" w:sz="4" w:space="0"/>
              <w:bottom w:val="single" w:color="auto" w:sz="4" w:space="0"/>
              <w:right w:val="nil"/>
            </w:tcBorders>
            <w:shd w:val="clear" w:color="auto" w:fill="auto"/>
            <w:vAlign w:val="center"/>
          </w:tcPr>
          <w:p>
            <w:pPr>
              <w:jc w:val="right"/>
              <w:rPr>
                <w:rFonts w:ascii="仿宋_GB2312" w:eastAsia="仿宋_GB2312"/>
                <w:color w:val="0000FF"/>
                <w:sz w:val="18"/>
                <w:szCs w:val="18"/>
              </w:rPr>
            </w:pPr>
          </w:p>
        </w:tc>
        <w:tc>
          <w:tcPr>
            <w:tcW w:w="271" w:type="pct"/>
            <w:tcBorders>
              <w:top w:val="single" w:color="auto" w:sz="4" w:space="0"/>
            </w:tcBorders>
            <w:shd w:val="clear" w:color="auto" w:fill="auto"/>
            <w:vAlign w:val="center"/>
          </w:tcPr>
          <w:p>
            <w:pPr>
              <w:spacing w:line="584" w:lineRule="exact"/>
              <w:jc w:val="right"/>
              <w:rPr>
                <w:rFonts w:ascii="仿宋_GB2312" w:hAnsi="Times New Roman" w:eastAsia="仿宋_GB2312" w:cs="Times New Roman"/>
              </w:rPr>
            </w:pPr>
          </w:p>
        </w:tc>
        <w:tc>
          <w:tcPr>
            <w:tcW w:w="317" w:type="pct"/>
            <w:vMerge w:val="continue"/>
            <w:shd w:val="clear" w:color="auto" w:fill="auto"/>
            <w:vAlign w:val="center"/>
          </w:tcPr>
          <w:p>
            <w:pPr>
              <w:spacing w:line="584" w:lineRule="exact"/>
              <w:jc w:val="right"/>
              <w:rPr>
                <w:rFonts w:ascii="仿宋_GB2312" w:hAnsi="Times New Roman" w:eastAsia="仿宋_GB2312" w:cs="Times New Roman"/>
              </w:rPr>
            </w:pPr>
          </w:p>
        </w:tc>
        <w:tc>
          <w:tcPr>
            <w:tcW w:w="319" w:type="pct"/>
            <w:vMerge w:val="continue"/>
            <w:shd w:val="clear" w:color="auto" w:fill="auto"/>
            <w:vAlign w:val="center"/>
          </w:tcPr>
          <w:p>
            <w:pPr>
              <w:spacing w:line="584" w:lineRule="exact"/>
              <w:jc w:val="right"/>
              <w:rPr>
                <w:rFonts w:ascii="仿宋_GB2312" w:hAnsi="Times New Roman" w:eastAsia="仿宋_GB2312" w:cs="Times New Roman"/>
              </w:rPr>
            </w:pPr>
          </w:p>
        </w:tc>
        <w:tc>
          <w:tcPr>
            <w:tcW w:w="304" w:type="pct"/>
            <w:vMerge w:val="continue"/>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widowControl/>
              <w:jc w:val="right"/>
              <w:rPr>
                <w:rFonts w:ascii="仿宋_GB2312" w:eastAsia="仿宋_GB2312"/>
                <w:sz w:val="18"/>
                <w:szCs w:val="18"/>
              </w:rPr>
            </w:pPr>
          </w:p>
        </w:tc>
        <w:tc>
          <w:tcPr>
            <w:tcW w:w="585"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家具用具</w:t>
            </w:r>
          </w:p>
        </w:tc>
        <w:tc>
          <w:tcPr>
            <w:tcW w:w="363" w:type="pct"/>
            <w:tcBorders>
              <w:bottom w:val="single" w:color="auto" w:sz="4" w:space="0"/>
            </w:tcBorders>
            <w:shd w:val="clear" w:color="auto" w:fill="auto"/>
            <w:vAlign w:val="center"/>
          </w:tcPr>
          <w:p>
            <w:pPr>
              <w:widowControl/>
              <w:jc w:val="right"/>
              <w:rPr>
                <w:rFonts w:ascii="仿宋_GB2312" w:eastAsia="仿宋_GB2312"/>
                <w:sz w:val="18"/>
                <w:szCs w:val="18"/>
              </w:rPr>
            </w:pPr>
          </w:p>
        </w:tc>
        <w:tc>
          <w:tcPr>
            <w:tcW w:w="247"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台</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10.00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0.25</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2.50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2.50</w:t>
            </w:r>
          </w:p>
        </w:tc>
        <w:tc>
          <w:tcPr>
            <w:tcW w:w="328" w:type="pct"/>
            <w:tcBorders>
              <w:top w:val="single" w:color="auto" w:sz="4" w:space="0"/>
              <w:left w:val="single" w:color="auto" w:sz="4" w:space="0"/>
              <w:bottom w:val="single" w:color="auto" w:sz="4" w:space="0"/>
              <w:right w:val="nil"/>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2.50</w:t>
            </w:r>
          </w:p>
        </w:tc>
        <w:tc>
          <w:tcPr>
            <w:tcW w:w="271" w:type="pct"/>
            <w:tcBorders>
              <w:bottom w:val="single" w:color="auto" w:sz="4" w:space="0"/>
            </w:tcBorders>
            <w:shd w:val="clear" w:color="auto" w:fill="auto"/>
            <w:vAlign w:val="center"/>
          </w:tcPr>
          <w:p>
            <w:pPr>
              <w:widowControl/>
              <w:jc w:val="right"/>
              <w:rPr>
                <w:rFonts w:ascii="仿宋_GB2312" w:eastAsia="仿宋_GB2312"/>
                <w:sz w:val="18"/>
                <w:szCs w:val="18"/>
              </w:rPr>
            </w:pPr>
          </w:p>
        </w:tc>
        <w:tc>
          <w:tcPr>
            <w:tcW w:w="317" w:type="pct"/>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rPr>
            </w:pPr>
          </w:p>
        </w:tc>
        <w:tc>
          <w:tcPr>
            <w:tcW w:w="304"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widowControl/>
              <w:jc w:val="right"/>
              <w:rPr>
                <w:rFonts w:ascii="仿宋_GB2312" w:eastAsia="仿宋_GB2312"/>
                <w:sz w:val="18"/>
                <w:szCs w:val="18"/>
              </w:rPr>
            </w:pPr>
          </w:p>
        </w:tc>
        <w:tc>
          <w:tcPr>
            <w:tcW w:w="585"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家具用具</w:t>
            </w:r>
          </w:p>
        </w:tc>
        <w:tc>
          <w:tcPr>
            <w:tcW w:w="363" w:type="pct"/>
            <w:tcBorders>
              <w:top w:val="single" w:color="auto" w:sz="4" w:space="0"/>
            </w:tcBorders>
            <w:shd w:val="clear" w:color="auto" w:fill="auto"/>
            <w:vAlign w:val="center"/>
          </w:tcPr>
          <w:p>
            <w:pPr>
              <w:widowControl/>
              <w:jc w:val="right"/>
              <w:rPr>
                <w:rFonts w:ascii="仿宋_GB2312" w:eastAsia="仿宋_GB2312"/>
                <w:sz w:val="18"/>
                <w:szCs w:val="18"/>
              </w:rPr>
            </w:pPr>
          </w:p>
        </w:tc>
        <w:tc>
          <w:tcPr>
            <w:tcW w:w="247"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台</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2.00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0.10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0.20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0.20</w:t>
            </w:r>
          </w:p>
        </w:tc>
        <w:tc>
          <w:tcPr>
            <w:tcW w:w="328" w:type="pct"/>
            <w:tcBorders>
              <w:top w:val="single" w:color="auto" w:sz="4" w:space="0"/>
              <w:left w:val="single" w:color="auto" w:sz="4" w:space="0"/>
              <w:bottom w:val="single" w:color="auto" w:sz="4" w:space="0"/>
              <w:right w:val="nil"/>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0.20</w:t>
            </w:r>
          </w:p>
        </w:tc>
        <w:tc>
          <w:tcPr>
            <w:tcW w:w="271" w:type="pct"/>
            <w:tcBorders>
              <w:top w:val="single" w:color="auto" w:sz="4" w:space="0"/>
            </w:tcBorders>
            <w:shd w:val="clear" w:color="auto" w:fill="auto"/>
            <w:vAlign w:val="center"/>
          </w:tcPr>
          <w:p>
            <w:pPr>
              <w:widowControl/>
              <w:jc w:val="right"/>
              <w:rPr>
                <w:rFonts w:ascii="仿宋_GB2312" w:eastAsia="仿宋_GB2312"/>
                <w:sz w:val="18"/>
                <w:szCs w:val="18"/>
              </w:rPr>
            </w:pPr>
          </w:p>
        </w:tc>
        <w:tc>
          <w:tcPr>
            <w:tcW w:w="317" w:type="pct"/>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rPr>
            </w:pPr>
          </w:p>
        </w:tc>
        <w:tc>
          <w:tcPr>
            <w:tcW w:w="304"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widowControl/>
              <w:jc w:val="right"/>
              <w:rPr>
                <w:rFonts w:ascii="仿宋_GB2312" w:eastAsia="仿宋_GB2312"/>
                <w:sz w:val="18"/>
                <w:szCs w:val="18"/>
              </w:rPr>
            </w:pPr>
          </w:p>
        </w:tc>
        <w:tc>
          <w:tcPr>
            <w:tcW w:w="585"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投影仪</w:t>
            </w:r>
          </w:p>
        </w:tc>
        <w:tc>
          <w:tcPr>
            <w:tcW w:w="363" w:type="pct"/>
            <w:shd w:val="clear" w:color="auto" w:fill="auto"/>
            <w:vAlign w:val="center"/>
          </w:tcPr>
          <w:p>
            <w:pPr>
              <w:widowControl/>
              <w:jc w:val="right"/>
              <w:rPr>
                <w:rFonts w:ascii="仿宋_GB2312" w:eastAsia="仿宋_GB2312"/>
                <w:sz w:val="18"/>
                <w:szCs w:val="18"/>
              </w:rPr>
            </w:pPr>
          </w:p>
        </w:tc>
        <w:tc>
          <w:tcPr>
            <w:tcW w:w="247"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台</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2.00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0.80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1.60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1.60</w:t>
            </w:r>
          </w:p>
        </w:tc>
        <w:tc>
          <w:tcPr>
            <w:tcW w:w="328" w:type="pct"/>
            <w:tcBorders>
              <w:top w:val="single" w:color="auto" w:sz="4" w:space="0"/>
              <w:left w:val="single" w:color="auto" w:sz="4" w:space="0"/>
              <w:bottom w:val="single" w:color="auto" w:sz="4" w:space="0"/>
              <w:right w:val="nil"/>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1.60</w:t>
            </w:r>
          </w:p>
        </w:tc>
        <w:tc>
          <w:tcPr>
            <w:tcW w:w="271" w:type="pct"/>
            <w:tcBorders>
              <w:bottom w:val="single" w:color="auto" w:sz="4" w:space="0"/>
            </w:tcBorders>
            <w:shd w:val="clear" w:color="auto" w:fill="auto"/>
            <w:vAlign w:val="center"/>
          </w:tcPr>
          <w:p>
            <w:pPr>
              <w:widowControl/>
              <w:jc w:val="right"/>
              <w:rPr>
                <w:rFonts w:ascii="仿宋_GB2312" w:eastAsia="仿宋_GB2312"/>
                <w:sz w:val="18"/>
                <w:szCs w:val="18"/>
              </w:rPr>
            </w:pPr>
          </w:p>
        </w:tc>
        <w:tc>
          <w:tcPr>
            <w:tcW w:w="317" w:type="pct"/>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rPr>
            </w:pPr>
          </w:p>
        </w:tc>
        <w:tc>
          <w:tcPr>
            <w:tcW w:w="304" w:type="pct"/>
            <w:shd w:val="clear" w:color="auto" w:fill="auto"/>
            <w:vAlign w:val="center"/>
          </w:tcPr>
          <w:p>
            <w:pPr>
              <w:spacing w:line="584" w:lineRule="exact"/>
              <w:jc w:val="right"/>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其他业务费</w:t>
            </w:r>
          </w:p>
        </w:tc>
        <w:tc>
          <w:tcPr>
            <w:tcW w:w="281" w:type="pct"/>
            <w:shd w:val="clear" w:color="auto" w:fill="auto"/>
            <w:vAlign w:val="center"/>
          </w:tcPr>
          <w:p>
            <w:pPr>
              <w:widowControl/>
              <w:jc w:val="right"/>
              <w:rPr>
                <w:rFonts w:ascii="仿宋_GB2312" w:eastAsia="仿宋_GB2312"/>
                <w:sz w:val="18"/>
                <w:szCs w:val="18"/>
              </w:rPr>
            </w:pPr>
          </w:p>
        </w:tc>
        <w:tc>
          <w:tcPr>
            <w:tcW w:w="585" w:type="pct"/>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计算机设备</w:t>
            </w:r>
          </w:p>
        </w:tc>
        <w:tc>
          <w:tcPr>
            <w:tcW w:w="363" w:type="pct"/>
            <w:tcBorders>
              <w:bottom w:val="single" w:color="auto" w:sz="4" w:space="0"/>
            </w:tcBorders>
            <w:shd w:val="clear" w:color="auto" w:fill="auto"/>
            <w:vAlign w:val="center"/>
          </w:tcPr>
          <w:p>
            <w:pPr>
              <w:widowControl/>
              <w:jc w:val="right"/>
              <w:rPr>
                <w:rFonts w:ascii="仿宋_GB2312" w:eastAsia="仿宋_GB2312"/>
                <w:sz w:val="18"/>
                <w:szCs w:val="18"/>
              </w:rPr>
            </w:pPr>
          </w:p>
        </w:tc>
        <w:tc>
          <w:tcPr>
            <w:tcW w:w="247"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台</w:t>
            </w:r>
          </w:p>
        </w:tc>
        <w:tc>
          <w:tcPr>
            <w:tcW w:w="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2.00</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0.60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1.20</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1.20</w:t>
            </w:r>
          </w:p>
        </w:tc>
        <w:tc>
          <w:tcPr>
            <w:tcW w:w="328" w:type="pct"/>
            <w:tcBorders>
              <w:top w:val="single" w:color="auto" w:sz="4" w:space="0"/>
              <w:left w:val="single" w:color="auto" w:sz="4" w:space="0"/>
              <w:bottom w:val="single" w:color="auto" w:sz="4" w:space="0"/>
              <w:right w:val="nil"/>
            </w:tcBorders>
            <w:shd w:val="clear" w:color="auto" w:fill="auto"/>
            <w:vAlign w:val="center"/>
          </w:tcPr>
          <w:p>
            <w:pPr>
              <w:widowControl/>
              <w:jc w:val="right"/>
              <w:rPr>
                <w:rFonts w:ascii="仿宋_GB2312" w:eastAsia="仿宋_GB2312"/>
                <w:sz w:val="18"/>
                <w:szCs w:val="18"/>
              </w:rPr>
            </w:pPr>
            <w:r>
              <w:rPr>
                <w:rFonts w:hint="eastAsia" w:ascii="仿宋_GB2312" w:eastAsia="仿宋_GB2312"/>
                <w:sz w:val="18"/>
                <w:szCs w:val="18"/>
              </w:rPr>
              <w:t>1.20</w:t>
            </w:r>
          </w:p>
        </w:tc>
        <w:tc>
          <w:tcPr>
            <w:tcW w:w="271" w:type="pct"/>
            <w:tcBorders>
              <w:top w:val="single" w:color="auto" w:sz="4" w:space="0"/>
            </w:tcBorders>
            <w:shd w:val="clear" w:color="auto" w:fill="auto"/>
            <w:vAlign w:val="center"/>
          </w:tcPr>
          <w:p>
            <w:pPr>
              <w:widowControl/>
              <w:jc w:val="right"/>
              <w:rPr>
                <w:rFonts w:ascii="仿宋_GB2312" w:eastAsia="仿宋_GB2312"/>
                <w:sz w:val="18"/>
                <w:szCs w:val="18"/>
              </w:rPr>
            </w:pPr>
          </w:p>
        </w:tc>
        <w:tc>
          <w:tcPr>
            <w:tcW w:w="317" w:type="pct"/>
            <w:shd w:val="clear" w:color="auto" w:fill="auto"/>
            <w:vAlign w:val="center"/>
          </w:tcPr>
          <w:p>
            <w:pPr>
              <w:spacing w:line="584" w:lineRule="exact"/>
              <w:jc w:val="right"/>
              <w:rPr>
                <w:rFonts w:ascii="仿宋_GB2312" w:eastAsia="仿宋_GB2312"/>
                <w:sz w:val="18"/>
                <w:szCs w:val="18"/>
              </w:rPr>
            </w:pPr>
          </w:p>
        </w:tc>
        <w:tc>
          <w:tcPr>
            <w:tcW w:w="319" w:type="pct"/>
            <w:shd w:val="clear" w:color="auto" w:fill="auto"/>
            <w:vAlign w:val="center"/>
          </w:tcPr>
          <w:p>
            <w:pPr>
              <w:spacing w:line="584" w:lineRule="exact"/>
              <w:jc w:val="right"/>
              <w:rPr>
                <w:rFonts w:ascii="仿宋_GB2312" w:hAnsi="Times New Roman" w:eastAsia="仿宋_GB2312" w:cs="Times New Roman"/>
              </w:rPr>
            </w:pPr>
          </w:p>
        </w:tc>
        <w:tc>
          <w:tcPr>
            <w:tcW w:w="304" w:type="pct"/>
            <w:shd w:val="clear" w:color="auto" w:fill="auto"/>
            <w:vAlign w:val="center"/>
          </w:tcPr>
          <w:p>
            <w:pPr>
              <w:spacing w:line="584" w:lineRule="exact"/>
              <w:jc w:val="right"/>
              <w:rPr>
                <w:rFonts w:ascii="仿宋_GB2312"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广阳区安全生产</w:t>
      </w:r>
      <w:r>
        <w:rPr>
          <w:rFonts w:ascii="Times New Roman" w:hAnsi="Times New Roman" w:eastAsia="仿宋_GB2312" w:cs="Times New Roman"/>
          <w:sz w:val="32"/>
          <w:szCs w:val="32"/>
        </w:rPr>
        <w:t>监督管理局（含所属单位）上年末固定资产金额为</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30.5735万元，本年度我部门拟购置固定资产主要为计算机设备、打印设备、空调、办公家具等，已列入政府采购预算。详见下表。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721</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广阳区安全生产</w:t>
            </w:r>
            <w:r>
              <w:rPr>
                <w:rFonts w:ascii="Times New Roman" w:hAnsi="Times New Roman" w:eastAsia="仿宋_GB2312" w:cs="Times New Roman"/>
                <w:kern w:val="0"/>
                <w:sz w:val="22"/>
              </w:rPr>
              <w:t>监督管理局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130.5735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w:t>
            </w:r>
          </w:p>
        </w:tc>
        <w:tc>
          <w:tcPr>
            <w:tcW w:w="51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76</w:t>
            </w:r>
            <w:r>
              <w:rPr>
                <w:rFonts w:ascii="仿宋_GB2312" w:eastAsia="仿宋_GB2312" w:cs="宋体"/>
                <w:kern w:val="0"/>
                <w:sz w:val="28"/>
                <w:szCs w:val="28"/>
              </w:rPr>
              <w:t>.</w:t>
            </w:r>
            <w:r>
              <w:rPr>
                <w:rFonts w:hint="eastAsia" w:ascii="仿宋_GB2312" w:eastAsia="仿宋_GB2312" w:cs="宋体"/>
                <w:kern w:val="0"/>
                <w:sz w:val="28"/>
                <w:szCs w:val="28"/>
              </w:rPr>
              <w:t>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54.4035</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1350B"/>
    <w:multiLevelType w:val="multilevel"/>
    <w:tmpl w:val="58C1350B"/>
    <w:lvl w:ilvl="0" w:tentative="0">
      <w:start w:val="2"/>
      <w:numFmt w:val="japaneseCounting"/>
      <w:lvlText w:val="%1、"/>
      <w:lvlJc w:val="left"/>
      <w:pPr>
        <w:ind w:left="1360" w:hanging="720"/>
      </w:pPr>
      <w:rPr>
        <w:rFonts w:hint="default" w:hAnsi="黑体"/>
      </w:rPr>
    </w:lvl>
    <w:lvl w:ilvl="1" w:tentative="0">
      <w:start w:val="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8180F"/>
    <w:rsid w:val="00093DA3"/>
    <w:rsid w:val="000B45D4"/>
    <w:rsid w:val="000B529B"/>
    <w:rsid w:val="000C24E6"/>
    <w:rsid w:val="000C3A19"/>
    <w:rsid w:val="000E4305"/>
    <w:rsid w:val="000F0D09"/>
    <w:rsid w:val="000F6DCB"/>
    <w:rsid w:val="00120F72"/>
    <w:rsid w:val="001245BB"/>
    <w:rsid w:val="001251A3"/>
    <w:rsid w:val="0015229A"/>
    <w:rsid w:val="00160266"/>
    <w:rsid w:val="001643E8"/>
    <w:rsid w:val="00176C13"/>
    <w:rsid w:val="00186234"/>
    <w:rsid w:val="001919C4"/>
    <w:rsid w:val="0019723B"/>
    <w:rsid w:val="001A0943"/>
    <w:rsid w:val="001A0F69"/>
    <w:rsid w:val="001B5C1D"/>
    <w:rsid w:val="001D0258"/>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47CF9"/>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B530E"/>
    <w:rsid w:val="005C0E90"/>
    <w:rsid w:val="005D0C27"/>
    <w:rsid w:val="005D37CA"/>
    <w:rsid w:val="005F5714"/>
    <w:rsid w:val="005F7AE1"/>
    <w:rsid w:val="00610E5C"/>
    <w:rsid w:val="00611D03"/>
    <w:rsid w:val="00614A29"/>
    <w:rsid w:val="00622C82"/>
    <w:rsid w:val="00632552"/>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D6210"/>
    <w:rsid w:val="007E1DA8"/>
    <w:rsid w:val="007E4B05"/>
    <w:rsid w:val="007F00E4"/>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5738"/>
    <w:rsid w:val="008C61E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A5EC1"/>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AF485C"/>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1F82"/>
    <w:rsid w:val="00C362CA"/>
    <w:rsid w:val="00C37A99"/>
    <w:rsid w:val="00C55438"/>
    <w:rsid w:val="00C772C1"/>
    <w:rsid w:val="00C93D22"/>
    <w:rsid w:val="00CA7176"/>
    <w:rsid w:val="00CB51D7"/>
    <w:rsid w:val="00CC75B0"/>
    <w:rsid w:val="00CD2773"/>
    <w:rsid w:val="00CE01BA"/>
    <w:rsid w:val="00CE143B"/>
    <w:rsid w:val="00CE3A91"/>
    <w:rsid w:val="00D07DBA"/>
    <w:rsid w:val="00D22FC5"/>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2E16"/>
    <w:rsid w:val="00FA740E"/>
    <w:rsid w:val="00FC06C7"/>
    <w:rsid w:val="00FD5DB4"/>
    <w:rsid w:val="00FE1724"/>
    <w:rsid w:val="00FE753C"/>
    <w:rsid w:val="00FF2346"/>
    <w:rsid w:val="11B847F8"/>
    <w:rsid w:val="641B1EBE"/>
    <w:rsid w:val="79EF136F"/>
    <w:rsid w:val="7D172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列出段落1"/>
    <w:basedOn w:val="1"/>
    <w:qFormat/>
    <w:uiPriority w:val="0"/>
    <w:pPr>
      <w:ind w:firstLine="200" w:firstLineChars="200"/>
    </w:pPr>
    <w:rPr>
      <w:rFonts w:ascii="Calibri" w:hAnsi="Calibri" w:eastAsia="宋体" w:cs="Arial"/>
    </w:rPr>
  </w:style>
  <w:style w:type="paragraph" w:customStyle="1" w:styleId="17">
    <w:name w:val="p.MsoNormal"/>
    <w:basedOn w:val="1"/>
    <w:qFormat/>
    <w:uiPriority w:val="0"/>
    <w:pPr>
      <w:widowControl/>
    </w:pPr>
    <w:rPr>
      <w:rFonts w:ascii="Calibri" w:hAnsi="Calibri" w:eastAsia="Calibri" w:cs="Times New Roman"/>
      <w:kern w:val="0"/>
      <w:szCs w:val="20"/>
      <w:lang w:eastAsia="en-U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879B-C129-453E-B1F7-92FBF1E9C46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1220</Words>
  <Characters>6954</Characters>
  <Lines>57</Lines>
  <Paragraphs>16</Paragraphs>
  <TotalTime>239</TotalTime>
  <ScaleCrop>false</ScaleCrop>
  <LinksUpToDate>false</LinksUpToDate>
  <CharactersWithSpaces>8158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2024-07-19T03:04:34Z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53FF633D56714A998ACC5B7FCA0206DA</vt:lpwstr>
  </property>
</Properties>
</file>