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sz w:val="44"/>
          <w:szCs w:val="44"/>
        </w:rPr>
      </w:pPr>
    </w:p>
    <w:p>
      <w:pPr>
        <w:spacing w:line="584"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廊坊市广阳区建设局2019年部门预算信息公开</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hint="eastAsia" w:ascii="Times New Roman" w:hAnsi="Times New Roman" w:eastAsia="仿宋_GB2312"/>
          <w:sz w:val="32"/>
          <w:szCs w:val="32"/>
          <w:lang w:eastAsia="zh-CN"/>
        </w:rPr>
        <w:t>中华人民共和国</w:t>
      </w:r>
      <w:bookmarkStart w:id="4" w:name="_GoBack"/>
      <w:bookmarkEnd w:id="4"/>
      <w:r>
        <w:rPr>
          <w:rFonts w:hint="eastAsia" w:ascii="Times New Roman" w:hAnsi="Times New Roman" w:eastAsia="仿宋_GB2312"/>
          <w:sz w:val="32"/>
          <w:szCs w:val="32"/>
        </w:rPr>
        <w:t>预算法》、《地方预决算公开操作规程》和《河北省省级预算公开办法》规定，现将廊坊市广阳区建设局</w:t>
      </w:r>
      <w:r>
        <w:rPr>
          <w:rFonts w:ascii="Times New Roman" w:hAnsi="Times New Roman" w:eastAsia="仿宋_GB2312"/>
          <w:sz w:val="32"/>
          <w:szCs w:val="32"/>
        </w:rPr>
        <w:t>2019</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widowControl/>
        <w:spacing w:line="580" w:lineRule="exact"/>
        <w:ind w:firstLine="720" w:firstLineChars="225"/>
        <w:rPr>
          <w:rFonts w:eastAsia="仿宋_GB2312"/>
          <w:sz w:val="32"/>
          <w:szCs w:val="32"/>
        </w:rPr>
      </w:pPr>
      <w:r>
        <w:rPr>
          <w:rFonts w:eastAsia="仿宋_GB2312"/>
          <w:sz w:val="32"/>
          <w:szCs w:val="32"/>
        </w:rPr>
        <w:t>1</w:t>
      </w:r>
      <w:r>
        <w:rPr>
          <w:rFonts w:hint="eastAsia" w:eastAsia="仿宋_GB2312"/>
          <w:sz w:val="32"/>
          <w:szCs w:val="32"/>
        </w:rPr>
        <w:t>、负责全区建筑企业行业管理</w:t>
      </w:r>
    </w:p>
    <w:p>
      <w:pPr>
        <w:widowControl/>
        <w:spacing w:line="580" w:lineRule="exact"/>
        <w:ind w:firstLine="720" w:firstLineChars="225"/>
        <w:rPr>
          <w:rFonts w:eastAsia="仿宋_GB2312"/>
          <w:sz w:val="32"/>
          <w:szCs w:val="32"/>
        </w:rPr>
      </w:pPr>
      <w:r>
        <w:rPr>
          <w:rFonts w:hint="eastAsia" w:eastAsia="仿宋_GB2312"/>
          <w:sz w:val="32"/>
          <w:szCs w:val="32"/>
        </w:rPr>
        <w:t>负责区属建筑企业，建筑相关行业的工程质量和施工安全的监督工作；负责市区规划区外建筑队伍的工程质量和施工安全的监督工作；负责施工图的审查工作；负责施工现场监理的监督管理工作；负责墙体材料革新与建筑节能工作；负责区属建筑行业的科技推广及职工的科教工作和统计工作；当好领导参谋，做好领导交办的其他事项。</w:t>
      </w:r>
    </w:p>
    <w:p>
      <w:pPr>
        <w:widowControl/>
        <w:spacing w:line="580" w:lineRule="exact"/>
        <w:ind w:firstLine="720" w:firstLineChars="225"/>
        <w:rPr>
          <w:rFonts w:eastAsia="仿宋_GB2312"/>
          <w:sz w:val="32"/>
          <w:szCs w:val="32"/>
        </w:rPr>
      </w:pPr>
      <w:r>
        <w:rPr>
          <w:rFonts w:eastAsia="仿宋_GB2312"/>
          <w:sz w:val="32"/>
          <w:szCs w:val="32"/>
        </w:rPr>
        <w:t>2</w:t>
      </w:r>
      <w:r>
        <w:rPr>
          <w:rFonts w:hint="eastAsia" w:eastAsia="仿宋_GB2312"/>
          <w:sz w:val="32"/>
          <w:szCs w:val="32"/>
        </w:rPr>
        <w:t>、负责全区建筑市场管理</w:t>
      </w:r>
    </w:p>
    <w:p>
      <w:pPr>
        <w:widowControl/>
        <w:spacing w:line="580" w:lineRule="exact"/>
        <w:ind w:firstLine="720" w:firstLineChars="225"/>
        <w:rPr>
          <w:rFonts w:eastAsia="仿宋_GB2312"/>
          <w:sz w:val="32"/>
          <w:szCs w:val="32"/>
        </w:rPr>
      </w:pPr>
      <w:r>
        <w:rPr>
          <w:rFonts w:hint="eastAsia" w:eastAsia="仿宋_GB2312"/>
          <w:sz w:val="32"/>
          <w:szCs w:val="32"/>
        </w:rPr>
        <w:t>负责全区建筑市场管理、稽查工作；认定从事各类工程建设项目招标代理业务的招标代理机构资格，并负责监督管理；负责市区外工程的报建立项、招标投标、施工合同管理、办理工程施工许可证、监督执法工作；对省外进区施工许可证等管理工作；负责工程造价管理工作。</w:t>
      </w:r>
    </w:p>
    <w:p>
      <w:pPr>
        <w:widowControl/>
        <w:spacing w:line="580" w:lineRule="exact"/>
        <w:ind w:firstLine="720" w:firstLineChars="225"/>
        <w:rPr>
          <w:rFonts w:eastAsia="仿宋_GB2312"/>
          <w:sz w:val="32"/>
          <w:szCs w:val="32"/>
        </w:rPr>
      </w:pPr>
      <w:r>
        <w:rPr>
          <w:rFonts w:eastAsia="仿宋_GB2312"/>
          <w:sz w:val="32"/>
          <w:szCs w:val="32"/>
        </w:rPr>
        <w:t>3</w:t>
      </w:r>
      <w:r>
        <w:rPr>
          <w:rFonts w:hint="eastAsia" w:eastAsia="仿宋_GB2312"/>
          <w:sz w:val="32"/>
          <w:szCs w:val="32"/>
        </w:rPr>
        <w:t>、负责全区村镇建设工作</w:t>
      </w:r>
    </w:p>
    <w:p>
      <w:pPr>
        <w:widowControl/>
        <w:spacing w:line="580" w:lineRule="exact"/>
        <w:ind w:firstLine="720" w:firstLineChars="225"/>
        <w:rPr>
          <w:rFonts w:eastAsia="仿宋_GB2312"/>
          <w:sz w:val="32"/>
          <w:szCs w:val="32"/>
        </w:rPr>
      </w:pPr>
      <w:r>
        <w:rPr>
          <w:rFonts w:hint="eastAsia" w:eastAsia="仿宋_GB2312"/>
          <w:sz w:val="32"/>
          <w:szCs w:val="32"/>
        </w:rPr>
        <w:t>为国家和地方有关规划政策，制定具体实施方案和细则并组织实施；负责全区村镇建设工程项目的综合管理，按规定审批权限和程序核发建筑许可证；组织集镇综合开发，配套建设和农村住宅建设的改革工作；负责村镇测绘、规划管理和村镇建设办公室指导工作；负责村镇规划、建设管理的执法监督工作，查处违法违规建筑和一切违反村镇建设管理规定的现象。</w:t>
      </w:r>
    </w:p>
    <w:p>
      <w:pPr>
        <w:widowControl/>
        <w:spacing w:line="580" w:lineRule="exact"/>
        <w:ind w:firstLine="720" w:firstLineChars="225"/>
        <w:rPr>
          <w:rFonts w:eastAsia="仿宋_GB2312"/>
          <w:sz w:val="32"/>
          <w:szCs w:val="32"/>
        </w:rPr>
      </w:pPr>
      <w:r>
        <w:rPr>
          <w:rFonts w:eastAsia="仿宋_GB2312"/>
          <w:sz w:val="32"/>
          <w:szCs w:val="32"/>
        </w:rPr>
        <w:t>4</w:t>
      </w:r>
      <w:r>
        <w:rPr>
          <w:rFonts w:hint="eastAsia" w:eastAsia="仿宋_GB2312"/>
          <w:sz w:val="32"/>
          <w:szCs w:val="32"/>
        </w:rPr>
        <w:t>、负责起草辖区住房改革方案和实施细则</w:t>
      </w:r>
    </w:p>
    <w:p>
      <w:pPr>
        <w:widowControl/>
        <w:spacing w:line="580" w:lineRule="exact"/>
        <w:ind w:firstLine="720" w:firstLineChars="225"/>
        <w:rPr>
          <w:rFonts w:eastAsia="仿宋_GB2312"/>
          <w:sz w:val="32"/>
          <w:szCs w:val="32"/>
        </w:rPr>
      </w:pPr>
      <w:r>
        <w:rPr>
          <w:rFonts w:hint="eastAsia" w:eastAsia="仿宋_GB2312"/>
          <w:sz w:val="32"/>
          <w:szCs w:val="32"/>
        </w:rPr>
        <w:t>负责住房制度改革的组织、协调、推动、调研统计；负责辖区住房公积金、公用住房出售资金的轨迹、使用、管理；负责辖区集资建房、合作建房、合作建房管理、审批及经济适用住房的运作管理；负责最低收入家庭住房保障资金筹集、发放和低保对象的审查核实。</w:t>
      </w:r>
    </w:p>
    <w:p>
      <w:pPr>
        <w:widowControl/>
        <w:spacing w:line="580" w:lineRule="exact"/>
        <w:ind w:firstLine="720" w:firstLineChars="225"/>
        <w:rPr>
          <w:rFonts w:eastAsia="仿宋_GB2312"/>
          <w:sz w:val="32"/>
          <w:szCs w:val="32"/>
        </w:rPr>
      </w:pPr>
      <w:r>
        <w:rPr>
          <w:rFonts w:eastAsia="仿宋_GB2312"/>
          <w:sz w:val="32"/>
          <w:szCs w:val="32"/>
        </w:rPr>
        <w:t>5</w:t>
      </w:r>
      <w:r>
        <w:rPr>
          <w:rFonts w:hint="eastAsia" w:eastAsia="仿宋_GB2312"/>
          <w:sz w:val="32"/>
          <w:szCs w:val="32"/>
        </w:rPr>
        <w:t>、贯彻执行国家有关房地产交易市场管理、产权产籍管理的法律、法规</w:t>
      </w:r>
    </w:p>
    <w:p>
      <w:pPr>
        <w:widowControl/>
        <w:spacing w:line="580" w:lineRule="exact"/>
        <w:ind w:firstLine="720" w:firstLineChars="225"/>
        <w:rPr>
          <w:rFonts w:eastAsia="仿宋_GB2312"/>
          <w:sz w:val="32"/>
          <w:szCs w:val="32"/>
        </w:rPr>
      </w:pPr>
      <w:r>
        <w:rPr>
          <w:rFonts w:hint="eastAsia" w:eastAsia="仿宋_GB2312"/>
          <w:sz w:val="32"/>
          <w:szCs w:val="32"/>
        </w:rPr>
        <w:t>制定辖区的管理办法并组织实施；负责本辖区房地产交易和权属登记资料初审；负责辖区房产中介机构资质及其人员资格的初审和监管；负责辖区危险房屋的技术鉴定和安全管理</w:t>
      </w:r>
    </w:p>
    <w:p>
      <w:pPr>
        <w:widowControl/>
        <w:spacing w:line="580" w:lineRule="exact"/>
        <w:ind w:firstLine="720" w:firstLineChars="225"/>
        <w:rPr>
          <w:rFonts w:eastAsia="仿宋_GB2312"/>
          <w:sz w:val="32"/>
          <w:szCs w:val="32"/>
        </w:rPr>
      </w:pPr>
      <w:r>
        <w:rPr>
          <w:rFonts w:eastAsia="仿宋_GB2312"/>
          <w:sz w:val="32"/>
          <w:szCs w:val="32"/>
        </w:rPr>
        <w:t>6</w:t>
      </w:r>
      <w:r>
        <w:rPr>
          <w:rFonts w:hint="eastAsia" w:eastAsia="仿宋_GB2312"/>
          <w:sz w:val="32"/>
          <w:szCs w:val="32"/>
        </w:rPr>
        <w:t>、负责国家、省、市物业管理政策的宣传和贯彻落实</w:t>
      </w:r>
    </w:p>
    <w:p>
      <w:pPr>
        <w:widowControl/>
        <w:spacing w:line="580" w:lineRule="exact"/>
        <w:ind w:firstLine="720" w:firstLineChars="225"/>
        <w:rPr>
          <w:rFonts w:eastAsia="仿宋_GB2312"/>
          <w:sz w:val="32"/>
          <w:szCs w:val="32"/>
        </w:rPr>
      </w:pPr>
      <w:r>
        <w:rPr>
          <w:rFonts w:hint="eastAsia" w:eastAsia="仿宋_GB2312"/>
          <w:sz w:val="32"/>
          <w:szCs w:val="32"/>
        </w:rPr>
        <w:t>负责制定辖区物业管理办法；负责辖区物业管理企业资质初审、行业管理和行业统计；负责指导辖区住宅小区业主委员会的组建、备案和监督管理工作；负责住宅公用部分公用设施维修基金的收缴和管理；负责编制旧小区整治、规划，并组织实施创优达标工作</w:t>
      </w:r>
    </w:p>
    <w:p>
      <w:pPr>
        <w:widowControl/>
        <w:spacing w:line="580" w:lineRule="exact"/>
        <w:ind w:firstLine="720" w:firstLineChars="225"/>
        <w:rPr>
          <w:rFonts w:eastAsia="仿宋_GB2312"/>
          <w:sz w:val="32"/>
          <w:szCs w:val="32"/>
        </w:rPr>
      </w:pPr>
      <w:r>
        <w:rPr>
          <w:rFonts w:eastAsia="仿宋_GB2312"/>
          <w:sz w:val="32"/>
          <w:szCs w:val="32"/>
        </w:rPr>
        <w:t>7</w:t>
      </w:r>
      <w:r>
        <w:rPr>
          <w:rFonts w:hint="eastAsia" w:eastAsia="仿宋_GB2312"/>
          <w:sz w:val="32"/>
          <w:szCs w:val="32"/>
        </w:rPr>
        <w:t>、负责城区辖区内供暖工作</w:t>
      </w:r>
    </w:p>
    <w:p>
      <w:pPr>
        <w:widowControl/>
        <w:spacing w:line="580" w:lineRule="exact"/>
        <w:ind w:firstLine="720" w:firstLineChars="225"/>
        <w:rPr>
          <w:rFonts w:eastAsia="仿宋_GB2312"/>
          <w:sz w:val="32"/>
          <w:szCs w:val="32"/>
        </w:rPr>
      </w:pPr>
      <w:r>
        <w:rPr>
          <w:rFonts w:eastAsia="仿宋_GB2312"/>
          <w:sz w:val="32"/>
          <w:szCs w:val="32"/>
        </w:rPr>
        <w:t>8</w:t>
      </w:r>
      <w:r>
        <w:rPr>
          <w:rFonts w:hint="eastAsia" w:eastAsia="仿宋_GB2312"/>
          <w:sz w:val="32"/>
          <w:szCs w:val="32"/>
        </w:rPr>
        <w:t>、负责全区人民防空工作二、部门决算单位构成</w:t>
      </w: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tcPr>
          <w:p>
            <w:pPr>
              <w:spacing w:line="584" w:lineRule="exact"/>
              <w:jc w:val="center"/>
              <w:rPr>
                <w:rFonts w:ascii="Times New Roman" w:hAnsi="Times New Roman" w:eastAsia="仿宋_GB2312"/>
                <w:b/>
              </w:rPr>
            </w:pPr>
            <w:r>
              <w:rPr>
                <w:rFonts w:hint="eastAsia" w:ascii="Times New Roman" w:hAnsi="Times New Roman" w:eastAsia="仿宋_GB2312"/>
                <w:b/>
              </w:rPr>
              <w:t>廊坊市广阳区建设局</w:t>
            </w:r>
          </w:p>
        </w:tc>
        <w:tc>
          <w:tcPr>
            <w:tcW w:w="1134" w:type="dxa"/>
          </w:tcPr>
          <w:p>
            <w:pPr>
              <w:spacing w:line="584" w:lineRule="exact"/>
              <w:jc w:val="center"/>
              <w:rPr>
                <w:rFonts w:ascii="Times New Roman" w:hAnsi="Times New Roman" w:eastAsia="仿宋_GB2312"/>
                <w:b/>
              </w:rPr>
            </w:pPr>
            <w:r>
              <w:rPr>
                <w:rFonts w:hint="eastAsia" w:ascii="Times New Roman" w:hAnsi="Times New Roman" w:eastAsia="仿宋_GB2312"/>
                <w:b/>
              </w:rPr>
              <w:t>行政单位</w:t>
            </w:r>
          </w:p>
        </w:tc>
        <w:tc>
          <w:tcPr>
            <w:tcW w:w="1276" w:type="dxa"/>
          </w:tcPr>
          <w:p>
            <w:pPr>
              <w:spacing w:line="584" w:lineRule="exact"/>
              <w:jc w:val="center"/>
              <w:rPr>
                <w:rFonts w:ascii="Times New Roman" w:hAnsi="Times New Roman" w:eastAsia="仿宋_GB2312"/>
                <w:b/>
              </w:rPr>
            </w:pPr>
            <w:r>
              <w:rPr>
                <w:rFonts w:hint="eastAsia" w:ascii="Times New Roman" w:hAnsi="Times New Roman" w:eastAsia="仿宋_GB2312"/>
                <w:b/>
              </w:rPr>
              <w:t>正科级</w:t>
            </w:r>
          </w:p>
        </w:tc>
        <w:tc>
          <w:tcPr>
            <w:tcW w:w="2902" w:type="dxa"/>
          </w:tcPr>
          <w:p>
            <w:pPr>
              <w:spacing w:line="584" w:lineRule="exact"/>
              <w:jc w:val="center"/>
              <w:rPr>
                <w:rFonts w:ascii="Times New Roman" w:hAnsi="Times New Roman" w:eastAsia="仿宋_GB2312"/>
                <w:b/>
              </w:rPr>
            </w:pPr>
            <w:r>
              <w:rPr>
                <w:rFonts w:hint="eastAsia" w:ascii="Times New Roman" w:hAnsi="Times New Roman" w:eastAsia="仿宋_GB2312"/>
                <w:b/>
              </w:rPr>
              <w:t>财政拨款</w:t>
            </w: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按照预算管理有关规定，目前我区部门预算的编制实行综合预算制度，即全部收入和支出都反映在预算中。廊坊市广阳区建设局机关及所属事业单位的收支包含在部门预算中。</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、收入说明</w:t>
      </w:r>
    </w:p>
    <w:p>
      <w:pPr>
        <w:spacing w:line="584" w:lineRule="exact"/>
        <w:ind w:firstLine="640"/>
        <w:rPr>
          <w:rFonts w:ascii="Times New Roman" w:hAnsi="Times New Roman" w:eastAsia="仿宋_GB2312"/>
          <w:color w:val="FF0000"/>
          <w:sz w:val="32"/>
          <w:szCs w:val="32"/>
        </w:rPr>
      </w:pPr>
      <w:r>
        <w:rPr>
          <w:rFonts w:hint="eastAsia" w:ascii="Times New Roman" w:hAnsi="Times New Roman" w:eastAsia="仿宋_GB2312"/>
          <w:sz w:val="32"/>
          <w:szCs w:val="32"/>
        </w:rPr>
        <w:t>反映本部门当年全部收入。</w:t>
      </w:r>
      <w:r>
        <w:rPr>
          <w:rFonts w:ascii="Times New Roman" w:hAnsi="Times New Roman" w:eastAsia="仿宋_GB2312"/>
          <w:sz w:val="32"/>
          <w:szCs w:val="32"/>
        </w:rPr>
        <w:t>2019</w:t>
      </w:r>
      <w:r>
        <w:rPr>
          <w:rFonts w:hint="eastAsia" w:ascii="Times New Roman" w:hAnsi="Times New Roman" w:eastAsia="仿宋_GB2312"/>
          <w:sz w:val="32"/>
          <w:szCs w:val="32"/>
        </w:rPr>
        <w:t>年预算收入</w:t>
      </w:r>
      <w:r>
        <w:rPr>
          <w:rFonts w:ascii="Times New Roman" w:hAnsi="Times New Roman" w:eastAsia="仿宋_GB2312"/>
          <w:sz w:val="32"/>
          <w:szCs w:val="32"/>
        </w:rPr>
        <w:t>10332.63</w:t>
      </w:r>
      <w:r>
        <w:rPr>
          <w:rFonts w:hint="eastAsia" w:ascii="Times New Roman" w:hAnsi="Times New Roman" w:eastAsia="仿宋_GB2312"/>
          <w:sz w:val="32"/>
          <w:szCs w:val="32"/>
        </w:rPr>
        <w:t>万元，其中：一般公共预算收入</w:t>
      </w:r>
      <w:r>
        <w:rPr>
          <w:rFonts w:ascii="Times New Roman" w:hAnsi="Times New Roman" w:eastAsia="仿宋_GB2312"/>
          <w:sz w:val="32"/>
          <w:szCs w:val="32"/>
        </w:rPr>
        <w:t>10332.63</w:t>
      </w:r>
      <w:r>
        <w:rPr>
          <w:rFonts w:hint="eastAsia" w:ascii="Times New Roman" w:hAnsi="Times New Roman" w:eastAsia="仿宋_GB2312"/>
          <w:sz w:val="32"/>
          <w:szCs w:val="32"/>
        </w:rPr>
        <w:t>万元，基金预算收入</w:t>
      </w:r>
      <w:r>
        <w:rPr>
          <w:rFonts w:ascii="Times New Roman" w:hAnsi="Times New Roman" w:eastAsia="仿宋_GB2312"/>
          <w:sz w:val="32"/>
          <w:szCs w:val="32"/>
        </w:rPr>
        <w:t>0</w:t>
      </w:r>
      <w:r>
        <w:rPr>
          <w:rFonts w:hint="eastAsia" w:ascii="Times New Roman" w:hAnsi="Times New Roman" w:eastAsia="仿宋_GB2312"/>
          <w:sz w:val="32"/>
          <w:szCs w:val="32"/>
        </w:rPr>
        <w:t>万元，财政专户核拨收入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、支出说明</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收支预算总表支出栏、基本支出表、项目支出表按经济分类和支出功能分类科目编制，反映廊坊市广阳区建设局年度部门预算中支出预算的总体情况。</w:t>
      </w:r>
      <w:r>
        <w:rPr>
          <w:rFonts w:ascii="Times New Roman" w:hAnsi="Times New Roman" w:eastAsia="仿宋_GB2312"/>
          <w:sz w:val="32"/>
          <w:szCs w:val="32"/>
        </w:rPr>
        <w:t>2019</w:t>
      </w:r>
      <w:r>
        <w:rPr>
          <w:rFonts w:hint="eastAsia" w:ascii="Times New Roman" w:hAnsi="Times New Roman" w:eastAsia="仿宋_GB2312"/>
          <w:sz w:val="32"/>
          <w:szCs w:val="32"/>
        </w:rPr>
        <w:t>年支出预算</w:t>
      </w:r>
      <w:r>
        <w:rPr>
          <w:rFonts w:ascii="Times New Roman" w:hAnsi="Times New Roman" w:eastAsia="仿宋_GB2312"/>
          <w:sz w:val="32"/>
          <w:szCs w:val="32"/>
        </w:rPr>
        <w:t>10332.63</w:t>
      </w:r>
      <w:r>
        <w:rPr>
          <w:rFonts w:hint="eastAsia" w:ascii="Times New Roman" w:hAnsi="Times New Roman" w:eastAsia="仿宋_GB2312"/>
          <w:sz w:val="32"/>
          <w:szCs w:val="32"/>
        </w:rPr>
        <w:t>万元，其中基本支出</w:t>
      </w:r>
      <w:r>
        <w:rPr>
          <w:rFonts w:ascii="Times New Roman" w:hAnsi="Times New Roman" w:eastAsia="仿宋_GB2312"/>
          <w:sz w:val="32"/>
          <w:szCs w:val="32"/>
        </w:rPr>
        <w:t>1240.13</w:t>
      </w:r>
      <w:r>
        <w:rPr>
          <w:rFonts w:hint="eastAsia" w:ascii="Times New Roman" w:hAnsi="Times New Roman" w:eastAsia="仿宋_GB2312"/>
          <w:sz w:val="32"/>
          <w:szCs w:val="32"/>
        </w:rPr>
        <w:t>万元，包括人员经费</w:t>
      </w:r>
      <w:r>
        <w:rPr>
          <w:rFonts w:ascii="Times New Roman" w:hAnsi="Times New Roman" w:eastAsia="仿宋_GB2312"/>
          <w:sz w:val="32"/>
          <w:szCs w:val="32"/>
        </w:rPr>
        <w:t>1142</w:t>
      </w:r>
      <w:r>
        <w:rPr>
          <w:rFonts w:hint="eastAsia" w:ascii="Times New Roman" w:hAnsi="Times New Roman" w:eastAsia="仿宋_GB2312"/>
          <w:sz w:val="32"/>
          <w:szCs w:val="32"/>
        </w:rPr>
        <w:t>万元和日常公用经费</w:t>
      </w:r>
      <w:r>
        <w:rPr>
          <w:rFonts w:ascii="Times New Roman" w:hAnsi="Times New Roman" w:eastAsia="仿宋_GB2312"/>
          <w:sz w:val="32"/>
          <w:szCs w:val="32"/>
        </w:rPr>
        <w:t>98.13</w:t>
      </w:r>
      <w:r>
        <w:rPr>
          <w:rFonts w:hint="eastAsia" w:ascii="Times New Roman" w:hAnsi="Times New Roman" w:eastAsia="仿宋_GB2312"/>
          <w:sz w:val="32"/>
          <w:szCs w:val="32"/>
        </w:rPr>
        <w:t>万元；项目支出</w:t>
      </w:r>
      <w:r>
        <w:rPr>
          <w:rFonts w:ascii="Times New Roman" w:hAnsi="Times New Roman" w:eastAsia="仿宋_GB2312"/>
          <w:sz w:val="32"/>
          <w:szCs w:val="32"/>
        </w:rPr>
        <w:t>9092.5</w:t>
      </w:r>
      <w:r>
        <w:rPr>
          <w:rFonts w:hint="eastAsia" w:ascii="Times New Roman" w:hAnsi="Times New Roman" w:eastAsia="仿宋_GB2312"/>
          <w:sz w:val="32"/>
          <w:szCs w:val="32"/>
        </w:rPr>
        <w:t>万元，包括本级支出</w:t>
      </w:r>
      <w:r>
        <w:rPr>
          <w:rFonts w:ascii="Times New Roman" w:hAnsi="Times New Roman" w:eastAsia="仿宋_GB2312"/>
          <w:sz w:val="32"/>
          <w:szCs w:val="32"/>
        </w:rPr>
        <w:t>8215.5</w:t>
      </w:r>
      <w:r>
        <w:rPr>
          <w:rFonts w:hint="eastAsia" w:ascii="Times New Roman" w:hAnsi="Times New Roman" w:eastAsia="仿宋_GB2312"/>
          <w:sz w:val="32"/>
          <w:szCs w:val="32"/>
        </w:rPr>
        <w:t>万元和提前下达支出</w:t>
      </w:r>
      <w:r>
        <w:rPr>
          <w:rFonts w:ascii="Times New Roman" w:hAnsi="Times New Roman" w:eastAsia="仿宋_GB2312"/>
          <w:sz w:val="32"/>
          <w:szCs w:val="32"/>
        </w:rPr>
        <w:t>877</w:t>
      </w:r>
      <w:r>
        <w:rPr>
          <w:rFonts w:hint="eastAsia" w:ascii="Times New Roman" w:hAnsi="Times New Roman" w:eastAsia="仿宋_GB2312"/>
          <w:sz w:val="32"/>
          <w:szCs w:val="32"/>
        </w:rPr>
        <w:t>万元，主要为住房保障支出、节能环保支出等。</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、比上年增减情况</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年预算收支安排</w:t>
      </w:r>
      <w:r>
        <w:rPr>
          <w:rFonts w:ascii="Times New Roman" w:hAnsi="Times New Roman" w:eastAsia="仿宋_GB2312"/>
          <w:sz w:val="32"/>
          <w:szCs w:val="32"/>
        </w:rPr>
        <w:t>10332.63</w:t>
      </w:r>
      <w:r>
        <w:rPr>
          <w:rFonts w:hint="eastAsia" w:ascii="Times New Roman" w:hAnsi="Times New Roman" w:eastAsia="仿宋_GB2312"/>
          <w:sz w:val="32"/>
          <w:szCs w:val="32"/>
        </w:rPr>
        <w:t>万元，较</w:t>
      </w:r>
      <w:r>
        <w:rPr>
          <w:rFonts w:ascii="Times New Roman" w:hAnsi="Times New Roman" w:eastAsia="仿宋_GB2312"/>
          <w:sz w:val="32"/>
          <w:szCs w:val="32"/>
        </w:rPr>
        <w:t>2018</w:t>
      </w:r>
      <w:r>
        <w:rPr>
          <w:rFonts w:hint="eastAsia" w:ascii="Times New Roman" w:hAnsi="Times New Roman" w:eastAsia="仿宋_GB2312"/>
          <w:sz w:val="32"/>
          <w:szCs w:val="32"/>
        </w:rPr>
        <w:t>年预算增加</w:t>
      </w:r>
      <w:r>
        <w:rPr>
          <w:rFonts w:ascii="Times New Roman" w:hAnsi="Times New Roman" w:eastAsia="仿宋_GB2312"/>
          <w:sz w:val="32"/>
          <w:szCs w:val="32"/>
        </w:rPr>
        <w:t>1184.76</w:t>
      </w:r>
      <w:r>
        <w:rPr>
          <w:rFonts w:hint="eastAsia" w:ascii="Times New Roman" w:hAnsi="Times New Roman" w:eastAsia="仿宋_GB2312"/>
          <w:sz w:val="32"/>
          <w:szCs w:val="32"/>
        </w:rPr>
        <w:t>万元，其中：基本支出增加</w:t>
      </w:r>
      <w:r>
        <w:rPr>
          <w:rFonts w:ascii="Times New Roman" w:hAnsi="Times New Roman" w:eastAsia="仿宋_GB2312"/>
          <w:sz w:val="32"/>
          <w:szCs w:val="32"/>
        </w:rPr>
        <w:t>639.17</w:t>
      </w:r>
      <w:r>
        <w:rPr>
          <w:rFonts w:hint="eastAsia" w:ascii="Times New Roman" w:hAnsi="Times New Roman" w:eastAsia="仿宋_GB2312"/>
          <w:sz w:val="32"/>
          <w:szCs w:val="32"/>
        </w:rPr>
        <w:t>万元，主要为人员经费支出；项目支出增加</w:t>
      </w:r>
      <w:r>
        <w:rPr>
          <w:rFonts w:ascii="Times New Roman" w:hAnsi="Times New Roman" w:eastAsia="仿宋_GB2312"/>
          <w:sz w:val="32"/>
          <w:szCs w:val="32"/>
        </w:rPr>
        <w:t>545.59</w:t>
      </w:r>
      <w:r>
        <w:rPr>
          <w:rFonts w:hint="eastAsia" w:ascii="Times New Roman" w:hAnsi="Times New Roman" w:eastAsia="仿宋_GB2312"/>
          <w:sz w:val="32"/>
          <w:szCs w:val="32"/>
        </w:rPr>
        <w:t>万元，主要为住房保障项目支出。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年，我部门机关运行经费共计安排1.84万元，</w:t>
      </w:r>
      <w:r>
        <w:rPr>
          <w:rFonts w:ascii="Times New Roman" w:hAnsi="Times New Roman" w:eastAsia="仿宋_GB2312"/>
          <w:sz w:val="32"/>
          <w:szCs w:val="32"/>
        </w:rPr>
        <w:t>主要用于</w:t>
      </w:r>
      <w:r>
        <w:rPr>
          <w:rFonts w:hint="eastAsia" w:ascii="Times New Roman" w:hAnsi="Times New Roman" w:eastAsia="仿宋_GB2312"/>
          <w:sz w:val="32"/>
          <w:szCs w:val="32"/>
        </w:rPr>
        <w:t>机关</w:t>
      </w:r>
      <w:r>
        <w:rPr>
          <w:rFonts w:ascii="Times New Roman" w:hAnsi="Times New Roman" w:eastAsia="仿宋_GB2312"/>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sz w:val="32"/>
          <w:szCs w:val="32"/>
        </w:rPr>
      </w:pPr>
      <w:r>
        <w:rPr>
          <w:rFonts w:hint="eastAsia" w:ascii="Times New Roman" w:hAnsi="黑体" w:eastAsia="黑体"/>
          <w:sz w:val="32"/>
          <w:szCs w:val="32"/>
        </w:rPr>
        <w:t>四、财政拨款“三公”经费预算情况及增减变化原因</w:t>
      </w:r>
    </w:p>
    <w:p>
      <w:pPr>
        <w:spacing w:line="584" w:lineRule="exact"/>
        <w:ind w:firstLine="640" w:firstLineChars="200"/>
        <w:jc w:val="left"/>
        <w:rPr>
          <w:rFonts w:ascii="Times New Roman" w:hAnsi="Times New Roman" w:eastAsia="仿宋_GB2312"/>
          <w:color w:val="FF0000"/>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ascii="Times New Roman" w:hAnsi="Times New Roman" w:eastAsia="仿宋_GB2312"/>
          <w:sz w:val="32"/>
          <w:szCs w:val="32"/>
        </w:rPr>
        <w:t>4.37</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ascii="Times New Roman" w:hAnsi="Times New Roman" w:eastAsia="仿宋_GB2312"/>
          <w:sz w:val="32"/>
          <w:szCs w:val="32"/>
        </w:rPr>
        <w:t>4.37</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w:t>
      </w:r>
      <w:r>
        <w:rPr>
          <w:rFonts w:ascii="Times New Roman" w:hAnsi="Times New Roman" w:eastAsia="仿宋_GB2312"/>
          <w:sz w:val="32"/>
          <w:szCs w:val="32"/>
        </w:rPr>
        <w:t>4.37</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ascii="Times New Roman" w:hAnsi="Times New Roman" w:eastAsia="仿宋_GB2312"/>
          <w:sz w:val="32"/>
          <w:szCs w:val="32"/>
        </w:rPr>
        <w:t>0</w:t>
      </w:r>
      <w:r>
        <w:rPr>
          <w:rFonts w:hint="eastAsia" w:ascii="Times New Roman" w:hAnsi="Times New Roman" w:eastAsia="仿宋_GB2312"/>
          <w:sz w:val="32"/>
          <w:szCs w:val="32"/>
        </w:rPr>
        <w:t>万元。与</w:t>
      </w:r>
      <w:r>
        <w:rPr>
          <w:rFonts w:ascii="Times New Roman" w:hAnsi="Times New Roman" w:eastAsia="仿宋_GB2312"/>
          <w:sz w:val="32"/>
          <w:szCs w:val="32"/>
        </w:rPr>
        <w:t>2018</w:t>
      </w:r>
      <w:r>
        <w:rPr>
          <w:rFonts w:hint="eastAsia" w:ascii="Times New Roman" w:hAnsi="Times New Roman" w:eastAsia="仿宋_GB2312"/>
          <w:sz w:val="32"/>
          <w:szCs w:val="32"/>
        </w:rPr>
        <w:t>年相比减少</w:t>
      </w:r>
      <w:r>
        <w:rPr>
          <w:rFonts w:ascii="Times New Roman" w:hAnsi="Times New Roman" w:eastAsia="仿宋_GB2312"/>
          <w:sz w:val="32"/>
          <w:szCs w:val="32"/>
        </w:rPr>
        <w:t>0.23</w:t>
      </w:r>
      <w:r>
        <w:rPr>
          <w:rFonts w:hint="eastAsia" w:ascii="Times New Roman" w:hAnsi="Times New Roman" w:eastAsia="仿宋_GB2312"/>
          <w:sz w:val="32"/>
          <w:szCs w:val="32"/>
        </w:rPr>
        <w:t>万元，其中，公务用车购置及运维费减少</w:t>
      </w:r>
      <w:r>
        <w:rPr>
          <w:rFonts w:ascii="Times New Roman" w:hAnsi="Times New Roman" w:eastAsia="仿宋_GB2312"/>
          <w:sz w:val="32"/>
          <w:szCs w:val="32"/>
        </w:rPr>
        <w:t>0.23</w:t>
      </w:r>
      <w:r>
        <w:rPr>
          <w:rFonts w:hint="eastAsia" w:ascii="Times New Roman" w:hAnsi="Times New Roman" w:eastAsia="仿宋_GB2312"/>
          <w:sz w:val="32"/>
          <w:szCs w:val="32"/>
        </w:rPr>
        <w:t>万元（其中：公务用车购置费减少</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万元，公务用车运维费减少</w:t>
      </w:r>
      <w:r>
        <w:rPr>
          <w:rFonts w:ascii="Times New Roman" w:hAnsi="Times New Roman" w:eastAsia="仿宋_GB2312"/>
          <w:sz w:val="32"/>
          <w:szCs w:val="32"/>
        </w:rPr>
        <w:t>0.23</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，主要原因是我部门切实落实勤俭节约各项规定，压减公车运行经费支出；公务接待费增减0万元，与</w:t>
      </w:r>
      <w:r>
        <w:rPr>
          <w:rFonts w:ascii="Times New Roman" w:hAnsi="Times New Roman" w:eastAsia="仿宋_GB2312"/>
          <w:sz w:val="32"/>
          <w:szCs w:val="32"/>
        </w:rPr>
        <w:t>2018</w:t>
      </w:r>
      <w:r>
        <w:rPr>
          <w:rFonts w:hint="eastAsia" w:ascii="Times New Roman" w:hAnsi="Times New Roman" w:eastAsia="仿宋_GB2312"/>
          <w:sz w:val="32"/>
          <w:szCs w:val="32"/>
        </w:rPr>
        <w:t>年相比持平，无增减变化。</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五、绩效预算信息</w:t>
      </w:r>
    </w:p>
    <w:p>
      <w:pPr>
        <w:spacing w:line="584" w:lineRule="exact"/>
        <w:ind w:firstLine="643" w:firstLineChars="200"/>
        <w:jc w:val="left"/>
        <w:rPr>
          <w:rFonts w:ascii="Times New Roman" w:hAnsi="Times New Roman" w:eastAsia="楷体_GB2312"/>
          <w:b/>
          <w:sz w:val="32"/>
          <w:szCs w:val="32"/>
        </w:rPr>
      </w:pPr>
      <w:bookmarkStart w:id="0" w:name="_Toc471398463"/>
      <w:r>
        <w:rPr>
          <w:rFonts w:hint="eastAsia" w:ascii="Times New Roman" w:hAnsi="Times New Roman" w:eastAsia="楷体_GB2312"/>
          <w:b/>
          <w:sz w:val="32"/>
          <w:szCs w:val="32"/>
        </w:rPr>
        <w:t>总体绩效目标：</w:t>
      </w:r>
    </w:p>
    <w:bookmarkEnd w:id="0"/>
    <w:p>
      <w:pPr>
        <w:spacing w:line="500" w:lineRule="exact"/>
        <w:ind w:firstLine="560"/>
        <w:rPr>
          <w:rFonts w:ascii="仿宋_GB2312" w:eastAsia="仿宋_GB2312"/>
          <w:sz w:val="32"/>
          <w:szCs w:val="32"/>
        </w:rPr>
      </w:pPr>
      <w:bookmarkStart w:id="1" w:name="_Toc504489147"/>
      <w:r>
        <w:rPr>
          <w:rFonts w:hint="eastAsia" w:ascii="仿宋_GB2312" w:eastAsia="仿宋_GB2312"/>
          <w:sz w:val="32"/>
          <w:szCs w:val="32"/>
        </w:rPr>
        <w:t>严格把控行业管理及扬尘防控工作,继续做好农村危房改造工作,改善城乡环境卫生工作,迅速推进棚户区改造建设工作,安全监管气代煤工作,冬季供暖保障工作。</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numPr>
          <w:ilvl w:val="0"/>
          <w:numId w:val="1"/>
        </w:numPr>
        <w:spacing w:line="500" w:lineRule="exact"/>
        <w:rPr>
          <w:rFonts w:ascii="仿宋_GB2312" w:eastAsia="仿宋_GB2312"/>
          <w:sz w:val="32"/>
          <w:szCs w:val="32"/>
        </w:rPr>
      </w:pPr>
      <w:r>
        <w:rPr>
          <w:rFonts w:hint="eastAsia" w:ascii="仿宋_GB2312" w:eastAsia="仿宋_GB2312"/>
          <w:sz w:val="32"/>
          <w:szCs w:val="32"/>
        </w:rPr>
        <w:t>负责辖区范围建筑市场管理、稽查工作以及办理工程施工许可证。</w:t>
      </w:r>
    </w:p>
    <w:p>
      <w:pPr>
        <w:spacing w:line="500" w:lineRule="exact"/>
        <w:ind w:left="560"/>
        <w:rPr>
          <w:rFonts w:ascii="仿宋_GB2312" w:eastAsia="仿宋_GB2312"/>
          <w:sz w:val="32"/>
          <w:szCs w:val="32"/>
        </w:rPr>
      </w:pPr>
      <w:r>
        <w:rPr>
          <w:rFonts w:hint="eastAsia" w:ascii="仿宋_GB2312" w:eastAsia="仿宋_GB2312"/>
          <w:sz w:val="32"/>
          <w:szCs w:val="32"/>
        </w:rPr>
        <w:t>年度绩效目标：规范建筑市场各方主体行为，促进建筑市场健康发展。加强市场监测，促进全区</w:t>
      </w:r>
    </w:p>
    <w:p>
      <w:pPr>
        <w:spacing w:line="500" w:lineRule="exact"/>
        <w:rPr>
          <w:rFonts w:ascii="仿宋_GB2312" w:eastAsia="仿宋_GB2312"/>
          <w:sz w:val="32"/>
          <w:szCs w:val="32"/>
        </w:rPr>
      </w:pPr>
      <w:r>
        <w:rPr>
          <w:rFonts w:hint="eastAsia" w:ascii="仿宋_GB2312" w:eastAsia="仿宋_GB2312"/>
          <w:sz w:val="32"/>
          <w:szCs w:val="32"/>
        </w:rPr>
        <w:t>房地产市场持续健康发展，做好全区的建筑市场稽查管理工作，建筑工程施工许可审批率、合同履约跟踪管理覆盖率90%以上。</w:t>
      </w:r>
    </w:p>
    <w:p>
      <w:pPr>
        <w:spacing w:line="500" w:lineRule="exact"/>
        <w:ind w:firstLine="560"/>
        <w:rPr>
          <w:rFonts w:ascii="仿宋_GB2312" w:eastAsia="仿宋_GB2312"/>
          <w:sz w:val="32"/>
          <w:szCs w:val="32"/>
        </w:rPr>
      </w:pPr>
      <w:r>
        <w:rPr>
          <w:rFonts w:hint="eastAsia" w:ascii="仿宋_GB2312" w:eastAsia="仿宋_GB2312"/>
          <w:sz w:val="32"/>
          <w:szCs w:val="32"/>
        </w:rPr>
        <w:t>（二）负责辖区范围办理质量监督备案、安全生产监督备案的建设工程项目实施监督管理。</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年度绩效目标：提高建筑工程质量，减少建筑安全生产事故，提高行业水平，力争质量安全备案率90%以上，确保建筑工程施工现场达标率90%。</w:t>
      </w:r>
    </w:p>
    <w:p>
      <w:pPr>
        <w:spacing w:line="500" w:lineRule="exact"/>
        <w:ind w:firstLine="560"/>
        <w:rPr>
          <w:rFonts w:ascii="仿宋_GB2312" w:eastAsia="仿宋_GB2312"/>
          <w:sz w:val="32"/>
          <w:szCs w:val="32"/>
        </w:rPr>
      </w:pPr>
      <w:r>
        <w:rPr>
          <w:rFonts w:hint="eastAsia" w:ascii="仿宋_GB2312" w:eastAsia="仿宋_GB2312"/>
          <w:sz w:val="32"/>
          <w:szCs w:val="32"/>
        </w:rPr>
        <w:t>（三）负责全区村镇建设工作。</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年度绩效目标：加强村镇建设，改善农村人居环境，实现城乡统筹发展。加大城乡环卫整治力度，力争垃圾处理率80%以上。</w:t>
      </w:r>
    </w:p>
    <w:p>
      <w:pPr>
        <w:spacing w:line="500" w:lineRule="exact"/>
        <w:ind w:firstLine="560"/>
        <w:rPr>
          <w:rFonts w:ascii="仿宋_GB2312" w:eastAsia="仿宋_GB2312"/>
          <w:sz w:val="32"/>
          <w:szCs w:val="32"/>
        </w:rPr>
      </w:pPr>
      <w:r>
        <w:rPr>
          <w:rFonts w:hint="eastAsia" w:ascii="仿宋_GB2312" w:eastAsia="仿宋_GB2312"/>
          <w:sz w:val="32"/>
          <w:szCs w:val="32"/>
        </w:rPr>
        <w:t>（四）负责组织广阳区城市棚户区城（旧）改（危陋住宅区）居民调查摸底和登记建档、编制广阳区城市棚户区（危陋住宅区）改造计划和项目实施方案、拆迁成本核算、等项工作。</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组织编制建设行业发展规划，拟定相关法规规章草案政策和行业技术标准，推进全系统依法行政，加强行政许可管理，开展建设行业对外合作交流；加强全区住房城乡建设人才队伍建设，提高人才业务素质，激励工作热情，提高行业水平，法律制度适应本行业经济社会发展需要,矛盾有效化解，政群关系和谐，促进行业健康发展，提升机关及行业信息化水平，保障机关办公网络、门户网站及各类业务系统安全稳定运行；加大信息宣传力度，创造良好舆论氛围。力争工作目标完成率90</w:t>
      </w:r>
      <w:r>
        <w:rPr>
          <w:rFonts w:hint="eastAsia" w:ascii="仿宋_GB2312" w:eastAsia="方正仿宋_GBK"/>
          <w:sz w:val="32"/>
          <w:szCs w:val="32"/>
        </w:rPr>
        <w:t>﹪</w:t>
      </w:r>
      <w:r>
        <w:rPr>
          <w:rFonts w:hint="eastAsia" w:ascii="仿宋_GB2312" w:eastAsia="仿宋_GB2312"/>
          <w:sz w:val="32"/>
          <w:szCs w:val="32"/>
        </w:rPr>
        <w:t>以上，县城工作考核完成率80</w:t>
      </w:r>
      <w:r>
        <w:rPr>
          <w:rFonts w:hint="eastAsia" w:ascii="仿宋_GB2312" w:eastAsia="方正仿宋_GBK"/>
          <w:sz w:val="32"/>
          <w:szCs w:val="32"/>
        </w:rPr>
        <w:t>﹪</w:t>
      </w:r>
      <w:r>
        <w:rPr>
          <w:rFonts w:hint="eastAsia" w:ascii="仿宋_GB2312" w:eastAsia="仿宋_GB2312"/>
          <w:sz w:val="32"/>
          <w:szCs w:val="32"/>
        </w:rPr>
        <w:t>以上。</w:t>
      </w:r>
    </w:p>
    <w:p>
      <w:pPr>
        <w:spacing w:line="500" w:lineRule="exact"/>
        <w:ind w:firstLine="560"/>
        <w:rPr>
          <w:rFonts w:ascii="仿宋_GB2312" w:eastAsia="仿宋_GB2312"/>
          <w:sz w:val="32"/>
          <w:szCs w:val="32"/>
        </w:rPr>
      </w:pPr>
      <w:r>
        <w:rPr>
          <w:rFonts w:hint="eastAsia" w:ascii="仿宋_GB2312" w:eastAsia="仿宋_GB2312"/>
          <w:sz w:val="32"/>
          <w:szCs w:val="32"/>
        </w:rPr>
        <w:t>（五）组织开展全区人民防空宣传教育，负责全区的防空规划；</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组织编制建设行业发展规划，拟定相关法规规章草案政策和行业技术标准，推进全系统依法行政，加强行政许可管理，开展建设行业对外合作交流；组织编制科技发展规划，推进建设科技发展。加大信息宣传力度，创造良好舆论氛围。力争工作目标完成率90</w:t>
      </w:r>
      <w:r>
        <w:rPr>
          <w:rFonts w:hint="eastAsia" w:ascii="仿宋_GB2312" w:eastAsia="方正仿宋_GBK"/>
          <w:sz w:val="32"/>
          <w:szCs w:val="32"/>
        </w:rPr>
        <w:t>﹪</w:t>
      </w:r>
      <w:r>
        <w:rPr>
          <w:rFonts w:hint="eastAsia" w:ascii="仿宋_GB2312" w:eastAsia="仿宋_GB2312"/>
          <w:sz w:val="32"/>
          <w:szCs w:val="32"/>
        </w:rPr>
        <w:t>以上，县城工作考核完成率80</w:t>
      </w:r>
      <w:r>
        <w:rPr>
          <w:rFonts w:hint="eastAsia" w:ascii="仿宋_GB2312" w:eastAsia="方正仿宋_GBK"/>
          <w:sz w:val="32"/>
          <w:szCs w:val="32"/>
        </w:rPr>
        <w:t>﹪</w:t>
      </w:r>
      <w:r>
        <w:rPr>
          <w:rFonts w:hint="eastAsia" w:ascii="仿宋_GB2312" w:eastAsia="仿宋_GB2312"/>
          <w:sz w:val="32"/>
          <w:szCs w:val="32"/>
        </w:rPr>
        <w:t>以上。</w:t>
      </w:r>
    </w:p>
    <w:p>
      <w:pPr>
        <w:spacing w:line="500" w:lineRule="exact"/>
        <w:ind w:firstLine="560"/>
        <w:rPr>
          <w:rFonts w:ascii="仿宋_GB2312" w:eastAsia="仿宋_GB2312"/>
          <w:sz w:val="32"/>
          <w:szCs w:val="32"/>
        </w:rPr>
      </w:pPr>
      <w:r>
        <w:rPr>
          <w:rFonts w:hint="eastAsia" w:ascii="仿宋_GB2312" w:eastAsia="仿宋_GB2312"/>
          <w:sz w:val="32"/>
          <w:szCs w:val="32"/>
        </w:rPr>
        <w:t>（六）负责广阳区住房保障工作、广阳区危旧房屋管理工作、做好广阳区供暖服务、做好已售直管公房的公共部位和公共设施的维修管理工作；</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完成上级确定的城镇保障性安居工程年度建设任务，建立健全公平、公正、公开的分配机制和优质、高效管理服务机制，保障性住房及时分配到位。及时出台政策；妥善处理房改遗留问题，避免产生新的社会矛盾。加强基础设施建设。力争县城建设工作考核完成率90</w:t>
      </w:r>
      <w:r>
        <w:rPr>
          <w:rFonts w:hint="eastAsia" w:ascii="仿宋_GB2312" w:hAnsi="宋体" w:eastAsia="方正仿宋_GBK"/>
          <w:sz w:val="32"/>
          <w:szCs w:val="32"/>
        </w:rPr>
        <w:t>﹪</w:t>
      </w:r>
      <w:r>
        <w:rPr>
          <w:rFonts w:hint="eastAsia" w:ascii="仿宋_GB2312" w:eastAsia="仿宋_GB2312"/>
          <w:sz w:val="32"/>
          <w:szCs w:val="32"/>
        </w:rPr>
        <w:t>以上，服务对象满意度90</w:t>
      </w:r>
      <w:r>
        <w:rPr>
          <w:rFonts w:hint="eastAsia" w:ascii="仿宋_GB2312" w:hAnsi="宋体" w:eastAsia="方正仿宋_GBK"/>
          <w:sz w:val="32"/>
          <w:szCs w:val="32"/>
        </w:rPr>
        <w:t>﹪</w:t>
      </w:r>
      <w:r>
        <w:rPr>
          <w:rFonts w:hint="eastAsia" w:ascii="仿宋_GB2312" w:eastAsia="仿宋_GB2312"/>
          <w:sz w:val="32"/>
          <w:szCs w:val="32"/>
        </w:rPr>
        <w:t>以上。</w:t>
      </w:r>
    </w:p>
    <w:p>
      <w:pPr>
        <w:spacing w:line="584" w:lineRule="exact"/>
        <w:ind w:firstLine="560"/>
        <w:rPr>
          <w:rFonts w:ascii="Times New Roman" w:hAnsi="Times New Roman" w:eastAsia="楷体_GB2312"/>
          <w:b/>
          <w:sz w:val="32"/>
          <w:szCs w:val="32"/>
        </w:rPr>
      </w:pPr>
    </w:p>
    <w:p>
      <w:pPr>
        <w:spacing w:line="584" w:lineRule="exact"/>
        <w:ind w:firstLine="560"/>
        <w:rPr>
          <w:rFonts w:ascii="Times New Roman" w:hAnsi="Times New Roman" w:eastAsia="楷体_GB2312"/>
          <w:b/>
          <w:sz w:val="32"/>
          <w:szCs w:val="32"/>
        </w:rPr>
      </w:pPr>
    </w:p>
    <w:p>
      <w:pPr>
        <w:spacing w:line="584" w:lineRule="exact"/>
        <w:ind w:firstLine="560"/>
        <w:rPr>
          <w:rFonts w:ascii="Times New Roman" w:hAnsi="Times New Roman" w:eastAsia="楷体_GB2312"/>
          <w:b/>
          <w:sz w:val="32"/>
          <w:szCs w:val="32"/>
        </w:rPr>
      </w:pPr>
    </w:p>
    <w:p>
      <w:pPr>
        <w:spacing w:line="584" w:lineRule="exact"/>
        <w:ind w:firstLine="560"/>
        <w:rPr>
          <w:rFonts w:ascii="Times New Roman" w:hAnsi="Times New Roman" w:eastAsia="楷体_GB2312"/>
          <w:b/>
          <w:sz w:val="32"/>
          <w:szCs w:val="32"/>
        </w:rPr>
      </w:pPr>
    </w:p>
    <w:p>
      <w:pPr>
        <w:spacing w:line="584" w:lineRule="exact"/>
        <w:ind w:firstLine="560"/>
        <w:rPr>
          <w:rFonts w:ascii="Times New Roman" w:hAnsi="Times New Roman" w:eastAsia="楷体_GB2312"/>
          <w:b/>
          <w:sz w:val="32"/>
          <w:szCs w:val="32"/>
        </w:rPr>
      </w:pPr>
    </w:p>
    <w:p>
      <w:pPr>
        <w:spacing w:line="584" w:lineRule="exact"/>
        <w:ind w:firstLine="560"/>
        <w:rPr>
          <w:rFonts w:ascii="Times New Roman" w:hAnsi="Times New Roman" w:eastAsia="楷体_GB2312"/>
          <w:b/>
          <w:sz w:val="32"/>
          <w:szCs w:val="32"/>
        </w:rPr>
      </w:pPr>
      <w:r>
        <w:rPr>
          <w:rFonts w:ascii="Times New Roman" w:hAnsi="Times New Roman" w:eastAsia="楷体_GB2312"/>
          <w:b/>
          <w:sz w:val="32"/>
          <w:szCs w:val="32"/>
        </w:rPr>
        <w:t>部门职责及工作活动绩效目标指标：</w:t>
      </w:r>
      <w:bookmarkEnd w:id="1"/>
    </w:p>
    <w:p>
      <w:pPr>
        <w:spacing w:line="584" w:lineRule="exact"/>
        <w:jc w:val="center"/>
        <w:outlineLvl w:val="0"/>
        <w:rPr>
          <w:rFonts w:ascii="Times New Roman" w:hAnsi="Times New Roman" w:eastAsia="仿宋_GB2312"/>
          <w:b/>
          <w:sz w:val="32"/>
        </w:rPr>
      </w:pPr>
      <w:r>
        <w:rPr>
          <w:rFonts w:ascii="Times New Roman" w:hAnsi="Times New Roman" w:eastAsia="仿宋_GB2312"/>
          <w:b/>
          <w:sz w:val="32"/>
        </w:rPr>
        <w:t>部门职责-工作活动绩效目标</w:t>
      </w: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601廊坊市广阳区建设局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一、住房保障及公积金管理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785.00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指导实施住房保障政策；承办城镇保障性安居工程资金安排有关事项；组织编制住房保障建设发展规划和年度计划并组织实施；负责住房制度改革；监督住房公积金和其他住房资金的管理。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建立城镇住房保障体系，稳妥推进住房制度改革，按照国家要求达到城镇住房保障工作目标，确保住房公积金的有效使用。</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1、保障性安居工程建设管理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785.00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制定保障性安居工程建设规划，拟定年度建设目标并监督实施；承担区保障性安居工程领导小组办公室职责；研究拟定保障性安居工程政策并监督实施，对项目分配、管理和运营情况监督指导；组织实施区保障房建设和管理。</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完成上级确定的城镇保障性安居工程年度建设任务，建立健全公平、公正、公开的分配机制和优质、高效管理服务机制，保障性住房及时分配到位。及时出台政策；妥善处理房改遗留问题，避免产生新的社会矛盾</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新增租赁补贴户数完成率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≥55</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＜55</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保障性住房竣工率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≥55</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＜55</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保障性住房开工率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≥55</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＜55</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二、城乡规划</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定城乡规划技术管理标准和导则。组织城镇体系规划等层面规划编制，组织参与层面规划编制，督导各地依法编制总体规划、专项规划、控制性详细规划、历史文化名城和街区保护规划等。对由政府审批的规划进行监督实施。</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加强城乡规划管理，协调城乡空间布局，改善人居环境，促进城乡经济社会全面协调可持续发展。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1、城乡规划制订、实施与监督</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定全区城乡规划管理政策，制定城乡规划技术管理标准和导则；组织区域城镇体系规划等区级层面规划编制，依法编制总体规划、专项规划、控制性详细规划、历史文化名城和街区保护等专项规划。审查、督导依法编制城乡规划；加强和改进规划管理技术手段，对依法批准的城乡规划进行监督实施。</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完成本级规划编制，健全规划体系</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动态监测报告完成率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数字规划建设覆盖率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规划完成率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规划审批率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三、城乡建设管理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7894.10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城市市政公用设施建设、安全和应急管理；拟定风景名胜区的发展规划、政策并指导实施；拟定村庄和小城镇建设政策并指导实施；指导镇、乡村庄规划的编制和实施；指导农村住房建设、住房安全和危房改造；改善小城镇和村庄人居环境；指导做好国家级重点镇及市级重点镇的建设。</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加强管理，提高城市承载能力和宜居度。加强村镇建设，改善农村人居环境，实现城乡统筹发展。协调和指导推进城镇化工作，加快城镇化进程。指导城市建设投融资体制改革，破解融资难题。</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1、市政公用设施建设与管理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城市供水、节水、燃气、热力、市政设施、园林、污水处理、垃圾处理等设施建设，指导城市规划区的绿化和生物多样性工作；指导全区城镇绿道绿廊建设；加强生态示范城市建设，积极探索推进行业发展的新研究；指导市政公用设施安全和应急管理；推进供热计量改革，开展燃气行业安全监督检查；指导城市园林水域安全监管；开展公园、绿地技术评估和动态监测；承担国家级、市级风景名胜区、世界自然遗产和世界自然文化双重遗产项目的有关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加强基础设施建设</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供热计量收费率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绿化工程完成率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基础设施建设工作目标完成率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2、推进城镇化建设</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7894.10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推进城区新区建设与旧城改造，推进小城镇和集镇人居环境改善，指导国家级重点镇及省级重点镇的建设；做好城区规划、环境质量、居住水平、产业聚集、风貌特色、综合管理、城建投融资等指导工作，加快城市建设投融资体制改革，全面推进城区建设上水平；协调和指导推进城镇化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加强村镇建设，改善农村人居环境，实现城乡统筹发展，指导推进城区新区建设与旧城改造，</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县城建设工作考核完成率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无物业老旧小区改造完成率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危房改造完成率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垃圾处理率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四、建筑业、房地产市场监管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规范建筑市场、工程造价管理及建筑工程招投标管理，拟订工程建设、建筑业行业发展政策、规章制度并监督执行，拟订工程建设计价依据和管理制度;拟订房地产市场监管政策并监督执行，制订房地产开发、房屋租赁、房屋面积管理、房地产估价与经纪管理、物业管理的规章制度并监督执行。</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规范建筑市场各方主体行为，促进建筑市场健康发展。提高建筑工程质量，减少建筑安全生产事故，提高行业水平。加强市场监测，促进全区房地产市场持续健康发展。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1、全区建筑业管理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拟定全区工程建设、建筑业发展政策、规章制度并监督执行，规范建筑市场各方主体行为。</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规范建筑市场各方主体行为，促进建筑市场健康发展。加强市场监测，促进全区房地产市场持续健康发展。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合同履约跟踪管理覆盖率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质量安全备案率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执行农民工工资预储金制度数量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2、建筑工程质量安全监管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工程建设地方标准、工程质量、建筑安全生产的政策和规章制度并监督执行，组织编制城乡建设防灾减灾规划并监督实施，组织或参与工程重大质量、安全事故的调查处理，减少建筑安全生产事故；监督执行勘察设计咨询、工程建设监理、质量检测单位资质标准，提高行业水平。</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提高建筑工程质量，减少建筑安全生产事故，提高行业水平。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建筑工程施工许可审批率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建筑工程施工现场达标率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工程质量投诉结案率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工程的施工管理、验收资料完整率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安全生产检查次数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五、推进建筑节能</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城镇新建建筑节能监管；开展既有建筑节能改造；推动绿色建筑发展；推进可再生能源建筑应用；开展公共建筑能耗监测体系建设及公共建筑节能改造；开展建筑节能和绿色建筑示范建设；加强建设科技工作；组织实施建筑节能示范项目；加强新型墙体材料、新技术和新建筑节能产品的推广应用。</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提高建设科技对住房城乡建设发展的贡献率，充分发挥建筑节能在城镇节能减排中的作用；提高新型墙体材料、新技术和新建筑节能产品在新建建筑中应用。</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1、推进建筑节能</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引导推进建筑节能和绿色建筑，组织实施各项建筑节能、绿色建筑、新技术、新体系应用示范项目。推动绿色建筑及住宅产业化，引导建造方式转变，提升住宅性能和品质。</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提高建设科技对住房城乡建设发展的贡献率，充分发挥建筑节能在城镇节能减排中的作用；提高新型墙体材料、新技术和新建筑节能产品在新建建筑中应用。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节能环保建筑产品推广应用项目占比</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科技新成果完成率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既有居住建筑供热计量及节能改造任务完成率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建筑应用可再生能源面积比率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六、住建政务管理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413.40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负责住建系统综合业务管理和机关综合事务管理。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加强全区住房城乡建设人才队伍建设，提高人才业务素质，激励工作热情，提高行业水平。</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413.40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进全系统依法行政，加强行政许可管理和城市建设档案管理；拟定适合县情的住房政策，指导住房建设和建筑工程抗震防灾管理工作；制定全区住房和城乡建设工作的规范性文件、办法；组织编制科技发展规划和技术经济政策。</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编制建设行业发展规划，拟定相关法规规章草案政策和行业技术标准，推进全系统依法行政，加强行政许可管理，开展建设行业对外合作交流；组织编制科技发展规划，推进建设科技发展。市城建档案管理达到市档案局的工作要求，加强全区住房城乡建设人才队伍建设，提高人才业务素质，激励工作热情，提高行业水平，法律制度适应本行业经济社会发展需要,矛盾有效化解，政群关系和谐，促进行业健康发展，提升机关及行业信息化水平，保障机关办公网络、门户网站及各类业务系统安全稳定运行；加大信息宣传力度，创造良好舆论氛围。</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服务对象满意度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案件审结率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r>
              <w:rPr>
                <w:rFonts w:hint="eastAsia" w:ascii="仿宋_GB2312" w:eastAsia="方正书宋_GBK"/>
                <w:szCs w:val="21"/>
              </w:rPr>
              <w:t>﹪</w:t>
            </w:r>
          </w:p>
        </w:tc>
      </w:tr>
    </w:tbl>
    <w:p>
      <w:pPr>
        <w:spacing w:line="584" w:lineRule="exact"/>
        <w:ind w:firstLine="560"/>
        <w:rPr>
          <w:rFonts w:ascii="Times New Roman" w:hAnsi="Times New Roman" w:eastAsia="楷体_GB2312"/>
          <w:b/>
          <w:sz w:val="32"/>
          <w:szCs w:val="24"/>
        </w:rPr>
        <w:sectPr>
          <w:footerReference r:id="rId4" w:type="first"/>
          <w:footerReference r:id="rId3" w:type="default"/>
          <w:pgSz w:w="16839" w:h="11907" w:orient="landscape"/>
          <w:pgMar w:top="907" w:right="1361" w:bottom="907"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640" w:firstLineChars="200"/>
        <w:outlineLvl w:val="0"/>
        <w:rPr>
          <w:rFonts w:ascii="Times New Roman" w:hAnsi="Times New Roman" w:eastAsia="仿宋_GB2312"/>
          <w:sz w:val="32"/>
          <w:szCs w:val="24"/>
        </w:rPr>
      </w:pPr>
      <w:bookmarkStart w:id="2" w:name="_Toc471398468"/>
      <w:r>
        <w:rPr>
          <w:rFonts w:ascii="Times New Roman" w:hAnsi="Times New Roman" w:eastAsia="仿宋_GB2312"/>
          <w:sz w:val="32"/>
          <w:szCs w:val="24"/>
        </w:rPr>
        <w:t>2019</w:t>
      </w:r>
      <w:r>
        <w:rPr>
          <w:rFonts w:hint="eastAsia" w:ascii="Times New Roman" w:hAnsi="Times New Roman" w:eastAsia="仿宋_GB2312"/>
          <w:sz w:val="32"/>
          <w:szCs w:val="24"/>
        </w:rPr>
        <w:t>年，我部门安排政府采购预算</w:t>
      </w:r>
      <w:r>
        <w:rPr>
          <w:rFonts w:ascii="Times New Roman" w:hAnsi="Times New Roman" w:eastAsia="仿宋_GB2312"/>
          <w:sz w:val="32"/>
          <w:szCs w:val="24"/>
        </w:rPr>
        <w:t>90.6</w:t>
      </w:r>
      <w:r>
        <w:rPr>
          <w:rFonts w:hint="eastAsia" w:ascii="Times New Roman" w:hAnsi="Times New Roman" w:eastAsia="仿宋_GB2312"/>
          <w:sz w:val="32"/>
          <w:szCs w:val="24"/>
        </w:rPr>
        <w:t>万元。具体内容见下表。</w:t>
      </w:r>
    </w:p>
    <w:bookmarkEnd w:id="2"/>
    <w:p>
      <w:pPr>
        <w:spacing w:line="584" w:lineRule="exact"/>
        <w:jc w:val="center"/>
        <w:outlineLvl w:val="0"/>
        <w:rPr>
          <w:rFonts w:ascii="Times New Roman" w:hAnsi="Times New Roman" w:eastAsia="仿宋_GB2312"/>
          <w:sz w:val="32"/>
        </w:rPr>
      </w:pPr>
      <w:bookmarkStart w:id="3" w:name="_Toc504489153"/>
      <w:r>
        <w:rPr>
          <w:rFonts w:hint="eastAsia" w:ascii="Times New Roman" w:hAnsi="Times New Roman" w:eastAsia="仿宋_GB2312"/>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0"/>
        <w:gridCol w:w="941"/>
        <w:gridCol w:w="1466"/>
        <w:gridCol w:w="999"/>
        <w:gridCol w:w="714"/>
        <w:gridCol w:w="737"/>
        <w:gridCol w:w="947"/>
        <w:gridCol w:w="953"/>
        <w:gridCol w:w="953"/>
        <w:gridCol w:w="953"/>
        <w:gridCol w:w="787"/>
        <w:gridCol w:w="921"/>
        <w:gridCol w:w="92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16" w:type="pct"/>
            <w:gridSpan w:val="7"/>
            <w:tcBorders>
              <w:top w:val="single" w:color="FFFFFF" w:sz="6" w:space="0"/>
              <w:left w:val="single" w:color="FFFFFF" w:sz="6" w:space="0"/>
              <w:right w:val="single" w:color="FFFFFF" w:sz="6" w:space="0"/>
            </w:tcBorders>
            <w:vAlign w:val="center"/>
          </w:tcPr>
          <w:p>
            <w:pPr>
              <w:spacing w:line="584" w:lineRule="exact"/>
              <w:jc w:val="left"/>
              <w:rPr>
                <w:rFonts w:ascii="Times New Roman" w:hAnsi="Times New Roman" w:eastAsia="仿宋_GB2312"/>
                <w:sz w:val="24"/>
              </w:rPr>
            </w:pPr>
            <w:r>
              <w:rPr>
                <w:rFonts w:ascii="Times New Roman" w:hAnsi="Times New Roman" w:eastAsia="仿宋_GB2312"/>
                <w:sz w:val="24"/>
              </w:rPr>
              <w:t>601</w:t>
            </w:r>
            <w:r>
              <w:rPr>
                <w:rFonts w:hint="eastAsia" w:ascii="Times New Roman" w:hAnsi="Times New Roman" w:eastAsia="仿宋_GB2312"/>
                <w:sz w:val="24"/>
              </w:rPr>
              <w:t>廊坊市广阳区建设局</w:t>
            </w:r>
          </w:p>
        </w:tc>
        <w:tc>
          <w:tcPr>
            <w:tcW w:w="2184" w:type="pct"/>
            <w:gridSpan w:val="7"/>
            <w:tcBorders>
              <w:top w:val="single" w:color="FFFFFF" w:sz="6" w:space="0"/>
              <w:left w:val="single" w:color="FFFFFF" w:sz="6" w:space="0"/>
              <w:right w:val="single" w:color="FFFFFF" w:sz="6" w:space="0"/>
            </w:tcBorders>
            <w:vAlign w:val="center"/>
          </w:tcPr>
          <w:p>
            <w:pPr>
              <w:spacing w:line="584" w:lineRule="exact"/>
              <w:jc w:val="right"/>
              <w:rPr>
                <w:rFonts w:ascii="Times New Roman" w:hAnsi="Times New Roman" w:eastAsia="仿宋_GB2312"/>
                <w:sz w:val="24"/>
              </w:rPr>
            </w:pPr>
            <w:r>
              <w:rPr>
                <w:rFonts w:hint="eastAsia" w:ascii="Times New Roman" w:hAnsi="Times New Roman"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47" w:type="pct"/>
            <w:gridSpan w:val="2"/>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政府采购项目来源</w:t>
            </w:r>
          </w:p>
        </w:tc>
        <w:tc>
          <w:tcPr>
            <w:tcW w:w="503"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采购物品名称</w:t>
            </w:r>
          </w:p>
        </w:tc>
        <w:tc>
          <w:tcPr>
            <w:tcW w:w="343"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政府采购目录序号</w:t>
            </w:r>
          </w:p>
        </w:tc>
        <w:tc>
          <w:tcPr>
            <w:tcW w:w="245"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数量单位</w:t>
            </w:r>
          </w:p>
        </w:tc>
        <w:tc>
          <w:tcPr>
            <w:tcW w:w="253"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p>
        </w:tc>
        <w:tc>
          <w:tcPr>
            <w:tcW w:w="325"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单价</w:t>
            </w:r>
          </w:p>
        </w:tc>
        <w:tc>
          <w:tcPr>
            <w:tcW w:w="2184" w:type="pct"/>
            <w:gridSpan w:val="7"/>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4"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项目名称</w:t>
            </w:r>
          </w:p>
        </w:tc>
        <w:tc>
          <w:tcPr>
            <w:tcW w:w="323"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预算资金</w:t>
            </w:r>
          </w:p>
        </w:tc>
        <w:tc>
          <w:tcPr>
            <w:tcW w:w="503" w:type="pct"/>
            <w:vMerge w:val="continue"/>
            <w:vAlign w:val="center"/>
          </w:tcPr>
          <w:p>
            <w:pPr>
              <w:spacing w:line="584" w:lineRule="exact"/>
              <w:jc w:val="left"/>
              <w:outlineLvl w:val="0"/>
              <w:rPr>
                <w:rFonts w:ascii="Times New Roman" w:hAnsi="Times New Roman" w:eastAsia="仿宋_GB2312"/>
              </w:rPr>
            </w:pPr>
          </w:p>
        </w:tc>
        <w:tc>
          <w:tcPr>
            <w:tcW w:w="343" w:type="pct"/>
            <w:vMerge w:val="continue"/>
            <w:vAlign w:val="center"/>
          </w:tcPr>
          <w:p>
            <w:pPr>
              <w:spacing w:line="584" w:lineRule="exact"/>
              <w:jc w:val="left"/>
              <w:outlineLvl w:val="0"/>
              <w:rPr>
                <w:rFonts w:ascii="Times New Roman" w:hAnsi="Times New Roman" w:eastAsia="仿宋_GB2312"/>
              </w:rPr>
            </w:pPr>
          </w:p>
        </w:tc>
        <w:tc>
          <w:tcPr>
            <w:tcW w:w="245" w:type="pct"/>
            <w:vMerge w:val="continue"/>
            <w:vAlign w:val="center"/>
          </w:tcPr>
          <w:p>
            <w:pPr>
              <w:spacing w:line="584" w:lineRule="exact"/>
              <w:jc w:val="left"/>
              <w:outlineLvl w:val="0"/>
              <w:rPr>
                <w:rFonts w:ascii="Times New Roman" w:hAnsi="Times New Roman" w:eastAsia="仿宋_GB2312"/>
              </w:rPr>
            </w:pPr>
          </w:p>
        </w:tc>
        <w:tc>
          <w:tcPr>
            <w:tcW w:w="253" w:type="pct"/>
            <w:vMerge w:val="continue"/>
            <w:vAlign w:val="center"/>
          </w:tcPr>
          <w:p>
            <w:pPr>
              <w:spacing w:line="584" w:lineRule="exact"/>
              <w:jc w:val="left"/>
              <w:outlineLvl w:val="0"/>
              <w:rPr>
                <w:rFonts w:ascii="Times New Roman" w:hAnsi="Times New Roman" w:eastAsia="仿宋_GB2312"/>
              </w:rPr>
            </w:pPr>
          </w:p>
        </w:tc>
        <w:tc>
          <w:tcPr>
            <w:tcW w:w="325" w:type="pct"/>
            <w:vMerge w:val="continue"/>
            <w:vAlign w:val="center"/>
          </w:tcPr>
          <w:p>
            <w:pPr>
              <w:spacing w:line="584" w:lineRule="exact"/>
              <w:jc w:val="left"/>
              <w:outlineLvl w:val="0"/>
              <w:rPr>
                <w:rFonts w:ascii="Times New Roman" w:hAnsi="Times New Roman" w:eastAsia="仿宋_GB2312"/>
              </w:rPr>
            </w:pPr>
          </w:p>
        </w:tc>
        <w:tc>
          <w:tcPr>
            <w:tcW w:w="327"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总计</w:t>
            </w:r>
          </w:p>
        </w:tc>
        <w:tc>
          <w:tcPr>
            <w:tcW w:w="1559" w:type="pct"/>
            <w:gridSpan w:val="5"/>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当年部门预算安排资金</w:t>
            </w:r>
          </w:p>
        </w:tc>
        <w:tc>
          <w:tcPr>
            <w:tcW w:w="298"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4" w:type="pct"/>
            <w:vMerge w:val="continue"/>
            <w:vAlign w:val="center"/>
          </w:tcPr>
          <w:p>
            <w:pPr>
              <w:spacing w:line="584" w:lineRule="exact"/>
              <w:jc w:val="left"/>
              <w:outlineLvl w:val="0"/>
              <w:rPr>
                <w:rFonts w:ascii="Times New Roman" w:hAnsi="Times New Roman" w:eastAsia="仿宋_GB2312"/>
              </w:rPr>
            </w:pPr>
          </w:p>
        </w:tc>
        <w:tc>
          <w:tcPr>
            <w:tcW w:w="323" w:type="pct"/>
            <w:vMerge w:val="continue"/>
            <w:vAlign w:val="center"/>
          </w:tcPr>
          <w:p>
            <w:pPr>
              <w:spacing w:line="584" w:lineRule="exact"/>
              <w:jc w:val="left"/>
              <w:outlineLvl w:val="0"/>
              <w:rPr>
                <w:rFonts w:ascii="Times New Roman" w:hAnsi="Times New Roman" w:eastAsia="仿宋_GB2312"/>
              </w:rPr>
            </w:pPr>
          </w:p>
        </w:tc>
        <w:tc>
          <w:tcPr>
            <w:tcW w:w="503" w:type="pct"/>
            <w:vMerge w:val="continue"/>
            <w:vAlign w:val="center"/>
          </w:tcPr>
          <w:p>
            <w:pPr>
              <w:spacing w:line="584" w:lineRule="exact"/>
              <w:jc w:val="left"/>
              <w:outlineLvl w:val="0"/>
              <w:rPr>
                <w:rFonts w:ascii="Times New Roman" w:hAnsi="Times New Roman" w:eastAsia="仿宋_GB2312"/>
              </w:rPr>
            </w:pPr>
          </w:p>
        </w:tc>
        <w:tc>
          <w:tcPr>
            <w:tcW w:w="343" w:type="pct"/>
            <w:vMerge w:val="continue"/>
            <w:vAlign w:val="center"/>
          </w:tcPr>
          <w:p>
            <w:pPr>
              <w:spacing w:line="584" w:lineRule="exact"/>
              <w:jc w:val="left"/>
              <w:outlineLvl w:val="0"/>
              <w:rPr>
                <w:rFonts w:ascii="Times New Roman" w:hAnsi="Times New Roman" w:eastAsia="仿宋_GB2312"/>
              </w:rPr>
            </w:pPr>
          </w:p>
        </w:tc>
        <w:tc>
          <w:tcPr>
            <w:tcW w:w="245" w:type="pct"/>
            <w:vMerge w:val="continue"/>
            <w:vAlign w:val="center"/>
          </w:tcPr>
          <w:p>
            <w:pPr>
              <w:spacing w:line="584" w:lineRule="exact"/>
              <w:jc w:val="left"/>
              <w:outlineLvl w:val="0"/>
              <w:rPr>
                <w:rFonts w:ascii="Times New Roman" w:hAnsi="Times New Roman" w:eastAsia="仿宋_GB2312"/>
              </w:rPr>
            </w:pPr>
          </w:p>
        </w:tc>
        <w:tc>
          <w:tcPr>
            <w:tcW w:w="253" w:type="pct"/>
            <w:vMerge w:val="continue"/>
            <w:vAlign w:val="center"/>
          </w:tcPr>
          <w:p>
            <w:pPr>
              <w:spacing w:line="584" w:lineRule="exact"/>
              <w:jc w:val="left"/>
              <w:outlineLvl w:val="0"/>
              <w:rPr>
                <w:rFonts w:ascii="Times New Roman" w:hAnsi="Times New Roman" w:eastAsia="仿宋_GB2312"/>
              </w:rPr>
            </w:pPr>
          </w:p>
        </w:tc>
        <w:tc>
          <w:tcPr>
            <w:tcW w:w="325" w:type="pct"/>
            <w:vMerge w:val="continue"/>
            <w:vAlign w:val="center"/>
          </w:tcPr>
          <w:p>
            <w:pPr>
              <w:spacing w:line="584" w:lineRule="exact"/>
              <w:jc w:val="left"/>
              <w:outlineLvl w:val="0"/>
              <w:rPr>
                <w:rFonts w:ascii="Times New Roman" w:hAnsi="Times New Roman" w:eastAsia="仿宋_GB2312"/>
              </w:rPr>
            </w:pPr>
          </w:p>
        </w:tc>
        <w:tc>
          <w:tcPr>
            <w:tcW w:w="327" w:type="pct"/>
            <w:vMerge w:val="continue"/>
            <w:vAlign w:val="center"/>
          </w:tcPr>
          <w:p>
            <w:pPr>
              <w:spacing w:line="584" w:lineRule="exact"/>
              <w:jc w:val="left"/>
              <w:outlineLvl w:val="0"/>
              <w:rPr>
                <w:rFonts w:ascii="Times New Roman" w:hAnsi="Times New Roman" w:eastAsia="仿宋_GB2312"/>
              </w:rPr>
            </w:pPr>
          </w:p>
        </w:tc>
        <w:tc>
          <w:tcPr>
            <w:tcW w:w="327"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合计</w:t>
            </w:r>
          </w:p>
        </w:tc>
        <w:tc>
          <w:tcPr>
            <w:tcW w:w="327"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一般公共预算拨款</w:t>
            </w:r>
          </w:p>
        </w:tc>
        <w:tc>
          <w:tcPr>
            <w:tcW w:w="270"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基金预算拨款</w:t>
            </w:r>
          </w:p>
        </w:tc>
        <w:tc>
          <w:tcPr>
            <w:tcW w:w="316"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财政专户核拨</w:t>
            </w:r>
          </w:p>
        </w:tc>
        <w:tc>
          <w:tcPr>
            <w:tcW w:w="319"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其他来源收入</w:t>
            </w:r>
          </w:p>
        </w:tc>
        <w:tc>
          <w:tcPr>
            <w:tcW w:w="298" w:type="pct"/>
            <w:vMerge w:val="continue"/>
            <w:vAlign w:val="center"/>
          </w:tcPr>
          <w:p>
            <w:pPr>
              <w:spacing w:line="584" w:lineRule="exact"/>
              <w:jc w:val="left"/>
              <w:outlineLvl w:val="0"/>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　计</w:t>
            </w:r>
          </w:p>
        </w:tc>
        <w:tc>
          <w:tcPr>
            <w:tcW w:w="323" w:type="pct"/>
            <w:vAlign w:val="center"/>
          </w:tcPr>
          <w:p>
            <w:pPr>
              <w:spacing w:line="584" w:lineRule="exact"/>
              <w:jc w:val="right"/>
              <w:rPr>
                <w:rFonts w:ascii="Times New Roman" w:hAnsi="Times New Roman" w:eastAsia="仿宋_GB2312"/>
                <w:b/>
              </w:rPr>
            </w:pPr>
            <w:r>
              <w:rPr>
                <w:rFonts w:ascii="Times New Roman" w:hAnsi="Times New Roman" w:eastAsia="仿宋_GB2312"/>
                <w:b/>
              </w:rPr>
              <w:t>90.6</w:t>
            </w:r>
          </w:p>
        </w:tc>
        <w:tc>
          <w:tcPr>
            <w:tcW w:w="503" w:type="pct"/>
            <w:vAlign w:val="center"/>
          </w:tcPr>
          <w:p>
            <w:pPr>
              <w:spacing w:line="584" w:lineRule="exact"/>
              <w:jc w:val="left"/>
              <w:rPr>
                <w:rFonts w:ascii="Times New Roman" w:hAnsi="Times New Roman" w:eastAsia="仿宋_GB2312"/>
                <w:b/>
              </w:rPr>
            </w:pPr>
          </w:p>
        </w:tc>
        <w:tc>
          <w:tcPr>
            <w:tcW w:w="343" w:type="pct"/>
            <w:vAlign w:val="center"/>
          </w:tcPr>
          <w:p>
            <w:pPr>
              <w:spacing w:line="584" w:lineRule="exact"/>
              <w:jc w:val="left"/>
              <w:rPr>
                <w:rFonts w:ascii="Times New Roman" w:hAnsi="Times New Roman" w:eastAsia="仿宋_GB2312"/>
                <w:b/>
              </w:rPr>
            </w:pPr>
          </w:p>
        </w:tc>
        <w:tc>
          <w:tcPr>
            <w:tcW w:w="245" w:type="pct"/>
            <w:vAlign w:val="center"/>
          </w:tcPr>
          <w:p>
            <w:pPr>
              <w:spacing w:line="584" w:lineRule="exact"/>
              <w:jc w:val="left"/>
              <w:rPr>
                <w:rFonts w:ascii="Times New Roman" w:hAnsi="Times New Roman" w:eastAsia="仿宋_GB2312"/>
                <w:b/>
              </w:rPr>
            </w:pPr>
          </w:p>
        </w:tc>
        <w:tc>
          <w:tcPr>
            <w:tcW w:w="253" w:type="pct"/>
            <w:vAlign w:val="center"/>
          </w:tcPr>
          <w:p>
            <w:pPr>
              <w:spacing w:line="584" w:lineRule="exact"/>
              <w:jc w:val="right"/>
              <w:rPr>
                <w:rFonts w:ascii="Times New Roman" w:hAnsi="Times New Roman" w:eastAsia="仿宋_GB2312"/>
                <w:b/>
              </w:rPr>
            </w:pPr>
          </w:p>
        </w:tc>
        <w:tc>
          <w:tcPr>
            <w:tcW w:w="325" w:type="pct"/>
            <w:vAlign w:val="center"/>
          </w:tcPr>
          <w:p>
            <w:pPr>
              <w:spacing w:line="584" w:lineRule="exact"/>
              <w:jc w:val="right"/>
              <w:rPr>
                <w:rFonts w:ascii="Times New Roman" w:hAnsi="Times New Roman" w:eastAsia="仿宋_GB2312"/>
                <w:b/>
              </w:rPr>
            </w:pPr>
          </w:p>
        </w:tc>
        <w:tc>
          <w:tcPr>
            <w:tcW w:w="327" w:type="pct"/>
            <w:vAlign w:val="center"/>
          </w:tcPr>
          <w:p>
            <w:pPr>
              <w:spacing w:line="584" w:lineRule="exact"/>
              <w:jc w:val="right"/>
              <w:rPr>
                <w:rFonts w:ascii="Times New Roman" w:hAnsi="Times New Roman" w:eastAsia="仿宋_GB2312"/>
                <w:b/>
              </w:rPr>
            </w:pPr>
            <w:r>
              <w:rPr>
                <w:rFonts w:ascii="Times New Roman" w:hAnsi="Times New Roman" w:eastAsia="仿宋_GB2312"/>
                <w:b/>
              </w:rPr>
              <w:t>90.6</w:t>
            </w:r>
          </w:p>
        </w:tc>
        <w:tc>
          <w:tcPr>
            <w:tcW w:w="327" w:type="pct"/>
            <w:vAlign w:val="center"/>
          </w:tcPr>
          <w:p>
            <w:pPr>
              <w:spacing w:line="584" w:lineRule="exact"/>
              <w:jc w:val="right"/>
              <w:rPr>
                <w:rFonts w:ascii="Times New Roman" w:hAnsi="Times New Roman" w:eastAsia="仿宋_GB2312"/>
                <w:b/>
              </w:rPr>
            </w:pPr>
            <w:r>
              <w:rPr>
                <w:rFonts w:ascii="Times New Roman" w:hAnsi="Times New Roman" w:eastAsia="仿宋_GB2312"/>
                <w:b/>
              </w:rPr>
              <w:t>90.6</w:t>
            </w:r>
          </w:p>
        </w:tc>
        <w:tc>
          <w:tcPr>
            <w:tcW w:w="327" w:type="pct"/>
            <w:vAlign w:val="center"/>
          </w:tcPr>
          <w:p>
            <w:pPr>
              <w:spacing w:line="584" w:lineRule="exact"/>
              <w:jc w:val="right"/>
              <w:rPr>
                <w:rFonts w:ascii="Times New Roman" w:hAnsi="Times New Roman" w:eastAsia="仿宋_GB2312"/>
                <w:b/>
              </w:rPr>
            </w:pPr>
            <w:r>
              <w:rPr>
                <w:rFonts w:ascii="Times New Roman" w:hAnsi="Times New Roman" w:eastAsia="仿宋_GB2312"/>
                <w:b/>
              </w:rPr>
              <w:t>90.6</w:t>
            </w:r>
          </w:p>
        </w:tc>
        <w:tc>
          <w:tcPr>
            <w:tcW w:w="270" w:type="pct"/>
            <w:vAlign w:val="center"/>
          </w:tcPr>
          <w:p>
            <w:pPr>
              <w:spacing w:line="584" w:lineRule="exact"/>
              <w:jc w:val="right"/>
              <w:rPr>
                <w:rFonts w:ascii="Times New Roman" w:hAnsi="Times New Roman" w:eastAsia="仿宋_GB2312"/>
                <w:b/>
              </w:rPr>
            </w:pPr>
          </w:p>
        </w:tc>
        <w:tc>
          <w:tcPr>
            <w:tcW w:w="316" w:type="pct"/>
            <w:vAlign w:val="center"/>
          </w:tcPr>
          <w:p>
            <w:pPr>
              <w:spacing w:line="584" w:lineRule="exact"/>
              <w:jc w:val="right"/>
              <w:rPr>
                <w:rFonts w:ascii="Times New Roman" w:hAnsi="Times New Roman" w:eastAsia="仿宋_GB2312"/>
                <w:b/>
              </w:rPr>
            </w:pPr>
          </w:p>
        </w:tc>
        <w:tc>
          <w:tcPr>
            <w:tcW w:w="319" w:type="pct"/>
            <w:vAlign w:val="center"/>
          </w:tcPr>
          <w:p>
            <w:pPr>
              <w:spacing w:line="584" w:lineRule="exact"/>
              <w:jc w:val="right"/>
              <w:rPr>
                <w:rFonts w:ascii="Times New Roman" w:hAnsi="Times New Roman" w:eastAsia="仿宋_GB2312"/>
                <w:b/>
              </w:rPr>
            </w:pPr>
          </w:p>
        </w:tc>
        <w:tc>
          <w:tcPr>
            <w:tcW w:w="298" w:type="pct"/>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vAlign w:val="center"/>
          </w:tcPr>
          <w:p>
            <w:pPr>
              <w:rPr>
                <w:rFonts w:ascii="宋体" w:cs="宋体"/>
                <w:sz w:val="18"/>
                <w:szCs w:val="18"/>
              </w:rPr>
            </w:pPr>
            <w:r>
              <w:rPr>
                <w:rFonts w:hint="eastAsia"/>
                <w:sz w:val="18"/>
                <w:szCs w:val="18"/>
              </w:rPr>
              <w:t>办公费</w:t>
            </w:r>
          </w:p>
        </w:tc>
        <w:tc>
          <w:tcPr>
            <w:tcW w:w="323" w:type="pct"/>
            <w:vAlign w:val="center"/>
          </w:tcPr>
          <w:p>
            <w:pPr>
              <w:jc w:val="right"/>
              <w:rPr>
                <w:sz w:val="18"/>
                <w:szCs w:val="18"/>
              </w:rPr>
            </w:pPr>
            <w:r>
              <w:rPr>
                <w:sz w:val="18"/>
                <w:szCs w:val="18"/>
              </w:rPr>
              <w:t>0.70</w:t>
            </w:r>
          </w:p>
        </w:tc>
        <w:tc>
          <w:tcPr>
            <w:tcW w:w="503" w:type="pct"/>
            <w:vAlign w:val="center"/>
          </w:tcPr>
          <w:p>
            <w:pPr>
              <w:spacing w:line="584" w:lineRule="exact"/>
              <w:jc w:val="left"/>
              <w:rPr>
                <w:rFonts w:ascii="Times New Roman" w:hAnsi="Times New Roman" w:eastAsia="仿宋_GB2312"/>
                <w:b/>
              </w:rPr>
            </w:pPr>
            <w:r>
              <w:rPr>
                <w:rFonts w:hint="eastAsia" w:ascii="Times New Roman" w:hAnsi="Times New Roman" w:eastAsia="仿宋_GB2312"/>
              </w:rPr>
              <w:t>复印机</w:t>
            </w:r>
          </w:p>
        </w:tc>
        <w:tc>
          <w:tcPr>
            <w:tcW w:w="343" w:type="pct"/>
            <w:vAlign w:val="center"/>
          </w:tcPr>
          <w:p>
            <w:pPr>
              <w:spacing w:line="584" w:lineRule="exact"/>
              <w:jc w:val="left"/>
              <w:rPr>
                <w:rFonts w:ascii="Times New Roman" w:hAnsi="Times New Roman" w:eastAsia="仿宋_GB2312"/>
              </w:rPr>
            </w:pPr>
            <w:r>
              <w:rPr>
                <w:rFonts w:ascii="Times New Roman" w:hAnsi="Times New Roman" w:eastAsia="仿宋_GB2312"/>
              </w:rPr>
              <w:t>A020201</w:t>
            </w:r>
          </w:p>
        </w:tc>
        <w:tc>
          <w:tcPr>
            <w:tcW w:w="245"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台</w:t>
            </w:r>
          </w:p>
        </w:tc>
        <w:tc>
          <w:tcPr>
            <w:tcW w:w="253" w:type="pct"/>
            <w:vAlign w:val="center"/>
          </w:tcPr>
          <w:p>
            <w:pPr>
              <w:spacing w:line="584" w:lineRule="exact"/>
              <w:jc w:val="right"/>
              <w:rPr>
                <w:rFonts w:ascii="Times New Roman" w:hAnsi="Times New Roman" w:eastAsia="仿宋_GB2312"/>
              </w:rPr>
            </w:pPr>
            <w:r>
              <w:rPr>
                <w:rFonts w:ascii="Times New Roman" w:hAnsi="Times New Roman" w:eastAsia="仿宋_GB2312"/>
              </w:rPr>
              <w:t>1</w:t>
            </w:r>
          </w:p>
        </w:tc>
        <w:tc>
          <w:tcPr>
            <w:tcW w:w="325" w:type="pct"/>
            <w:vAlign w:val="center"/>
          </w:tcPr>
          <w:p>
            <w:pPr>
              <w:jc w:val="right"/>
              <w:rPr>
                <w:rFonts w:ascii="宋体" w:cs="宋体"/>
                <w:sz w:val="18"/>
                <w:szCs w:val="18"/>
              </w:rPr>
            </w:pPr>
            <w:r>
              <w:rPr>
                <w:sz w:val="18"/>
                <w:szCs w:val="18"/>
              </w:rPr>
              <w:t>0.70</w:t>
            </w:r>
          </w:p>
        </w:tc>
        <w:tc>
          <w:tcPr>
            <w:tcW w:w="327" w:type="pct"/>
            <w:vAlign w:val="center"/>
          </w:tcPr>
          <w:p>
            <w:pPr>
              <w:jc w:val="right"/>
              <w:rPr>
                <w:sz w:val="18"/>
                <w:szCs w:val="18"/>
              </w:rPr>
            </w:pPr>
            <w:r>
              <w:rPr>
                <w:sz w:val="18"/>
                <w:szCs w:val="18"/>
              </w:rPr>
              <w:t>0.70</w:t>
            </w:r>
          </w:p>
        </w:tc>
        <w:tc>
          <w:tcPr>
            <w:tcW w:w="327" w:type="pct"/>
            <w:vAlign w:val="center"/>
          </w:tcPr>
          <w:p>
            <w:pPr>
              <w:jc w:val="right"/>
              <w:rPr>
                <w:sz w:val="18"/>
                <w:szCs w:val="18"/>
              </w:rPr>
            </w:pPr>
            <w:r>
              <w:rPr>
                <w:sz w:val="18"/>
                <w:szCs w:val="18"/>
              </w:rPr>
              <w:t>0.70</w:t>
            </w:r>
          </w:p>
        </w:tc>
        <w:tc>
          <w:tcPr>
            <w:tcW w:w="327" w:type="pct"/>
            <w:vAlign w:val="center"/>
          </w:tcPr>
          <w:p>
            <w:pPr>
              <w:jc w:val="right"/>
              <w:rPr>
                <w:sz w:val="18"/>
                <w:szCs w:val="18"/>
              </w:rPr>
            </w:pPr>
            <w:r>
              <w:rPr>
                <w:sz w:val="18"/>
                <w:szCs w:val="18"/>
              </w:rPr>
              <w:t>0.70</w:t>
            </w:r>
          </w:p>
        </w:tc>
        <w:tc>
          <w:tcPr>
            <w:tcW w:w="270" w:type="pct"/>
            <w:vAlign w:val="center"/>
          </w:tcPr>
          <w:p>
            <w:pPr>
              <w:spacing w:line="584" w:lineRule="exact"/>
              <w:jc w:val="right"/>
              <w:rPr>
                <w:rFonts w:ascii="Times New Roman" w:hAnsi="Times New Roman" w:eastAsia="仿宋_GB2312"/>
                <w:b/>
              </w:rPr>
            </w:pPr>
          </w:p>
        </w:tc>
        <w:tc>
          <w:tcPr>
            <w:tcW w:w="316" w:type="pct"/>
            <w:vAlign w:val="center"/>
          </w:tcPr>
          <w:p>
            <w:pPr>
              <w:spacing w:line="584" w:lineRule="exact"/>
              <w:jc w:val="right"/>
              <w:rPr>
                <w:rFonts w:ascii="Times New Roman" w:hAnsi="Times New Roman" w:eastAsia="仿宋_GB2312"/>
                <w:b/>
              </w:rPr>
            </w:pPr>
          </w:p>
        </w:tc>
        <w:tc>
          <w:tcPr>
            <w:tcW w:w="319" w:type="pct"/>
            <w:vAlign w:val="center"/>
          </w:tcPr>
          <w:p>
            <w:pPr>
              <w:spacing w:line="584" w:lineRule="exact"/>
              <w:jc w:val="right"/>
              <w:rPr>
                <w:rFonts w:ascii="Times New Roman" w:hAnsi="Times New Roman" w:eastAsia="仿宋_GB2312"/>
                <w:b/>
              </w:rPr>
            </w:pPr>
          </w:p>
        </w:tc>
        <w:tc>
          <w:tcPr>
            <w:tcW w:w="298" w:type="pct"/>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vAlign w:val="center"/>
          </w:tcPr>
          <w:p>
            <w:pPr>
              <w:rPr>
                <w:rFonts w:ascii="宋体" w:cs="宋体"/>
                <w:sz w:val="18"/>
                <w:szCs w:val="18"/>
              </w:rPr>
            </w:pPr>
            <w:r>
              <w:rPr>
                <w:rFonts w:hint="eastAsia"/>
                <w:sz w:val="18"/>
                <w:szCs w:val="18"/>
              </w:rPr>
              <w:t>办公费</w:t>
            </w:r>
          </w:p>
        </w:tc>
        <w:tc>
          <w:tcPr>
            <w:tcW w:w="323" w:type="pct"/>
            <w:vAlign w:val="center"/>
          </w:tcPr>
          <w:p>
            <w:pPr>
              <w:jc w:val="right"/>
              <w:rPr>
                <w:sz w:val="18"/>
                <w:szCs w:val="18"/>
              </w:rPr>
            </w:pPr>
            <w:r>
              <w:rPr>
                <w:sz w:val="18"/>
                <w:szCs w:val="18"/>
              </w:rPr>
              <w:t>0.12</w:t>
            </w:r>
          </w:p>
        </w:tc>
        <w:tc>
          <w:tcPr>
            <w:tcW w:w="503"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家具用具</w:t>
            </w:r>
          </w:p>
        </w:tc>
        <w:tc>
          <w:tcPr>
            <w:tcW w:w="343" w:type="pct"/>
            <w:vAlign w:val="center"/>
          </w:tcPr>
          <w:p>
            <w:pPr>
              <w:spacing w:line="584" w:lineRule="exact"/>
              <w:jc w:val="left"/>
              <w:rPr>
                <w:rFonts w:ascii="Times New Roman" w:hAnsi="Times New Roman" w:eastAsia="仿宋_GB2312"/>
              </w:rPr>
            </w:pPr>
            <w:r>
              <w:rPr>
                <w:rFonts w:ascii="Times New Roman" w:hAnsi="Times New Roman" w:eastAsia="仿宋_GB2312"/>
              </w:rPr>
              <w:t>A06</w:t>
            </w:r>
          </w:p>
        </w:tc>
        <w:tc>
          <w:tcPr>
            <w:tcW w:w="245"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件</w:t>
            </w:r>
          </w:p>
        </w:tc>
        <w:tc>
          <w:tcPr>
            <w:tcW w:w="253" w:type="pct"/>
            <w:vAlign w:val="center"/>
          </w:tcPr>
          <w:p>
            <w:pPr>
              <w:spacing w:line="584" w:lineRule="exact"/>
              <w:jc w:val="right"/>
              <w:rPr>
                <w:rFonts w:ascii="Times New Roman" w:hAnsi="Times New Roman" w:eastAsia="仿宋_GB2312"/>
              </w:rPr>
            </w:pPr>
            <w:r>
              <w:rPr>
                <w:rFonts w:ascii="Times New Roman" w:hAnsi="Times New Roman" w:eastAsia="仿宋_GB2312"/>
              </w:rPr>
              <w:t>1</w:t>
            </w:r>
          </w:p>
        </w:tc>
        <w:tc>
          <w:tcPr>
            <w:tcW w:w="325" w:type="pct"/>
            <w:vAlign w:val="center"/>
          </w:tcPr>
          <w:p>
            <w:pPr>
              <w:jc w:val="right"/>
              <w:rPr>
                <w:rFonts w:ascii="宋体" w:cs="宋体"/>
                <w:sz w:val="18"/>
                <w:szCs w:val="18"/>
              </w:rPr>
            </w:pPr>
            <w:r>
              <w:rPr>
                <w:sz w:val="18"/>
                <w:szCs w:val="18"/>
              </w:rPr>
              <w:t>0.12</w:t>
            </w:r>
          </w:p>
        </w:tc>
        <w:tc>
          <w:tcPr>
            <w:tcW w:w="327" w:type="pct"/>
            <w:vAlign w:val="center"/>
          </w:tcPr>
          <w:p>
            <w:pPr>
              <w:jc w:val="right"/>
              <w:rPr>
                <w:sz w:val="18"/>
                <w:szCs w:val="18"/>
              </w:rPr>
            </w:pPr>
            <w:r>
              <w:rPr>
                <w:sz w:val="18"/>
                <w:szCs w:val="18"/>
              </w:rPr>
              <w:t>0.12</w:t>
            </w:r>
          </w:p>
        </w:tc>
        <w:tc>
          <w:tcPr>
            <w:tcW w:w="327" w:type="pct"/>
            <w:vAlign w:val="center"/>
          </w:tcPr>
          <w:p>
            <w:pPr>
              <w:jc w:val="right"/>
              <w:rPr>
                <w:sz w:val="18"/>
                <w:szCs w:val="18"/>
              </w:rPr>
            </w:pPr>
            <w:r>
              <w:rPr>
                <w:sz w:val="18"/>
                <w:szCs w:val="18"/>
              </w:rPr>
              <w:t>0.12</w:t>
            </w:r>
          </w:p>
        </w:tc>
        <w:tc>
          <w:tcPr>
            <w:tcW w:w="327" w:type="pct"/>
            <w:vAlign w:val="center"/>
          </w:tcPr>
          <w:p>
            <w:pPr>
              <w:jc w:val="right"/>
              <w:rPr>
                <w:sz w:val="18"/>
                <w:szCs w:val="18"/>
              </w:rPr>
            </w:pPr>
            <w:r>
              <w:rPr>
                <w:sz w:val="18"/>
                <w:szCs w:val="18"/>
              </w:rPr>
              <w:t>0.12</w:t>
            </w:r>
          </w:p>
        </w:tc>
        <w:tc>
          <w:tcPr>
            <w:tcW w:w="270" w:type="pct"/>
            <w:vAlign w:val="center"/>
          </w:tcPr>
          <w:p>
            <w:pPr>
              <w:spacing w:line="584" w:lineRule="exact"/>
              <w:jc w:val="right"/>
              <w:rPr>
                <w:rFonts w:ascii="Times New Roman" w:hAnsi="Times New Roman" w:eastAsia="仿宋_GB2312"/>
              </w:rPr>
            </w:pPr>
          </w:p>
        </w:tc>
        <w:tc>
          <w:tcPr>
            <w:tcW w:w="316"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298"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vAlign w:val="center"/>
          </w:tcPr>
          <w:p>
            <w:pPr>
              <w:rPr>
                <w:rFonts w:ascii="宋体" w:cs="宋体"/>
                <w:sz w:val="18"/>
                <w:szCs w:val="18"/>
              </w:rPr>
            </w:pPr>
            <w:r>
              <w:rPr>
                <w:rFonts w:hint="eastAsia"/>
                <w:sz w:val="18"/>
                <w:szCs w:val="18"/>
              </w:rPr>
              <w:t>办公费</w:t>
            </w:r>
          </w:p>
        </w:tc>
        <w:tc>
          <w:tcPr>
            <w:tcW w:w="323" w:type="pct"/>
            <w:vAlign w:val="center"/>
          </w:tcPr>
          <w:p>
            <w:pPr>
              <w:jc w:val="right"/>
              <w:rPr>
                <w:sz w:val="18"/>
                <w:szCs w:val="18"/>
              </w:rPr>
            </w:pPr>
            <w:r>
              <w:rPr>
                <w:sz w:val="18"/>
                <w:szCs w:val="18"/>
              </w:rPr>
              <w:t>0.20</w:t>
            </w:r>
          </w:p>
        </w:tc>
        <w:tc>
          <w:tcPr>
            <w:tcW w:w="503"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家具用具</w:t>
            </w:r>
          </w:p>
        </w:tc>
        <w:tc>
          <w:tcPr>
            <w:tcW w:w="343" w:type="pct"/>
            <w:vAlign w:val="center"/>
          </w:tcPr>
          <w:p>
            <w:pPr>
              <w:spacing w:line="584" w:lineRule="exact"/>
              <w:jc w:val="left"/>
              <w:rPr>
                <w:rFonts w:ascii="Times New Roman" w:hAnsi="Times New Roman" w:eastAsia="仿宋_GB2312"/>
              </w:rPr>
            </w:pPr>
            <w:r>
              <w:rPr>
                <w:rFonts w:ascii="Times New Roman" w:hAnsi="Times New Roman" w:eastAsia="仿宋_GB2312"/>
              </w:rPr>
              <w:t>A06</w:t>
            </w:r>
          </w:p>
        </w:tc>
        <w:tc>
          <w:tcPr>
            <w:tcW w:w="245"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件</w:t>
            </w:r>
          </w:p>
        </w:tc>
        <w:tc>
          <w:tcPr>
            <w:tcW w:w="253" w:type="pct"/>
            <w:vAlign w:val="center"/>
          </w:tcPr>
          <w:p>
            <w:pPr>
              <w:spacing w:line="584" w:lineRule="exact"/>
              <w:jc w:val="right"/>
              <w:rPr>
                <w:rFonts w:ascii="Times New Roman" w:hAnsi="Times New Roman" w:eastAsia="仿宋_GB2312"/>
              </w:rPr>
            </w:pPr>
            <w:r>
              <w:rPr>
                <w:rFonts w:ascii="Times New Roman" w:hAnsi="Times New Roman" w:eastAsia="仿宋_GB2312"/>
              </w:rPr>
              <w:t>2</w:t>
            </w:r>
          </w:p>
        </w:tc>
        <w:tc>
          <w:tcPr>
            <w:tcW w:w="325" w:type="pct"/>
            <w:vAlign w:val="center"/>
          </w:tcPr>
          <w:p>
            <w:pPr>
              <w:jc w:val="right"/>
              <w:rPr>
                <w:rFonts w:ascii="宋体" w:cs="宋体"/>
                <w:sz w:val="18"/>
                <w:szCs w:val="18"/>
              </w:rPr>
            </w:pPr>
            <w:r>
              <w:rPr>
                <w:sz w:val="18"/>
                <w:szCs w:val="18"/>
              </w:rPr>
              <w:t>0.10</w:t>
            </w:r>
          </w:p>
        </w:tc>
        <w:tc>
          <w:tcPr>
            <w:tcW w:w="327" w:type="pct"/>
            <w:vAlign w:val="center"/>
          </w:tcPr>
          <w:p>
            <w:pPr>
              <w:jc w:val="right"/>
              <w:rPr>
                <w:sz w:val="18"/>
                <w:szCs w:val="18"/>
              </w:rPr>
            </w:pPr>
            <w:r>
              <w:rPr>
                <w:sz w:val="18"/>
                <w:szCs w:val="18"/>
              </w:rPr>
              <w:t>0.20</w:t>
            </w:r>
          </w:p>
        </w:tc>
        <w:tc>
          <w:tcPr>
            <w:tcW w:w="327" w:type="pct"/>
            <w:vAlign w:val="center"/>
          </w:tcPr>
          <w:p>
            <w:pPr>
              <w:jc w:val="right"/>
              <w:rPr>
                <w:sz w:val="18"/>
                <w:szCs w:val="18"/>
              </w:rPr>
            </w:pPr>
            <w:r>
              <w:rPr>
                <w:sz w:val="18"/>
                <w:szCs w:val="18"/>
              </w:rPr>
              <w:t>0.20</w:t>
            </w:r>
          </w:p>
        </w:tc>
        <w:tc>
          <w:tcPr>
            <w:tcW w:w="327" w:type="pct"/>
            <w:vAlign w:val="center"/>
          </w:tcPr>
          <w:p>
            <w:pPr>
              <w:jc w:val="right"/>
              <w:rPr>
                <w:sz w:val="18"/>
                <w:szCs w:val="18"/>
              </w:rPr>
            </w:pPr>
            <w:r>
              <w:rPr>
                <w:sz w:val="18"/>
                <w:szCs w:val="18"/>
              </w:rPr>
              <w:t>0.20</w:t>
            </w:r>
          </w:p>
        </w:tc>
        <w:tc>
          <w:tcPr>
            <w:tcW w:w="270" w:type="pct"/>
            <w:vAlign w:val="center"/>
          </w:tcPr>
          <w:p>
            <w:pPr>
              <w:spacing w:line="584" w:lineRule="exact"/>
              <w:jc w:val="right"/>
              <w:rPr>
                <w:rFonts w:ascii="Times New Roman" w:hAnsi="Times New Roman" w:eastAsia="仿宋_GB2312"/>
              </w:rPr>
            </w:pPr>
          </w:p>
        </w:tc>
        <w:tc>
          <w:tcPr>
            <w:tcW w:w="316"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298"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vAlign w:val="center"/>
          </w:tcPr>
          <w:p>
            <w:pPr>
              <w:rPr>
                <w:rFonts w:ascii="宋体" w:cs="宋体"/>
                <w:sz w:val="18"/>
                <w:szCs w:val="18"/>
              </w:rPr>
            </w:pPr>
            <w:r>
              <w:rPr>
                <w:rFonts w:hint="eastAsia"/>
                <w:sz w:val="18"/>
                <w:szCs w:val="18"/>
              </w:rPr>
              <w:t>办公费</w:t>
            </w:r>
          </w:p>
        </w:tc>
        <w:tc>
          <w:tcPr>
            <w:tcW w:w="323" w:type="pct"/>
            <w:vAlign w:val="center"/>
          </w:tcPr>
          <w:p>
            <w:pPr>
              <w:jc w:val="right"/>
              <w:rPr>
                <w:sz w:val="18"/>
                <w:szCs w:val="18"/>
              </w:rPr>
            </w:pPr>
            <w:r>
              <w:rPr>
                <w:sz w:val="18"/>
                <w:szCs w:val="18"/>
              </w:rPr>
              <w:t>0.50</w:t>
            </w:r>
          </w:p>
        </w:tc>
        <w:tc>
          <w:tcPr>
            <w:tcW w:w="503" w:type="pct"/>
            <w:vAlign w:val="center"/>
          </w:tcPr>
          <w:p>
            <w:pPr>
              <w:spacing w:line="584" w:lineRule="exact"/>
              <w:jc w:val="left"/>
              <w:rPr>
                <w:rFonts w:ascii="Times New Roman" w:hAnsi="Times New Roman" w:eastAsia="仿宋_GB2312"/>
                <w:sz w:val="18"/>
                <w:szCs w:val="18"/>
              </w:rPr>
            </w:pPr>
            <w:r>
              <w:rPr>
                <w:rFonts w:hint="eastAsia" w:ascii="Times New Roman" w:hAnsi="Times New Roman" w:eastAsia="仿宋_GB2312"/>
                <w:sz w:val="18"/>
                <w:szCs w:val="18"/>
              </w:rPr>
              <w:t>计算机设备</w:t>
            </w:r>
          </w:p>
        </w:tc>
        <w:tc>
          <w:tcPr>
            <w:tcW w:w="343" w:type="pct"/>
            <w:vAlign w:val="center"/>
          </w:tcPr>
          <w:p>
            <w:pPr>
              <w:spacing w:line="584" w:lineRule="exact"/>
              <w:jc w:val="left"/>
              <w:rPr>
                <w:rFonts w:ascii="Times New Roman" w:hAnsi="Times New Roman" w:eastAsia="仿宋_GB2312"/>
              </w:rPr>
            </w:pPr>
            <w:r>
              <w:rPr>
                <w:rFonts w:ascii="Times New Roman" w:hAnsi="Times New Roman" w:eastAsia="仿宋_GB2312"/>
              </w:rPr>
              <w:t>A020101</w:t>
            </w:r>
          </w:p>
        </w:tc>
        <w:tc>
          <w:tcPr>
            <w:tcW w:w="245"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台</w:t>
            </w:r>
          </w:p>
        </w:tc>
        <w:tc>
          <w:tcPr>
            <w:tcW w:w="253" w:type="pct"/>
            <w:vAlign w:val="center"/>
          </w:tcPr>
          <w:p>
            <w:pPr>
              <w:spacing w:line="584" w:lineRule="exact"/>
              <w:jc w:val="right"/>
              <w:rPr>
                <w:rFonts w:ascii="Times New Roman" w:hAnsi="Times New Roman" w:eastAsia="仿宋_GB2312"/>
              </w:rPr>
            </w:pPr>
            <w:r>
              <w:rPr>
                <w:rFonts w:ascii="Times New Roman" w:hAnsi="Times New Roman" w:eastAsia="仿宋_GB2312"/>
              </w:rPr>
              <w:t>1</w:t>
            </w:r>
          </w:p>
        </w:tc>
        <w:tc>
          <w:tcPr>
            <w:tcW w:w="325" w:type="pct"/>
            <w:vAlign w:val="center"/>
          </w:tcPr>
          <w:p>
            <w:pPr>
              <w:jc w:val="right"/>
              <w:rPr>
                <w:rFonts w:ascii="宋体" w:cs="宋体"/>
                <w:sz w:val="18"/>
                <w:szCs w:val="18"/>
              </w:rPr>
            </w:pPr>
            <w:r>
              <w:rPr>
                <w:sz w:val="18"/>
                <w:szCs w:val="18"/>
              </w:rPr>
              <w:t>0.50</w:t>
            </w:r>
          </w:p>
        </w:tc>
        <w:tc>
          <w:tcPr>
            <w:tcW w:w="327" w:type="pct"/>
            <w:vAlign w:val="center"/>
          </w:tcPr>
          <w:p>
            <w:pPr>
              <w:jc w:val="right"/>
              <w:rPr>
                <w:sz w:val="18"/>
                <w:szCs w:val="18"/>
              </w:rPr>
            </w:pPr>
            <w:r>
              <w:rPr>
                <w:sz w:val="18"/>
                <w:szCs w:val="18"/>
              </w:rPr>
              <w:t>0.50</w:t>
            </w:r>
          </w:p>
        </w:tc>
        <w:tc>
          <w:tcPr>
            <w:tcW w:w="327" w:type="pct"/>
            <w:vAlign w:val="center"/>
          </w:tcPr>
          <w:p>
            <w:pPr>
              <w:jc w:val="right"/>
              <w:rPr>
                <w:sz w:val="18"/>
                <w:szCs w:val="18"/>
              </w:rPr>
            </w:pPr>
            <w:r>
              <w:rPr>
                <w:sz w:val="18"/>
                <w:szCs w:val="18"/>
              </w:rPr>
              <w:t>0.50</w:t>
            </w:r>
          </w:p>
        </w:tc>
        <w:tc>
          <w:tcPr>
            <w:tcW w:w="327" w:type="pct"/>
            <w:vAlign w:val="center"/>
          </w:tcPr>
          <w:p>
            <w:pPr>
              <w:jc w:val="right"/>
              <w:rPr>
                <w:sz w:val="18"/>
                <w:szCs w:val="18"/>
              </w:rPr>
            </w:pPr>
            <w:r>
              <w:rPr>
                <w:sz w:val="18"/>
                <w:szCs w:val="18"/>
              </w:rPr>
              <w:t>0.50</w:t>
            </w:r>
          </w:p>
        </w:tc>
        <w:tc>
          <w:tcPr>
            <w:tcW w:w="270" w:type="pct"/>
            <w:vAlign w:val="center"/>
          </w:tcPr>
          <w:p>
            <w:pPr>
              <w:spacing w:line="584" w:lineRule="exact"/>
              <w:jc w:val="right"/>
              <w:rPr>
                <w:rFonts w:ascii="Times New Roman" w:hAnsi="Times New Roman" w:eastAsia="仿宋_GB2312"/>
              </w:rPr>
            </w:pPr>
          </w:p>
        </w:tc>
        <w:tc>
          <w:tcPr>
            <w:tcW w:w="316"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298"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vAlign w:val="center"/>
          </w:tcPr>
          <w:p>
            <w:pPr>
              <w:rPr>
                <w:rFonts w:ascii="宋体" w:cs="宋体"/>
                <w:sz w:val="18"/>
                <w:szCs w:val="18"/>
              </w:rPr>
            </w:pPr>
            <w:r>
              <w:rPr>
                <w:rFonts w:hint="eastAsia"/>
                <w:sz w:val="18"/>
                <w:szCs w:val="18"/>
              </w:rPr>
              <w:t>办公费</w:t>
            </w:r>
          </w:p>
        </w:tc>
        <w:tc>
          <w:tcPr>
            <w:tcW w:w="323" w:type="pct"/>
            <w:vAlign w:val="center"/>
          </w:tcPr>
          <w:p>
            <w:pPr>
              <w:jc w:val="right"/>
              <w:rPr>
                <w:sz w:val="18"/>
                <w:szCs w:val="18"/>
              </w:rPr>
            </w:pPr>
            <w:r>
              <w:rPr>
                <w:sz w:val="18"/>
                <w:szCs w:val="18"/>
              </w:rPr>
              <w:t>0.28</w:t>
            </w:r>
          </w:p>
        </w:tc>
        <w:tc>
          <w:tcPr>
            <w:tcW w:w="503" w:type="pct"/>
            <w:vAlign w:val="center"/>
          </w:tcPr>
          <w:p>
            <w:pPr>
              <w:spacing w:line="584" w:lineRule="exact"/>
              <w:jc w:val="left"/>
              <w:rPr>
                <w:rFonts w:ascii="Times New Roman" w:hAnsi="Times New Roman" w:eastAsia="仿宋_GB2312"/>
                <w:sz w:val="18"/>
                <w:szCs w:val="18"/>
              </w:rPr>
            </w:pPr>
            <w:r>
              <w:rPr>
                <w:rFonts w:hint="eastAsia" w:ascii="Times New Roman" w:hAnsi="Times New Roman" w:eastAsia="仿宋_GB2312"/>
                <w:sz w:val="18"/>
                <w:szCs w:val="18"/>
              </w:rPr>
              <w:t>多功能一体机</w:t>
            </w:r>
          </w:p>
        </w:tc>
        <w:tc>
          <w:tcPr>
            <w:tcW w:w="343" w:type="pct"/>
            <w:vAlign w:val="center"/>
          </w:tcPr>
          <w:p>
            <w:pPr>
              <w:spacing w:line="584" w:lineRule="exact"/>
              <w:jc w:val="left"/>
              <w:rPr>
                <w:rFonts w:ascii="Times New Roman" w:hAnsi="Times New Roman" w:eastAsia="仿宋_GB2312"/>
              </w:rPr>
            </w:pPr>
            <w:r>
              <w:rPr>
                <w:rFonts w:ascii="Times New Roman" w:hAnsi="Times New Roman" w:eastAsia="仿宋_GB2312"/>
              </w:rPr>
              <w:t>A020204</w:t>
            </w:r>
          </w:p>
        </w:tc>
        <w:tc>
          <w:tcPr>
            <w:tcW w:w="245"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台</w:t>
            </w:r>
          </w:p>
        </w:tc>
        <w:tc>
          <w:tcPr>
            <w:tcW w:w="253" w:type="pct"/>
            <w:vAlign w:val="center"/>
          </w:tcPr>
          <w:p>
            <w:pPr>
              <w:spacing w:line="584" w:lineRule="exact"/>
              <w:jc w:val="right"/>
              <w:rPr>
                <w:rFonts w:ascii="Times New Roman" w:hAnsi="Times New Roman" w:eastAsia="仿宋_GB2312"/>
              </w:rPr>
            </w:pPr>
            <w:r>
              <w:rPr>
                <w:rFonts w:ascii="Times New Roman" w:hAnsi="Times New Roman" w:eastAsia="仿宋_GB2312"/>
              </w:rPr>
              <w:t>1</w:t>
            </w:r>
          </w:p>
        </w:tc>
        <w:tc>
          <w:tcPr>
            <w:tcW w:w="325" w:type="pct"/>
            <w:vAlign w:val="center"/>
          </w:tcPr>
          <w:p>
            <w:pPr>
              <w:jc w:val="right"/>
              <w:rPr>
                <w:rFonts w:ascii="宋体" w:cs="宋体"/>
                <w:sz w:val="18"/>
                <w:szCs w:val="18"/>
              </w:rPr>
            </w:pPr>
            <w:r>
              <w:rPr>
                <w:sz w:val="18"/>
                <w:szCs w:val="18"/>
              </w:rPr>
              <w:t>0.28</w:t>
            </w:r>
          </w:p>
        </w:tc>
        <w:tc>
          <w:tcPr>
            <w:tcW w:w="327" w:type="pct"/>
            <w:vAlign w:val="center"/>
          </w:tcPr>
          <w:p>
            <w:pPr>
              <w:jc w:val="right"/>
              <w:rPr>
                <w:sz w:val="18"/>
                <w:szCs w:val="18"/>
              </w:rPr>
            </w:pPr>
            <w:r>
              <w:rPr>
                <w:sz w:val="18"/>
                <w:szCs w:val="18"/>
              </w:rPr>
              <w:t>0.28</w:t>
            </w:r>
          </w:p>
        </w:tc>
        <w:tc>
          <w:tcPr>
            <w:tcW w:w="327" w:type="pct"/>
            <w:vAlign w:val="center"/>
          </w:tcPr>
          <w:p>
            <w:pPr>
              <w:jc w:val="right"/>
              <w:rPr>
                <w:sz w:val="18"/>
                <w:szCs w:val="18"/>
              </w:rPr>
            </w:pPr>
            <w:r>
              <w:rPr>
                <w:sz w:val="18"/>
                <w:szCs w:val="18"/>
              </w:rPr>
              <w:t>0.28</w:t>
            </w:r>
          </w:p>
        </w:tc>
        <w:tc>
          <w:tcPr>
            <w:tcW w:w="327" w:type="pct"/>
            <w:vAlign w:val="center"/>
          </w:tcPr>
          <w:p>
            <w:pPr>
              <w:jc w:val="right"/>
              <w:rPr>
                <w:sz w:val="18"/>
                <w:szCs w:val="18"/>
              </w:rPr>
            </w:pPr>
            <w:r>
              <w:rPr>
                <w:sz w:val="18"/>
                <w:szCs w:val="18"/>
              </w:rPr>
              <w:t>0.28</w:t>
            </w:r>
          </w:p>
        </w:tc>
        <w:tc>
          <w:tcPr>
            <w:tcW w:w="270" w:type="pct"/>
            <w:vAlign w:val="center"/>
          </w:tcPr>
          <w:p>
            <w:pPr>
              <w:spacing w:line="584" w:lineRule="exact"/>
              <w:jc w:val="right"/>
              <w:rPr>
                <w:rFonts w:ascii="Times New Roman" w:hAnsi="Times New Roman" w:eastAsia="仿宋_GB2312"/>
              </w:rPr>
            </w:pPr>
          </w:p>
        </w:tc>
        <w:tc>
          <w:tcPr>
            <w:tcW w:w="316"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298"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vAlign w:val="center"/>
          </w:tcPr>
          <w:p>
            <w:pPr>
              <w:rPr>
                <w:rFonts w:ascii="宋体" w:cs="宋体"/>
                <w:sz w:val="18"/>
                <w:szCs w:val="18"/>
              </w:rPr>
            </w:pPr>
            <w:r>
              <w:rPr>
                <w:sz w:val="18"/>
                <w:szCs w:val="18"/>
              </w:rPr>
              <w:t>2019</w:t>
            </w:r>
            <w:r>
              <w:rPr>
                <w:rFonts w:hint="eastAsia"/>
                <w:sz w:val="18"/>
                <w:szCs w:val="18"/>
              </w:rPr>
              <w:t>年广阳区城区清扫保洁经费</w:t>
            </w:r>
          </w:p>
        </w:tc>
        <w:tc>
          <w:tcPr>
            <w:tcW w:w="323" w:type="pct"/>
            <w:vAlign w:val="center"/>
          </w:tcPr>
          <w:p>
            <w:pPr>
              <w:jc w:val="right"/>
              <w:rPr>
                <w:sz w:val="18"/>
                <w:szCs w:val="18"/>
              </w:rPr>
            </w:pPr>
            <w:r>
              <w:rPr>
                <w:sz w:val="18"/>
                <w:szCs w:val="18"/>
              </w:rPr>
              <w:t>54.00</w:t>
            </w:r>
          </w:p>
        </w:tc>
        <w:tc>
          <w:tcPr>
            <w:tcW w:w="503"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被服</w:t>
            </w:r>
          </w:p>
        </w:tc>
        <w:tc>
          <w:tcPr>
            <w:tcW w:w="343" w:type="pct"/>
            <w:vAlign w:val="center"/>
          </w:tcPr>
          <w:p>
            <w:pPr>
              <w:spacing w:line="584" w:lineRule="exact"/>
              <w:jc w:val="left"/>
              <w:rPr>
                <w:rFonts w:ascii="Times New Roman" w:hAnsi="Times New Roman" w:eastAsia="仿宋_GB2312"/>
              </w:rPr>
            </w:pPr>
            <w:r>
              <w:rPr>
                <w:rFonts w:ascii="Times New Roman" w:hAnsi="Times New Roman" w:eastAsia="仿宋_GB2312"/>
              </w:rPr>
              <w:t>A070301</w:t>
            </w:r>
          </w:p>
        </w:tc>
        <w:tc>
          <w:tcPr>
            <w:tcW w:w="245"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套</w:t>
            </w:r>
          </w:p>
        </w:tc>
        <w:tc>
          <w:tcPr>
            <w:tcW w:w="253" w:type="pct"/>
            <w:vAlign w:val="center"/>
          </w:tcPr>
          <w:p>
            <w:pPr>
              <w:spacing w:line="584" w:lineRule="exact"/>
              <w:jc w:val="right"/>
              <w:rPr>
                <w:rFonts w:ascii="Times New Roman" w:hAnsi="Times New Roman" w:eastAsia="仿宋_GB2312"/>
              </w:rPr>
            </w:pPr>
            <w:r>
              <w:rPr>
                <w:rFonts w:ascii="Times New Roman" w:hAnsi="Times New Roman" w:eastAsia="仿宋_GB2312"/>
              </w:rPr>
              <w:t>5400</w:t>
            </w:r>
          </w:p>
        </w:tc>
        <w:tc>
          <w:tcPr>
            <w:tcW w:w="325" w:type="pct"/>
            <w:vAlign w:val="center"/>
          </w:tcPr>
          <w:p>
            <w:pPr>
              <w:jc w:val="right"/>
              <w:rPr>
                <w:rFonts w:ascii="宋体" w:cs="宋体"/>
                <w:sz w:val="18"/>
                <w:szCs w:val="18"/>
              </w:rPr>
            </w:pPr>
            <w:r>
              <w:rPr>
                <w:sz w:val="18"/>
                <w:szCs w:val="18"/>
              </w:rPr>
              <w:t>0.01</w:t>
            </w:r>
          </w:p>
        </w:tc>
        <w:tc>
          <w:tcPr>
            <w:tcW w:w="327" w:type="pct"/>
            <w:vAlign w:val="center"/>
          </w:tcPr>
          <w:p>
            <w:pPr>
              <w:jc w:val="right"/>
              <w:rPr>
                <w:sz w:val="18"/>
                <w:szCs w:val="18"/>
              </w:rPr>
            </w:pPr>
            <w:r>
              <w:rPr>
                <w:sz w:val="18"/>
                <w:szCs w:val="18"/>
              </w:rPr>
              <w:t>54.00</w:t>
            </w:r>
          </w:p>
        </w:tc>
        <w:tc>
          <w:tcPr>
            <w:tcW w:w="327" w:type="pct"/>
            <w:vAlign w:val="center"/>
          </w:tcPr>
          <w:p>
            <w:pPr>
              <w:jc w:val="right"/>
              <w:rPr>
                <w:sz w:val="18"/>
                <w:szCs w:val="18"/>
              </w:rPr>
            </w:pPr>
            <w:r>
              <w:rPr>
                <w:sz w:val="18"/>
                <w:szCs w:val="18"/>
              </w:rPr>
              <w:t>54.00</w:t>
            </w:r>
          </w:p>
        </w:tc>
        <w:tc>
          <w:tcPr>
            <w:tcW w:w="327" w:type="pct"/>
            <w:vAlign w:val="center"/>
          </w:tcPr>
          <w:p>
            <w:pPr>
              <w:jc w:val="right"/>
              <w:rPr>
                <w:sz w:val="18"/>
                <w:szCs w:val="18"/>
              </w:rPr>
            </w:pPr>
            <w:r>
              <w:rPr>
                <w:sz w:val="18"/>
                <w:szCs w:val="18"/>
              </w:rPr>
              <w:t>54.00</w:t>
            </w:r>
          </w:p>
        </w:tc>
        <w:tc>
          <w:tcPr>
            <w:tcW w:w="270" w:type="pct"/>
            <w:vAlign w:val="center"/>
          </w:tcPr>
          <w:p>
            <w:pPr>
              <w:spacing w:line="584" w:lineRule="exact"/>
              <w:jc w:val="right"/>
              <w:rPr>
                <w:rFonts w:ascii="Times New Roman" w:hAnsi="Times New Roman" w:eastAsia="仿宋_GB2312"/>
              </w:rPr>
            </w:pPr>
          </w:p>
        </w:tc>
        <w:tc>
          <w:tcPr>
            <w:tcW w:w="316"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298"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vAlign w:val="center"/>
          </w:tcPr>
          <w:p>
            <w:pPr>
              <w:rPr>
                <w:rFonts w:ascii="宋体" w:cs="宋体"/>
                <w:sz w:val="18"/>
                <w:szCs w:val="18"/>
              </w:rPr>
            </w:pPr>
            <w:r>
              <w:rPr>
                <w:sz w:val="18"/>
                <w:szCs w:val="18"/>
              </w:rPr>
              <w:t>2019</w:t>
            </w:r>
            <w:r>
              <w:rPr>
                <w:rFonts w:hint="eastAsia"/>
                <w:sz w:val="18"/>
                <w:szCs w:val="18"/>
              </w:rPr>
              <w:t>年广阳区城区清扫保洁经费</w:t>
            </w:r>
          </w:p>
        </w:tc>
        <w:tc>
          <w:tcPr>
            <w:tcW w:w="323" w:type="pct"/>
            <w:vAlign w:val="center"/>
          </w:tcPr>
          <w:p>
            <w:pPr>
              <w:jc w:val="right"/>
              <w:rPr>
                <w:sz w:val="18"/>
                <w:szCs w:val="18"/>
              </w:rPr>
            </w:pPr>
            <w:r>
              <w:rPr>
                <w:sz w:val="18"/>
                <w:szCs w:val="18"/>
              </w:rPr>
              <w:t>34.80</w:t>
            </w:r>
          </w:p>
        </w:tc>
        <w:tc>
          <w:tcPr>
            <w:tcW w:w="503"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其他货物</w:t>
            </w:r>
          </w:p>
        </w:tc>
        <w:tc>
          <w:tcPr>
            <w:tcW w:w="343" w:type="pct"/>
            <w:vAlign w:val="center"/>
          </w:tcPr>
          <w:p>
            <w:pPr>
              <w:spacing w:line="584" w:lineRule="exact"/>
              <w:jc w:val="left"/>
              <w:rPr>
                <w:rFonts w:ascii="Times New Roman" w:hAnsi="Times New Roman" w:eastAsia="仿宋_GB2312"/>
              </w:rPr>
            </w:pPr>
            <w:r>
              <w:rPr>
                <w:rFonts w:ascii="Times New Roman" w:hAnsi="Times New Roman" w:eastAsia="仿宋_GB2312"/>
              </w:rPr>
              <w:t>A99</w:t>
            </w:r>
          </w:p>
        </w:tc>
        <w:tc>
          <w:tcPr>
            <w:tcW w:w="245" w:type="pct"/>
            <w:vAlign w:val="center"/>
          </w:tcPr>
          <w:p>
            <w:pPr>
              <w:spacing w:line="584" w:lineRule="exact"/>
              <w:jc w:val="left"/>
              <w:rPr>
                <w:rFonts w:ascii="Times New Roman" w:hAnsi="Times New Roman" w:eastAsia="仿宋_GB2312"/>
              </w:rPr>
            </w:pPr>
            <w:r>
              <w:rPr>
                <w:rFonts w:hint="eastAsia" w:ascii="Times New Roman" w:hAnsi="Times New Roman" w:eastAsia="仿宋_GB2312"/>
              </w:rPr>
              <w:t>份</w:t>
            </w:r>
          </w:p>
        </w:tc>
        <w:tc>
          <w:tcPr>
            <w:tcW w:w="253" w:type="pct"/>
            <w:vAlign w:val="center"/>
          </w:tcPr>
          <w:p>
            <w:pPr>
              <w:spacing w:line="584" w:lineRule="exact"/>
              <w:jc w:val="right"/>
              <w:rPr>
                <w:rFonts w:ascii="Times New Roman" w:hAnsi="Times New Roman" w:eastAsia="仿宋_GB2312"/>
              </w:rPr>
            </w:pPr>
            <w:r>
              <w:rPr>
                <w:rFonts w:ascii="Times New Roman" w:hAnsi="Times New Roman" w:eastAsia="仿宋_GB2312"/>
              </w:rPr>
              <w:t>870</w:t>
            </w:r>
          </w:p>
        </w:tc>
        <w:tc>
          <w:tcPr>
            <w:tcW w:w="325" w:type="pct"/>
            <w:vAlign w:val="center"/>
          </w:tcPr>
          <w:p>
            <w:pPr>
              <w:jc w:val="right"/>
              <w:rPr>
                <w:rFonts w:ascii="宋体" w:cs="宋体"/>
                <w:sz w:val="18"/>
                <w:szCs w:val="18"/>
              </w:rPr>
            </w:pPr>
            <w:r>
              <w:rPr>
                <w:sz w:val="18"/>
                <w:szCs w:val="18"/>
              </w:rPr>
              <w:t>0.04</w:t>
            </w:r>
          </w:p>
        </w:tc>
        <w:tc>
          <w:tcPr>
            <w:tcW w:w="327" w:type="pct"/>
            <w:vAlign w:val="center"/>
          </w:tcPr>
          <w:p>
            <w:pPr>
              <w:jc w:val="right"/>
              <w:rPr>
                <w:sz w:val="18"/>
                <w:szCs w:val="18"/>
              </w:rPr>
            </w:pPr>
            <w:r>
              <w:rPr>
                <w:sz w:val="18"/>
                <w:szCs w:val="18"/>
              </w:rPr>
              <w:t>34.80</w:t>
            </w:r>
          </w:p>
        </w:tc>
        <w:tc>
          <w:tcPr>
            <w:tcW w:w="327" w:type="pct"/>
            <w:vAlign w:val="center"/>
          </w:tcPr>
          <w:p>
            <w:pPr>
              <w:jc w:val="right"/>
              <w:rPr>
                <w:sz w:val="18"/>
                <w:szCs w:val="18"/>
              </w:rPr>
            </w:pPr>
            <w:r>
              <w:rPr>
                <w:sz w:val="18"/>
                <w:szCs w:val="18"/>
              </w:rPr>
              <w:t>34.80</w:t>
            </w:r>
          </w:p>
        </w:tc>
        <w:tc>
          <w:tcPr>
            <w:tcW w:w="327" w:type="pct"/>
            <w:vAlign w:val="center"/>
          </w:tcPr>
          <w:p>
            <w:pPr>
              <w:jc w:val="right"/>
              <w:rPr>
                <w:sz w:val="18"/>
                <w:szCs w:val="18"/>
              </w:rPr>
            </w:pPr>
            <w:r>
              <w:rPr>
                <w:sz w:val="18"/>
                <w:szCs w:val="18"/>
              </w:rPr>
              <w:t>34.80</w:t>
            </w:r>
          </w:p>
        </w:tc>
        <w:tc>
          <w:tcPr>
            <w:tcW w:w="270" w:type="pct"/>
            <w:vAlign w:val="center"/>
          </w:tcPr>
          <w:p>
            <w:pPr>
              <w:spacing w:line="584" w:lineRule="exact"/>
              <w:jc w:val="right"/>
              <w:rPr>
                <w:rFonts w:ascii="Times New Roman" w:hAnsi="Times New Roman" w:eastAsia="仿宋_GB2312"/>
              </w:rPr>
            </w:pPr>
          </w:p>
        </w:tc>
        <w:tc>
          <w:tcPr>
            <w:tcW w:w="316"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298" w:type="pct"/>
            <w:vAlign w:val="center"/>
          </w:tcPr>
          <w:p>
            <w:pPr>
              <w:spacing w:line="584" w:lineRule="exact"/>
              <w:jc w:val="right"/>
              <w:rPr>
                <w:rFonts w:ascii="Times New Roman" w:hAnsi="Times New Roman" w:eastAsia="仿宋_GB2312"/>
              </w:rPr>
            </w:pPr>
          </w:p>
        </w:tc>
      </w:tr>
    </w:tbl>
    <w:p>
      <w:pPr>
        <w:spacing w:line="584" w:lineRule="exact"/>
        <w:jc w:val="left"/>
        <w:outlineLvl w:val="0"/>
        <w:rPr>
          <w:rFonts w:ascii="Times New Roman" w:hAnsi="Times New Roman" w:eastAsia="仿宋_GB2312"/>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廊坊市广阳区建设局（含所属单位）上年末固定资产金额为</w:t>
      </w:r>
      <w:r>
        <w:rPr>
          <w:rFonts w:ascii="Times New Roman" w:hAnsi="Times New Roman" w:eastAsia="仿宋_GB2312"/>
          <w:sz w:val="32"/>
          <w:szCs w:val="32"/>
        </w:rPr>
        <w:t>258.77</w:t>
      </w:r>
      <w:r>
        <w:rPr>
          <w:rFonts w:hint="eastAsia" w:ascii="Times New Roman" w:hAnsi="Times New Roman" w:eastAsia="仿宋_GB2312"/>
          <w:sz w:val="32"/>
          <w:szCs w:val="32"/>
        </w:rPr>
        <w:t>万元，本年度我部门拟购置固定资产</w:t>
      </w:r>
      <w:r>
        <w:rPr>
          <w:rFonts w:ascii="Times New Roman" w:hAnsi="Times New Roman" w:eastAsia="仿宋_GB2312"/>
          <w:sz w:val="32"/>
          <w:szCs w:val="32"/>
        </w:rPr>
        <w:t>1.8</w:t>
      </w:r>
      <w:r>
        <w:rPr>
          <w:rFonts w:hint="eastAsia" w:ascii="Times New Roman" w:hAnsi="Times New Roman" w:eastAsia="仿宋_GB2312"/>
          <w:sz w:val="32"/>
          <w:szCs w:val="32"/>
        </w:rPr>
        <w:t>万元，主要为计算机设备、打印设备、办公家具等，已列入政府采购预算。详见下表。</w:t>
      </w:r>
    </w:p>
    <w:p>
      <w:pPr>
        <w:spacing w:line="584" w:lineRule="exact"/>
        <w:ind w:firstLine="640"/>
        <w:rPr>
          <w:rFonts w:ascii="Times New Roman" w:hAnsi="Times New Roman" w:eastAsia="仿宋_GB2312"/>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编制部门：601廊坊市广阳区建设局</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截止时间：</w:t>
            </w:r>
            <w:r>
              <w:rPr>
                <w:rFonts w:ascii="Times New Roman" w:hAnsi="Times New Roman" w:eastAsia="仿宋_GB2312"/>
                <w:kern w:val="0"/>
                <w:sz w:val="22"/>
              </w:rPr>
              <w:t>2018</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仿宋_GB2312" w:hAnsi="Times New Roman" w:eastAsia="仿宋_GB2312"/>
                <w:kern w:val="0"/>
                <w:sz w:val="22"/>
              </w:rPr>
            </w:pPr>
            <w:r>
              <w:rPr>
                <w:rFonts w:hint="eastAsia" w:ascii="仿宋_GB2312" w:hAnsi="Times New Roman" w:eastAsia="仿宋_GB2312"/>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default" w:ascii="仿宋_GB2312" w:hAnsi="Times New Roman" w:eastAsia="仿宋_GB2312"/>
                <w:sz w:val="22"/>
                <w:lang w:val="en-US" w:eastAsia="zh-CN"/>
              </w:rPr>
            </w:pPr>
            <w:r>
              <w:rPr>
                <w:rFonts w:hint="eastAsia" w:ascii="仿宋_GB2312" w:hAnsi="Times New Roman" w:eastAsia="仿宋_GB2312"/>
                <w:sz w:val="22"/>
                <w:lang w:val="en-US" w:eastAsia="zh-CN"/>
              </w:rPr>
              <w:t>258.78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1099</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63.52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1099</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63.52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12</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88.64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571</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106.62</w:t>
            </w:r>
          </w:p>
        </w:tc>
      </w:tr>
    </w:tbl>
    <w:p>
      <w:pPr>
        <w:autoSpaceDE w:val="0"/>
        <w:autoSpaceDN w:val="0"/>
        <w:adjustRightInd w:val="0"/>
        <w:spacing w:line="584" w:lineRule="exact"/>
        <w:ind w:left="198" w:firstLine="640" w:firstLineChars="200"/>
        <w:jc w:val="left"/>
        <w:rPr>
          <w:rFonts w:ascii="Times New Roman" w:hAnsi="Times New Roman" w:eastAsia="仿宋_GB2312"/>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8631C"/>
    <w:multiLevelType w:val="multilevel"/>
    <w:tmpl w:val="5B68631C"/>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0EFA"/>
    <w:rsid w:val="000410F2"/>
    <w:rsid w:val="0004565F"/>
    <w:rsid w:val="00072187"/>
    <w:rsid w:val="00075D5F"/>
    <w:rsid w:val="0008180F"/>
    <w:rsid w:val="00093DA3"/>
    <w:rsid w:val="000B529B"/>
    <w:rsid w:val="000C24E6"/>
    <w:rsid w:val="000C3A19"/>
    <w:rsid w:val="000E4305"/>
    <w:rsid w:val="000F0D09"/>
    <w:rsid w:val="000F22C9"/>
    <w:rsid w:val="001245BB"/>
    <w:rsid w:val="001251A3"/>
    <w:rsid w:val="00131C31"/>
    <w:rsid w:val="00146C3F"/>
    <w:rsid w:val="0015229A"/>
    <w:rsid w:val="00160266"/>
    <w:rsid w:val="001643E8"/>
    <w:rsid w:val="00176C13"/>
    <w:rsid w:val="00184C7D"/>
    <w:rsid w:val="001919C4"/>
    <w:rsid w:val="0019723B"/>
    <w:rsid w:val="001A0943"/>
    <w:rsid w:val="001A4E8B"/>
    <w:rsid w:val="001B5C1D"/>
    <w:rsid w:val="001D3C61"/>
    <w:rsid w:val="001E0757"/>
    <w:rsid w:val="001E6DDC"/>
    <w:rsid w:val="001E70E9"/>
    <w:rsid w:val="001F5C92"/>
    <w:rsid w:val="001F7873"/>
    <w:rsid w:val="002133F0"/>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E66C4"/>
    <w:rsid w:val="002F3E58"/>
    <w:rsid w:val="0030542C"/>
    <w:rsid w:val="00311B7A"/>
    <w:rsid w:val="003126B6"/>
    <w:rsid w:val="00313D9C"/>
    <w:rsid w:val="00325215"/>
    <w:rsid w:val="0033339C"/>
    <w:rsid w:val="00335660"/>
    <w:rsid w:val="00353F32"/>
    <w:rsid w:val="003A34D7"/>
    <w:rsid w:val="003B6D37"/>
    <w:rsid w:val="003D34AD"/>
    <w:rsid w:val="00414BD3"/>
    <w:rsid w:val="00424943"/>
    <w:rsid w:val="0042727E"/>
    <w:rsid w:val="0043175C"/>
    <w:rsid w:val="00437296"/>
    <w:rsid w:val="00445C30"/>
    <w:rsid w:val="00451590"/>
    <w:rsid w:val="00451871"/>
    <w:rsid w:val="004706DE"/>
    <w:rsid w:val="00472923"/>
    <w:rsid w:val="00477CB7"/>
    <w:rsid w:val="00486DCD"/>
    <w:rsid w:val="0049120C"/>
    <w:rsid w:val="004B0C3A"/>
    <w:rsid w:val="004C49A8"/>
    <w:rsid w:val="004C58D3"/>
    <w:rsid w:val="004D5788"/>
    <w:rsid w:val="004E3066"/>
    <w:rsid w:val="004E419C"/>
    <w:rsid w:val="004E74CD"/>
    <w:rsid w:val="00505F6E"/>
    <w:rsid w:val="00524EFD"/>
    <w:rsid w:val="00551298"/>
    <w:rsid w:val="00572067"/>
    <w:rsid w:val="00573562"/>
    <w:rsid w:val="00580536"/>
    <w:rsid w:val="00590ECE"/>
    <w:rsid w:val="00592A73"/>
    <w:rsid w:val="005C0E90"/>
    <w:rsid w:val="005D0C27"/>
    <w:rsid w:val="005D37CA"/>
    <w:rsid w:val="005E1B64"/>
    <w:rsid w:val="005F5714"/>
    <w:rsid w:val="005F7AE1"/>
    <w:rsid w:val="00611D03"/>
    <w:rsid w:val="00614A29"/>
    <w:rsid w:val="00624B94"/>
    <w:rsid w:val="00651BA2"/>
    <w:rsid w:val="00654FB9"/>
    <w:rsid w:val="006642DA"/>
    <w:rsid w:val="006735A5"/>
    <w:rsid w:val="00673D76"/>
    <w:rsid w:val="006854F0"/>
    <w:rsid w:val="00692A55"/>
    <w:rsid w:val="00697D4D"/>
    <w:rsid w:val="006B1C4A"/>
    <w:rsid w:val="006B610D"/>
    <w:rsid w:val="006C206A"/>
    <w:rsid w:val="006E49F5"/>
    <w:rsid w:val="007013C8"/>
    <w:rsid w:val="00727C84"/>
    <w:rsid w:val="0074338E"/>
    <w:rsid w:val="00747726"/>
    <w:rsid w:val="00753836"/>
    <w:rsid w:val="0075393C"/>
    <w:rsid w:val="00754592"/>
    <w:rsid w:val="00761C72"/>
    <w:rsid w:val="00776C08"/>
    <w:rsid w:val="00790ABF"/>
    <w:rsid w:val="007B1E59"/>
    <w:rsid w:val="007B49AA"/>
    <w:rsid w:val="007C219A"/>
    <w:rsid w:val="007E1DA8"/>
    <w:rsid w:val="007E4B05"/>
    <w:rsid w:val="007F1335"/>
    <w:rsid w:val="007F6C26"/>
    <w:rsid w:val="00800F72"/>
    <w:rsid w:val="00801A6E"/>
    <w:rsid w:val="00811795"/>
    <w:rsid w:val="00813208"/>
    <w:rsid w:val="00815157"/>
    <w:rsid w:val="0083348E"/>
    <w:rsid w:val="008334AE"/>
    <w:rsid w:val="00835306"/>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431F"/>
    <w:rsid w:val="0090563F"/>
    <w:rsid w:val="00905D08"/>
    <w:rsid w:val="00925753"/>
    <w:rsid w:val="00937F8B"/>
    <w:rsid w:val="009425F4"/>
    <w:rsid w:val="00943BD8"/>
    <w:rsid w:val="00946BA2"/>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3B4"/>
    <w:rsid w:val="009D37D3"/>
    <w:rsid w:val="009D3807"/>
    <w:rsid w:val="00A16E6C"/>
    <w:rsid w:val="00A40F60"/>
    <w:rsid w:val="00A41124"/>
    <w:rsid w:val="00A422B6"/>
    <w:rsid w:val="00A44E3D"/>
    <w:rsid w:val="00A72D2E"/>
    <w:rsid w:val="00A74447"/>
    <w:rsid w:val="00A74CE5"/>
    <w:rsid w:val="00A77500"/>
    <w:rsid w:val="00A8536F"/>
    <w:rsid w:val="00A911E7"/>
    <w:rsid w:val="00A939D9"/>
    <w:rsid w:val="00AB77AA"/>
    <w:rsid w:val="00AC0E98"/>
    <w:rsid w:val="00AC4748"/>
    <w:rsid w:val="00AD0F4B"/>
    <w:rsid w:val="00AD5259"/>
    <w:rsid w:val="00B01D36"/>
    <w:rsid w:val="00B078CD"/>
    <w:rsid w:val="00B20712"/>
    <w:rsid w:val="00B40832"/>
    <w:rsid w:val="00B43238"/>
    <w:rsid w:val="00B45DD3"/>
    <w:rsid w:val="00B54B90"/>
    <w:rsid w:val="00B6319E"/>
    <w:rsid w:val="00B6358B"/>
    <w:rsid w:val="00B64FA8"/>
    <w:rsid w:val="00B73582"/>
    <w:rsid w:val="00B7374C"/>
    <w:rsid w:val="00B75216"/>
    <w:rsid w:val="00B755A2"/>
    <w:rsid w:val="00B817A1"/>
    <w:rsid w:val="00B9104C"/>
    <w:rsid w:val="00B91D52"/>
    <w:rsid w:val="00B9490F"/>
    <w:rsid w:val="00BA1ACD"/>
    <w:rsid w:val="00BD09F8"/>
    <w:rsid w:val="00BE356A"/>
    <w:rsid w:val="00C005B2"/>
    <w:rsid w:val="00C1565C"/>
    <w:rsid w:val="00C21DEE"/>
    <w:rsid w:val="00C21E0F"/>
    <w:rsid w:val="00C362CA"/>
    <w:rsid w:val="00C37A99"/>
    <w:rsid w:val="00C57F14"/>
    <w:rsid w:val="00C772C1"/>
    <w:rsid w:val="00C93D22"/>
    <w:rsid w:val="00CA51D9"/>
    <w:rsid w:val="00CA7176"/>
    <w:rsid w:val="00CB51D7"/>
    <w:rsid w:val="00CC75B0"/>
    <w:rsid w:val="00CD2773"/>
    <w:rsid w:val="00CE01BA"/>
    <w:rsid w:val="00CE143B"/>
    <w:rsid w:val="00CE3A91"/>
    <w:rsid w:val="00CE51EF"/>
    <w:rsid w:val="00D07DBA"/>
    <w:rsid w:val="00D23C16"/>
    <w:rsid w:val="00D27003"/>
    <w:rsid w:val="00D324AD"/>
    <w:rsid w:val="00D9307A"/>
    <w:rsid w:val="00D93941"/>
    <w:rsid w:val="00DB4322"/>
    <w:rsid w:val="00DD1D0C"/>
    <w:rsid w:val="00DE186D"/>
    <w:rsid w:val="00DF75C4"/>
    <w:rsid w:val="00E167C7"/>
    <w:rsid w:val="00E440CF"/>
    <w:rsid w:val="00E472EF"/>
    <w:rsid w:val="00E55B78"/>
    <w:rsid w:val="00E76361"/>
    <w:rsid w:val="00E84020"/>
    <w:rsid w:val="00EB5583"/>
    <w:rsid w:val="00EB7A80"/>
    <w:rsid w:val="00EC47F6"/>
    <w:rsid w:val="00EE6D6D"/>
    <w:rsid w:val="00EF08C9"/>
    <w:rsid w:val="00EF535E"/>
    <w:rsid w:val="00F15CF0"/>
    <w:rsid w:val="00F471F7"/>
    <w:rsid w:val="00F5344A"/>
    <w:rsid w:val="00F66032"/>
    <w:rsid w:val="00F83B96"/>
    <w:rsid w:val="00F8441D"/>
    <w:rsid w:val="00F87C1E"/>
    <w:rsid w:val="00F958C2"/>
    <w:rsid w:val="00F97D5A"/>
    <w:rsid w:val="00FA740E"/>
    <w:rsid w:val="00FB11C9"/>
    <w:rsid w:val="00FC06C7"/>
    <w:rsid w:val="00FD5DB4"/>
    <w:rsid w:val="00FE1724"/>
    <w:rsid w:val="00FE753C"/>
    <w:rsid w:val="00FF2346"/>
    <w:rsid w:val="0C4F52AD"/>
    <w:rsid w:val="20392E04"/>
    <w:rsid w:val="4C8827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semiHidden/>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character" w:styleId="10">
    <w:name w:val="footnote reference"/>
    <w:basedOn w:val="9"/>
    <w:semiHidden/>
    <w:qFormat/>
    <w:uiPriority w:val="99"/>
    <w:rPr>
      <w:rFonts w:cs="Times New Roman"/>
      <w:vertAlign w:val="superscript"/>
    </w:rPr>
  </w:style>
  <w:style w:type="character" w:customStyle="1" w:styleId="11">
    <w:name w:val="页眉 Char"/>
    <w:basedOn w:val="9"/>
    <w:link w:val="4"/>
    <w:qFormat/>
    <w:locked/>
    <w:uiPriority w:val="99"/>
    <w:rPr>
      <w:rFonts w:ascii="Times New Roman" w:hAnsi="Times New Roman" w:eastAsia="宋体" w:cs="Times New Roman"/>
      <w:sz w:val="18"/>
      <w:szCs w:val="18"/>
    </w:rPr>
  </w:style>
  <w:style w:type="character" w:customStyle="1" w:styleId="12">
    <w:name w:val="页脚 Char"/>
    <w:basedOn w:val="9"/>
    <w:link w:val="3"/>
    <w:qFormat/>
    <w:locked/>
    <w:uiPriority w:val="99"/>
    <w:rPr>
      <w:rFonts w:ascii="Times New Roman" w:hAnsi="Times New Roman" w:eastAsia="宋体" w:cs="Times New Roman"/>
      <w:sz w:val="18"/>
      <w:szCs w:val="18"/>
    </w:rPr>
  </w:style>
  <w:style w:type="character" w:customStyle="1" w:styleId="13">
    <w:name w:val="批注框文本 Char"/>
    <w:basedOn w:val="9"/>
    <w:link w:val="2"/>
    <w:semiHidden/>
    <w:qFormat/>
    <w:locked/>
    <w:uiPriority w:val="99"/>
    <w:rPr>
      <w:rFonts w:cs="Times New Roman"/>
      <w:sz w:val="18"/>
      <w:szCs w:val="18"/>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脚注文本 Char"/>
    <w:basedOn w:val="9"/>
    <w:link w:val="6"/>
    <w:semiHidden/>
    <w:qFormat/>
    <w:locked/>
    <w:uiPriority w:val="99"/>
    <w:rPr>
      <w:rFonts w:ascii="Calibri" w:hAnsi="Calibri" w:eastAsia="宋体" w:cs="Times New Roman"/>
      <w:sz w:val="18"/>
      <w:szCs w:val="18"/>
    </w:rPr>
  </w:style>
  <w:style w:type="paragraph" w:customStyle="1" w:styleId="16">
    <w:name w:val="[Normal]"/>
    <w:qFormat/>
    <w:uiPriority w:val="99"/>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1258</Words>
  <Characters>7174</Characters>
  <Lines>59</Lines>
  <Paragraphs>16</Paragraphs>
  <TotalTime>340</TotalTime>
  <ScaleCrop>false</ScaleCrop>
  <LinksUpToDate>false</LinksUpToDate>
  <CharactersWithSpaces>8416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2024-01-17T09:43:48Z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619C1AB16D1B42098FFE5AF84379FDD3</vt:lpwstr>
  </property>
</Properties>
</file>