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ascii="Times New Roman" w:hAnsi="Times New Roman" w:eastAsia="仿宋_GB2312" w:cs="Times New Roman"/>
          <w:sz w:val="44"/>
          <w:szCs w:val="44"/>
        </w:rPr>
      </w:pPr>
    </w:p>
    <w:p>
      <w:pPr>
        <w:spacing w:line="584"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廊坊市广阳区档案局2019年部门预算信息公开</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lang w:eastAsia="zh-CN"/>
        </w:rPr>
        <w:t>中华人民共和国</w:t>
      </w:r>
      <w:bookmarkStart w:id="4" w:name="_GoBack"/>
      <w:bookmarkEnd w:id="4"/>
      <w:r>
        <w:rPr>
          <w:rFonts w:ascii="Times New Roman" w:hAnsi="Times New Roman" w:eastAsia="仿宋_GB2312" w:cs="Times New Roman"/>
          <w:sz w:val="32"/>
          <w:szCs w:val="32"/>
        </w:rPr>
        <w:t>预算法》、《地方预决算公开操作规程》和《河北省省级预算公开办法》规定，现将廊坊市</w:t>
      </w:r>
      <w:r>
        <w:rPr>
          <w:rFonts w:hint="eastAsia" w:ascii="Times New Roman" w:hAnsi="Times New Roman" w:eastAsia="仿宋_GB2312" w:cs="Times New Roman"/>
          <w:sz w:val="32"/>
          <w:szCs w:val="32"/>
        </w:rPr>
        <w:t>广阳区档案</w:t>
      </w:r>
      <w:r>
        <w:rPr>
          <w:rFonts w:ascii="Times New Roman" w:hAnsi="Times New Roman" w:eastAsia="仿宋_GB2312" w:cs="Times New Roman"/>
          <w:sz w:val="32"/>
          <w:szCs w:val="32"/>
        </w:rPr>
        <w:t>局2019年部门预算公开如下：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pStyle w:val="1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spacing w:line="570" w:lineRule="exact"/>
        <w:ind w:left="647" w:firstLine="0" w:firstLineChars="0"/>
        <w:rPr>
          <w:rFonts w:ascii="仿宋_GB2312" w:eastAsia="仿宋_GB2312" w:cs="仿宋_GB2312"/>
          <w:color w:val="000000"/>
          <w:sz w:val="32"/>
          <w:szCs w:val="32"/>
        </w:rPr>
      </w:pPr>
      <w:r>
        <w:rPr>
          <w:rFonts w:hint="eastAsia" w:ascii="仿宋_GB2312" w:eastAsia="仿宋_GB2312" w:cs="仿宋_GB2312"/>
          <w:color w:val="000000"/>
          <w:sz w:val="32"/>
          <w:szCs w:val="32"/>
        </w:rPr>
        <w:t>廊坊市广阳区档案局为中共廊坊市广阳区委的行政事业单位，同时又是广阳区人民政府档案行政</w:t>
      </w:r>
    </w:p>
    <w:p>
      <w:pPr>
        <w:pStyle w:val="1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spacing w:line="570" w:lineRule="exact"/>
        <w:ind w:firstLine="0" w:firstLineChars="0"/>
        <w:rPr>
          <w:rFonts w:ascii="仿宋_GB2312" w:eastAsia="仿宋_GB2312" w:cs="仿宋_GB2312"/>
          <w:color w:val="000000"/>
          <w:sz w:val="32"/>
          <w:szCs w:val="32"/>
        </w:rPr>
      </w:pPr>
      <w:r>
        <w:rPr>
          <w:rFonts w:hint="eastAsia" w:ascii="仿宋_GB2312" w:eastAsia="仿宋_GB2312" w:cs="仿宋_GB2312"/>
          <w:color w:val="000000"/>
          <w:sz w:val="32"/>
          <w:szCs w:val="32"/>
        </w:rPr>
        <w:t>执法的单位。按照国家《档案法》的具体要求，档案局的具体职责是：</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spacing w:line="570" w:lineRule="exact"/>
        <w:ind w:firstLine="643"/>
        <w:rPr>
          <w:rFonts w:ascii="仿宋_GB2312" w:eastAsia="仿宋_GB2312" w:cs="仿宋_GB2312"/>
          <w:color w:val="000000"/>
          <w:sz w:val="32"/>
          <w:szCs w:val="32"/>
        </w:rPr>
      </w:pPr>
      <w:r>
        <w:rPr>
          <w:rFonts w:ascii="仿宋_GB2312" w:eastAsia="仿宋_GB2312" w:cs="仿宋_GB2312"/>
          <w:color w:val="000000"/>
          <w:sz w:val="32"/>
          <w:szCs w:val="32"/>
        </w:rPr>
        <w:t>1</w:t>
      </w:r>
      <w:r>
        <w:rPr>
          <w:rFonts w:hint="eastAsia" w:ascii="仿宋_GB2312" w:eastAsia="仿宋_GB2312" w:cs="仿宋_GB2312"/>
          <w:color w:val="000000"/>
          <w:sz w:val="32"/>
          <w:szCs w:val="32"/>
        </w:rPr>
        <w:t>、是对全区档案事业实行宏观管理，编制档案事业中长期发展规划、年度工作要点并监督实施；指导、检查、协调档案业务工作。</w:t>
      </w:r>
    </w:p>
    <w:p>
      <w:pPr>
        <w:spacing w:line="570" w:lineRule="exact"/>
        <w:ind w:firstLine="640" w:firstLineChars="200"/>
        <w:rPr>
          <w:rFonts w:ascii="仿宋_GB2312" w:eastAsia="仿宋_GB2312" w:cs="仿宋_GB2312"/>
          <w:color w:val="000000"/>
          <w:sz w:val="32"/>
          <w:szCs w:val="32"/>
        </w:rPr>
      </w:pPr>
      <w:r>
        <w:rPr>
          <w:rFonts w:ascii="仿宋_GB2312" w:eastAsia="仿宋_GB2312" w:cs="仿宋_GB2312"/>
          <w:color w:val="000000"/>
          <w:sz w:val="32"/>
          <w:szCs w:val="32"/>
        </w:rPr>
        <w:t>2</w:t>
      </w:r>
      <w:r>
        <w:rPr>
          <w:rFonts w:hint="eastAsia" w:ascii="仿宋_GB2312" w:eastAsia="仿宋_GB2312" w:cs="仿宋_GB2312"/>
          <w:color w:val="000000"/>
          <w:sz w:val="32"/>
          <w:szCs w:val="32"/>
        </w:rPr>
        <w:t>、是研究起草档案工作的地方性规章和办法，依据有关法律、法规进行档案执法和监督。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spacing w:line="570" w:lineRule="exact"/>
        <w:ind w:firstLine="660"/>
        <w:rPr>
          <w:rFonts w:ascii="仿宋_GB2312" w:eastAsia="仿宋_GB2312" w:cs="仿宋_GB2312"/>
          <w:color w:val="000000"/>
          <w:sz w:val="32"/>
          <w:szCs w:val="32"/>
        </w:rPr>
      </w:pPr>
      <w:r>
        <w:rPr>
          <w:rFonts w:ascii="仿宋_GB2312" w:eastAsia="仿宋_GB2312" w:cs="仿宋_GB2312"/>
          <w:color w:val="000000"/>
          <w:sz w:val="32"/>
          <w:szCs w:val="32"/>
        </w:rPr>
        <w:t>3</w:t>
      </w:r>
      <w:r>
        <w:rPr>
          <w:rFonts w:hint="eastAsia" w:ascii="仿宋_GB2312" w:eastAsia="仿宋_GB2312" w:cs="仿宋_GB2312"/>
          <w:color w:val="000000"/>
          <w:sz w:val="32"/>
          <w:szCs w:val="32"/>
        </w:rPr>
        <w:t>、是组织档案科学技术和理论研究，推进全区档案工作的科学化、标准化和现代化建设。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spacing w:line="570" w:lineRule="exact"/>
        <w:ind w:firstLine="660"/>
        <w:rPr>
          <w:rFonts w:ascii="仿宋_GB2312" w:eastAsia="仿宋_GB2312" w:cs="仿宋_GB2312"/>
          <w:color w:val="000000"/>
          <w:sz w:val="32"/>
          <w:szCs w:val="32"/>
        </w:rPr>
      </w:pPr>
      <w:r>
        <w:rPr>
          <w:rFonts w:ascii="仿宋_GB2312" w:eastAsia="仿宋_GB2312" w:cs="仿宋_GB2312"/>
          <w:color w:val="000000"/>
          <w:sz w:val="32"/>
          <w:szCs w:val="32"/>
        </w:rPr>
        <w:t>4</w:t>
      </w:r>
      <w:r>
        <w:rPr>
          <w:rFonts w:hint="eastAsia" w:ascii="仿宋_GB2312" w:eastAsia="仿宋_GB2312" w:cs="仿宋_GB2312"/>
          <w:color w:val="000000"/>
          <w:sz w:val="32"/>
          <w:szCs w:val="32"/>
        </w:rPr>
        <w:t>、是制定全区档案干部队伍建设规划，组织档案专业教育和档案干部培训工作，协助做好档案专业技术职称评聘有关工作。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spacing w:line="570" w:lineRule="exact"/>
        <w:ind w:firstLine="660"/>
        <w:rPr>
          <w:rFonts w:ascii="仿宋_GB2312" w:eastAsia="仿宋_GB2312" w:cs="仿宋_GB2312"/>
          <w:color w:val="000000"/>
          <w:sz w:val="32"/>
          <w:szCs w:val="32"/>
        </w:rPr>
      </w:pPr>
      <w:r>
        <w:rPr>
          <w:rFonts w:ascii="仿宋_GB2312" w:eastAsia="仿宋_GB2312" w:cs="仿宋_GB2312"/>
          <w:color w:val="000000"/>
          <w:sz w:val="32"/>
          <w:szCs w:val="32"/>
        </w:rPr>
        <w:t>5</w:t>
      </w:r>
      <w:r>
        <w:rPr>
          <w:rFonts w:hint="eastAsia" w:ascii="仿宋_GB2312" w:eastAsia="仿宋_GB2312" w:cs="仿宋_GB2312"/>
          <w:color w:val="000000"/>
          <w:sz w:val="32"/>
          <w:szCs w:val="32"/>
        </w:rPr>
        <w:t>、是负责档案宣传工作，统一管理全区档案资料的对外交流，协调全区档案工作的外事活动。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spacing w:line="570" w:lineRule="exact"/>
        <w:ind w:firstLine="660"/>
        <w:rPr>
          <w:rFonts w:ascii="仿宋_GB2312" w:eastAsia="仿宋_GB2312" w:cs="仿宋_GB2312"/>
          <w:color w:val="000000"/>
          <w:sz w:val="32"/>
          <w:szCs w:val="32"/>
        </w:rPr>
      </w:pPr>
      <w:r>
        <w:rPr>
          <w:rFonts w:ascii="仿宋_GB2312" w:eastAsia="仿宋_GB2312" w:cs="仿宋_GB2312"/>
          <w:color w:val="000000"/>
          <w:sz w:val="32"/>
          <w:szCs w:val="32"/>
        </w:rPr>
        <w:t>6</w:t>
      </w:r>
      <w:r>
        <w:rPr>
          <w:rFonts w:hint="eastAsia" w:ascii="仿宋_GB2312" w:eastAsia="仿宋_GB2312" w:cs="仿宋_GB2312"/>
          <w:color w:val="000000"/>
          <w:sz w:val="32"/>
          <w:szCs w:val="32"/>
        </w:rPr>
        <w:t>、是集中统一管理各乡镇、街办处、区直机关的档案资料和历史资料，保守党和国家机密，维护档案完整，确保档案资料安全。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spacing w:line="570" w:lineRule="exact"/>
        <w:ind w:firstLine="660"/>
        <w:rPr>
          <w:rFonts w:ascii="仿宋_GB2312" w:eastAsia="仿宋_GB2312" w:cs="仿宋_GB2312"/>
          <w:color w:val="000000"/>
          <w:sz w:val="32"/>
          <w:szCs w:val="32"/>
        </w:rPr>
      </w:pPr>
      <w:r>
        <w:rPr>
          <w:rFonts w:ascii="仿宋_GB2312" w:eastAsia="仿宋_GB2312" w:cs="仿宋_GB2312"/>
          <w:color w:val="000000"/>
          <w:sz w:val="32"/>
          <w:szCs w:val="32"/>
        </w:rPr>
        <w:t>7</w:t>
      </w:r>
      <w:r>
        <w:rPr>
          <w:rFonts w:hint="eastAsia" w:ascii="仿宋_GB2312" w:eastAsia="仿宋_GB2312" w:cs="仿宋_GB2312"/>
          <w:color w:val="000000"/>
          <w:sz w:val="32"/>
          <w:szCs w:val="32"/>
        </w:rPr>
        <w:t>、是负责接收区直属机关档案并进行系统化管理；调查、征集与我区有关的档案资料。</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spacing w:line="570" w:lineRule="exact"/>
        <w:ind w:firstLine="660"/>
        <w:rPr>
          <w:rFonts w:ascii="仿宋_GB2312" w:eastAsia="仿宋_GB2312" w:cs="仿宋_GB2312"/>
          <w:color w:val="000000"/>
          <w:sz w:val="32"/>
          <w:szCs w:val="32"/>
        </w:rPr>
      </w:pPr>
      <w:r>
        <w:rPr>
          <w:rFonts w:ascii="仿宋_GB2312" w:eastAsia="仿宋_GB2312" w:cs="仿宋_GB2312"/>
          <w:color w:val="000000"/>
          <w:sz w:val="32"/>
          <w:szCs w:val="32"/>
        </w:rPr>
        <w:t>8</w:t>
      </w:r>
      <w:r>
        <w:rPr>
          <w:rFonts w:hint="eastAsia" w:ascii="仿宋_GB2312" w:eastAsia="仿宋_GB2312" w:cs="仿宋_GB2312"/>
          <w:color w:val="000000"/>
          <w:sz w:val="32"/>
          <w:szCs w:val="32"/>
        </w:rPr>
        <w:t>、是负责全区档案信息开发、开放规划与管理；发挥档案信息资源作用，为社会各方面提供服务。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spacing w:line="570" w:lineRule="exact"/>
        <w:ind w:firstLine="660"/>
        <w:rPr>
          <w:rFonts w:ascii="仿宋_GB2312" w:eastAsia="仿宋_GB2312" w:cs="仿宋_GB2312"/>
          <w:color w:val="000000"/>
          <w:sz w:val="32"/>
          <w:szCs w:val="32"/>
        </w:rPr>
      </w:pPr>
      <w:r>
        <w:rPr>
          <w:rFonts w:ascii="仿宋_GB2312" w:eastAsia="仿宋_GB2312" w:cs="仿宋_GB2312"/>
          <w:color w:val="000000"/>
          <w:sz w:val="32"/>
          <w:szCs w:val="32"/>
        </w:rPr>
        <w:t>9</w:t>
      </w:r>
      <w:r>
        <w:rPr>
          <w:rFonts w:hint="eastAsia" w:ascii="仿宋_GB2312" w:eastAsia="仿宋_GB2312" w:cs="仿宋_GB2312"/>
          <w:color w:val="000000"/>
          <w:sz w:val="32"/>
          <w:szCs w:val="32"/>
        </w:rPr>
        <w:t>、是建立全区档案的管理、保密、鉴定销毁、统计与收集等一整套工作制度，同时制定《广阳区档案馆工作流程图》。</w:t>
      </w:r>
    </w:p>
    <w:p>
      <w:pPr>
        <w:autoSpaceDE w:val="0"/>
        <w:autoSpaceDN w:val="0"/>
        <w:adjustRightInd w:val="0"/>
        <w:spacing w:line="584" w:lineRule="exact"/>
        <w:ind w:left="624" w:leftChars="297"/>
        <w:jc w:val="left"/>
        <w:rPr>
          <w:rFonts w:ascii="Times New Roman" w:hAnsi="Times New Roman" w:eastAsia="楷体_GB2312" w:cs="Times New Roman"/>
          <w:b/>
          <w:sz w:val="32"/>
          <w:szCs w:val="32"/>
        </w:rPr>
      </w:pPr>
      <w:r>
        <w:rPr>
          <w:rFonts w:ascii="仿宋_GB2312" w:eastAsia="仿宋_GB2312" w:cs="仿宋_GB2312"/>
          <w:color w:val="000000"/>
          <w:sz w:val="32"/>
          <w:szCs w:val="32"/>
        </w:rPr>
        <w:t>10</w:t>
      </w:r>
      <w:r>
        <w:rPr>
          <w:rFonts w:hint="eastAsia" w:ascii="仿宋_GB2312" w:eastAsia="仿宋_GB2312" w:cs="仿宋_GB2312"/>
          <w:color w:val="000000"/>
          <w:sz w:val="32"/>
          <w:szCs w:val="32"/>
        </w:rPr>
        <w:t>、是承办区四套班子所交办的各项中心工作和其他具体工作。</w:t>
      </w:r>
      <w:r>
        <w:rPr>
          <w:rFonts w:hint="eastAsia" w:ascii="仿宋_GB2312" w:eastAsia="仿宋_GB2312" w:cs="宋体"/>
          <w:color w:val="000000"/>
          <w:kern w:val="0"/>
          <w:sz w:val="32"/>
          <w:szCs w:val="32"/>
        </w:rPr>
        <w:br w:type="textWrapping"/>
      </w: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widowControl/>
              <w:spacing w:line="570" w:lineRule="exact"/>
              <w:jc w:val="center"/>
              <w:rPr>
                <w:rFonts w:ascii="仿宋_GB2312" w:eastAsia="仿宋_GB2312" w:cs="宋体"/>
                <w:kern w:val="0"/>
                <w:szCs w:val="21"/>
              </w:rPr>
            </w:pPr>
            <w:r>
              <w:rPr>
                <w:rFonts w:hint="eastAsia" w:ascii="仿宋_GB2312" w:eastAsia="仿宋_GB2312" w:cs="宋体"/>
                <w:kern w:val="0"/>
                <w:szCs w:val="21"/>
              </w:rPr>
              <w:t>廊坊市广阳区档案局</w:t>
            </w:r>
          </w:p>
        </w:tc>
        <w:tc>
          <w:tcPr>
            <w:tcW w:w="1134" w:type="dxa"/>
            <w:shd w:val="clear" w:color="auto" w:fill="auto"/>
            <w:vAlign w:val="center"/>
          </w:tcPr>
          <w:p>
            <w:pPr>
              <w:widowControl/>
              <w:spacing w:line="570" w:lineRule="exact"/>
              <w:jc w:val="center"/>
              <w:rPr>
                <w:rFonts w:ascii="仿宋_GB2312" w:eastAsia="仿宋_GB2312" w:cs="宋体"/>
                <w:kern w:val="0"/>
                <w:szCs w:val="21"/>
              </w:rPr>
            </w:pPr>
            <w:r>
              <w:rPr>
                <w:rFonts w:ascii="仿宋_GB2312" w:eastAsia="仿宋_GB2312" w:cs="宋体"/>
                <w:kern w:val="0"/>
                <w:szCs w:val="21"/>
              </w:rPr>
              <w:t>事业单位</w:t>
            </w:r>
          </w:p>
        </w:tc>
        <w:tc>
          <w:tcPr>
            <w:tcW w:w="1276" w:type="dxa"/>
            <w:shd w:val="clear" w:color="auto" w:fill="auto"/>
            <w:vAlign w:val="center"/>
          </w:tcPr>
          <w:p>
            <w:pPr>
              <w:widowControl/>
              <w:spacing w:line="570" w:lineRule="exact"/>
              <w:jc w:val="center"/>
              <w:rPr>
                <w:rFonts w:ascii="仿宋_GB2312" w:eastAsia="仿宋_GB2312" w:cs="宋体"/>
                <w:kern w:val="0"/>
                <w:szCs w:val="21"/>
              </w:rPr>
            </w:pPr>
            <w:r>
              <w:rPr>
                <w:rFonts w:hint="eastAsia" w:ascii="仿宋_GB2312" w:eastAsia="仿宋_GB2312" w:cs="宋体"/>
                <w:kern w:val="0"/>
                <w:szCs w:val="21"/>
              </w:rPr>
              <w:t>正科级</w:t>
            </w:r>
          </w:p>
        </w:tc>
        <w:tc>
          <w:tcPr>
            <w:tcW w:w="2902" w:type="dxa"/>
            <w:shd w:val="clear" w:color="auto" w:fill="auto"/>
            <w:vAlign w:val="center"/>
          </w:tcPr>
          <w:p>
            <w:pPr>
              <w:widowControl/>
              <w:spacing w:line="570" w:lineRule="exact"/>
              <w:jc w:val="center"/>
              <w:rPr>
                <w:rFonts w:ascii="仿宋_GB2312" w:eastAsia="仿宋_GB2312" w:cs="宋体"/>
                <w:kern w:val="0"/>
                <w:szCs w:val="21"/>
              </w:rPr>
            </w:pPr>
            <w:r>
              <w:rPr>
                <w:rFonts w:hint="eastAsia" w:ascii="仿宋_GB2312" w:eastAsia="仿宋_GB2312" w:cs="宋体"/>
                <w:kern w:val="0"/>
                <w:szCs w:val="21"/>
              </w:rPr>
              <w:t>财政性资金基本保障</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广阳区档案</w:t>
      </w:r>
      <w:r>
        <w:rPr>
          <w:rFonts w:ascii="Times New Roman" w:hAnsi="Times New Roman" w:eastAsia="仿宋_GB2312" w:cs="Times New Roman"/>
          <w:sz w:val="32"/>
          <w:szCs w:val="32"/>
        </w:rPr>
        <w:t>局机关及所属事业单位的收支包含在部门预算中。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234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234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广阳区档案</w:t>
      </w:r>
      <w:r>
        <w:rPr>
          <w:rFonts w:ascii="Times New Roman" w:hAnsi="Times New Roman" w:eastAsia="仿宋_GB2312" w:cs="Times New Roman"/>
          <w:sz w:val="32"/>
          <w:szCs w:val="32"/>
        </w:rPr>
        <w:t>局年度部门预算中支出预算的总体情况。201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234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234</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rPr>
        <w:t>220.84</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rPr>
        <w:t>13.16</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234</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年预算减少</w:t>
      </w:r>
      <w:r>
        <w:rPr>
          <w:rFonts w:hint="eastAsia" w:ascii="Times New Roman" w:hAnsi="Times New Roman" w:eastAsia="仿宋_GB2312" w:cs="Times New Roman"/>
          <w:sz w:val="32"/>
          <w:szCs w:val="32"/>
        </w:rPr>
        <w:t>25.31</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27.31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w:t>
      </w:r>
      <w:r>
        <w:rPr>
          <w:rFonts w:ascii="Times New Roman" w:hAnsi="Times New Roman" w:eastAsia="仿宋_GB2312" w:cs="Times New Roman"/>
          <w:sz w:val="32"/>
          <w:szCs w:val="32"/>
        </w:rPr>
        <w:t>员经费支出；项目支出减少</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档案</w:t>
      </w:r>
      <w:r>
        <w:rPr>
          <w:rFonts w:ascii="Times New Roman" w:hAnsi="Times New Roman" w:eastAsia="仿宋_GB2312" w:cs="Times New Roman"/>
          <w:sz w:val="32"/>
          <w:szCs w:val="32"/>
        </w:rPr>
        <w:t>管理事务项目支出。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0.5</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机关</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jc w:val="left"/>
        <w:rPr>
          <w:rFonts w:ascii="Times New Roman" w:hAnsi="Times New Roman" w:eastAsia="仿宋_GB2312" w:cs="Times New Roman"/>
          <w:color w:val="FF0000"/>
          <w:sz w:val="32"/>
          <w:szCs w:val="32"/>
        </w:rPr>
      </w:pPr>
      <w:r>
        <w:rPr>
          <w:rFonts w:hint="eastAsia" w:ascii="Times New Roman" w:hAnsi="Times New Roman" w:eastAsia="仿宋_GB2312" w:cs="Times New Roman"/>
          <w:sz w:val="32"/>
          <w:szCs w:val="32"/>
        </w:rPr>
        <w:t>2019年</w:t>
      </w: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减</w:t>
      </w:r>
      <w:r>
        <w:rPr>
          <w:rFonts w:hint="eastAsia" w:ascii="Times New Roman" w:hAnsi="Times New Roman" w:eastAsia="仿宋_GB2312" w:cs="Times New Roman"/>
          <w:sz w:val="32"/>
          <w:szCs w:val="32"/>
        </w:rPr>
        <w:t>少0.11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减少0.11</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rPr>
        <w:t>减少0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减少0.11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；公务接待费增</w:t>
      </w:r>
      <w:r>
        <w:rPr>
          <w:rFonts w:hint="eastAsia" w:ascii="Times New Roman" w:hAnsi="Times New Roman" w:eastAsia="仿宋_GB2312" w:cs="Times New Roman"/>
          <w:sz w:val="32"/>
          <w:szCs w:val="32"/>
        </w:rPr>
        <w:t>减0万元，</w:t>
      </w:r>
      <w:r>
        <w:rPr>
          <w:rFonts w:ascii="Times New Roman" w:hAnsi="Times New Roman" w:eastAsia="仿宋_GB2312" w:cs="Times New Roman"/>
          <w:sz w:val="32"/>
          <w:szCs w:val="32"/>
        </w:rPr>
        <w:t>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spacing w:line="500" w:lineRule="exact"/>
        <w:ind w:firstLine="560"/>
        <w:rPr>
          <w:rFonts w:ascii="仿宋_GB2312" w:eastAsia="仿宋_GB2312"/>
          <w:sz w:val="32"/>
          <w:szCs w:val="32"/>
        </w:rPr>
      </w:pPr>
      <w:r>
        <w:rPr>
          <w:rFonts w:hint="eastAsia" w:ascii="仿宋_GB2312" w:eastAsia="仿宋_GB2312"/>
          <w:sz w:val="32"/>
          <w:szCs w:val="32"/>
        </w:rPr>
        <w:t>1</w:t>
      </w:r>
      <w:r>
        <w:rPr>
          <w:rFonts w:hint="eastAsia" w:ascii="仿宋_GB2312" w:hAnsi="宋体" w:eastAsia="仿宋_GB2312"/>
          <w:sz w:val="32"/>
          <w:szCs w:val="32"/>
        </w:rPr>
        <w:t>、认真做好土地确权档案的接收工作。按照上级关于农村承包地确权登记颁证工作的安排部署，我局根据全区农村承包地确权登记颁证工作的完成进度情况进行档案整理，共接收</w:t>
      </w:r>
      <w:r>
        <w:rPr>
          <w:rFonts w:hint="eastAsia" w:ascii="仿宋_GB2312" w:eastAsia="仿宋_GB2312"/>
          <w:sz w:val="32"/>
          <w:szCs w:val="32"/>
        </w:rPr>
        <w:t>62</w:t>
      </w:r>
      <w:r>
        <w:rPr>
          <w:rFonts w:hint="eastAsia" w:ascii="仿宋_GB2312" w:hAnsi="宋体" w:eastAsia="仿宋_GB2312"/>
          <w:sz w:val="32"/>
          <w:szCs w:val="32"/>
        </w:rPr>
        <w:t>个村街，一户一卷档案</w:t>
      </w:r>
      <w:r>
        <w:rPr>
          <w:rFonts w:hint="eastAsia" w:ascii="仿宋_GB2312" w:eastAsia="仿宋_GB2312"/>
          <w:sz w:val="32"/>
          <w:szCs w:val="32"/>
        </w:rPr>
        <w:t>1100</w:t>
      </w:r>
      <w:r>
        <w:rPr>
          <w:rFonts w:hint="eastAsia" w:ascii="仿宋_GB2312" w:hAnsi="宋体" w:eastAsia="仿宋_GB2312"/>
          <w:sz w:val="32"/>
          <w:szCs w:val="32"/>
        </w:rPr>
        <w:t>盒，</w:t>
      </w:r>
      <w:r>
        <w:rPr>
          <w:rFonts w:hint="eastAsia" w:ascii="仿宋_GB2312" w:eastAsia="仿宋_GB2312"/>
          <w:sz w:val="32"/>
          <w:szCs w:val="32"/>
        </w:rPr>
        <w:t>10716</w:t>
      </w:r>
      <w:r>
        <w:rPr>
          <w:rFonts w:hint="eastAsia" w:ascii="仿宋_GB2312" w:hAnsi="宋体" w:eastAsia="仿宋_GB2312"/>
          <w:sz w:val="32"/>
          <w:szCs w:val="32"/>
        </w:rPr>
        <w:t>卷；综合文件级档案</w:t>
      </w:r>
      <w:r>
        <w:rPr>
          <w:rFonts w:hint="eastAsia" w:ascii="仿宋_GB2312" w:eastAsia="仿宋_GB2312"/>
          <w:sz w:val="32"/>
          <w:szCs w:val="32"/>
        </w:rPr>
        <w:t>125</w:t>
      </w:r>
      <w:r>
        <w:rPr>
          <w:rFonts w:hint="eastAsia" w:ascii="仿宋_GB2312" w:hAnsi="宋体" w:eastAsia="仿宋_GB2312"/>
          <w:sz w:val="32"/>
          <w:szCs w:val="32"/>
        </w:rPr>
        <w:t>盒，</w:t>
      </w:r>
      <w:r>
        <w:rPr>
          <w:rFonts w:hint="eastAsia" w:ascii="仿宋_GB2312" w:eastAsia="仿宋_GB2312"/>
          <w:sz w:val="32"/>
          <w:szCs w:val="32"/>
        </w:rPr>
        <w:t>709</w:t>
      </w:r>
      <w:r>
        <w:rPr>
          <w:rFonts w:hint="eastAsia" w:ascii="仿宋_GB2312" w:hAnsi="宋体" w:eastAsia="仿宋_GB2312"/>
          <w:sz w:val="32"/>
          <w:szCs w:val="32"/>
        </w:rPr>
        <w:t>件。</w:t>
      </w:r>
    </w:p>
    <w:p>
      <w:pPr>
        <w:spacing w:line="500" w:lineRule="exact"/>
        <w:ind w:firstLine="560"/>
        <w:rPr>
          <w:rFonts w:ascii="仿宋_GB2312" w:eastAsia="仿宋_GB2312"/>
          <w:sz w:val="32"/>
          <w:szCs w:val="32"/>
        </w:rPr>
      </w:pPr>
      <w:r>
        <w:rPr>
          <w:rFonts w:hint="eastAsia" w:ascii="仿宋_GB2312" w:eastAsia="仿宋_GB2312"/>
          <w:sz w:val="32"/>
          <w:szCs w:val="32"/>
        </w:rPr>
        <w:t>2</w:t>
      </w:r>
      <w:r>
        <w:rPr>
          <w:rFonts w:hint="eastAsia" w:ascii="仿宋_GB2312" w:hAnsi="宋体" w:eastAsia="仿宋_GB2312"/>
          <w:sz w:val="32"/>
          <w:szCs w:val="32"/>
        </w:rPr>
        <w:t>、完成专题档案的指导整理工作。业务股同志深入一线，对我区</w:t>
      </w:r>
      <w:r>
        <w:rPr>
          <w:rFonts w:hint="eastAsia" w:ascii="仿宋_GB2312" w:eastAsia="仿宋_GB2312"/>
          <w:sz w:val="32"/>
          <w:szCs w:val="32"/>
        </w:rPr>
        <w:t>4</w:t>
      </w:r>
      <w:r>
        <w:rPr>
          <w:rFonts w:hint="eastAsia" w:ascii="仿宋_GB2312" w:hAnsi="宋体" w:eastAsia="仿宋_GB2312"/>
          <w:sz w:val="32"/>
          <w:szCs w:val="32"/>
        </w:rPr>
        <w:t>个乡镇，</w:t>
      </w:r>
      <w:r>
        <w:rPr>
          <w:rFonts w:hint="eastAsia" w:ascii="仿宋_GB2312" w:eastAsia="仿宋_GB2312"/>
          <w:sz w:val="32"/>
          <w:szCs w:val="32"/>
        </w:rPr>
        <w:t>21</w:t>
      </w:r>
      <w:r>
        <w:rPr>
          <w:rFonts w:hint="eastAsia" w:ascii="仿宋_GB2312" w:hAnsi="宋体" w:eastAsia="仿宋_GB2312"/>
          <w:sz w:val="32"/>
          <w:szCs w:val="32"/>
        </w:rPr>
        <w:t>个村街的精准扶贫工作、水务局的南水北调工作、纪委的</w:t>
      </w:r>
      <w:r>
        <w:rPr>
          <w:rFonts w:hint="eastAsia" w:ascii="仿宋_GB2312" w:eastAsia="仿宋_GB2312"/>
          <w:sz w:val="32"/>
          <w:szCs w:val="32"/>
        </w:rPr>
        <w:t>“</w:t>
      </w:r>
      <w:r>
        <w:rPr>
          <w:rFonts w:hint="eastAsia" w:ascii="仿宋_GB2312" w:hAnsi="宋体" w:eastAsia="仿宋_GB2312"/>
          <w:sz w:val="32"/>
          <w:szCs w:val="32"/>
        </w:rPr>
        <w:t>一问责八清理</w:t>
      </w:r>
      <w:r>
        <w:rPr>
          <w:rFonts w:hint="eastAsia" w:ascii="仿宋_GB2312" w:eastAsia="仿宋_GB2312"/>
          <w:sz w:val="32"/>
          <w:szCs w:val="32"/>
        </w:rPr>
        <w:t>”</w:t>
      </w:r>
      <w:r>
        <w:rPr>
          <w:rFonts w:hint="eastAsia" w:ascii="仿宋_GB2312" w:hAnsi="宋体" w:eastAsia="仿宋_GB2312"/>
          <w:sz w:val="32"/>
          <w:szCs w:val="32"/>
        </w:rPr>
        <w:t>等进行档案业务指导，形成的文件材料归档工作顺利通过了省、市巡视督导组的验收。</w:t>
      </w:r>
    </w:p>
    <w:p>
      <w:pPr>
        <w:spacing w:line="500" w:lineRule="exact"/>
        <w:ind w:firstLine="560"/>
        <w:rPr>
          <w:rFonts w:ascii="仿宋_GB2312" w:eastAsia="仿宋_GB2312"/>
          <w:sz w:val="32"/>
          <w:szCs w:val="32"/>
        </w:rPr>
      </w:pPr>
      <w:r>
        <w:rPr>
          <w:rFonts w:hint="eastAsia" w:ascii="仿宋_GB2312" w:eastAsia="仿宋_GB2312"/>
          <w:sz w:val="32"/>
          <w:szCs w:val="32"/>
        </w:rPr>
        <w:t>3</w:t>
      </w:r>
      <w:r>
        <w:rPr>
          <w:rFonts w:hint="eastAsia" w:ascii="仿宋_GB2312" w:hAnsi="宋体" w:eastAsia="仿宋_GB2312"/>
          <w:sz w:val="32"/>
          <w:szCs w:val="32"/>
        </w:rPr>
        <w:t>、积极开展档案工作示范单位创建活动。针对年初确定的政府办、政协、检察院、建设局、公安局、供销社、工商局等</w:t>
      </w:r>
      <w:r>
        <w:rPr>
          <w:rFonts w:hint="eastAsia" w:ascii="仿宋_GB2312" w:eastAsia="仿宋_GB2312"/>
          <w:sz w:val="32"/>
          <w:szCs w:val="32"/>
        </w:rPr>
        <w:t>7</w:t>
      </w:r>
      <w:r>
        <w:rPr>
          <w:rFonts w:hint="eastAsia" w:ascii="仿宋_GB2312" w:hAnsi="宋体" w:eastAsia="仿宋_GB2312"/>
          <w:sz w:val="32"/>
          <w:szCs w:val="32"/>
        </w:rPr>
        <w:t>个档案工作示范单位，依照《廊坊市档案工作示范单位验收标准》逐一进行业务指导，全部达到了验收标准。</w:t>
      </w:r>
    </w:p>
    <w:p>
      <w:pPr>
        <w:spacing w:line="500" w:lineRule="exact"/>
        <w:ind w:firstLine="560"/>
        <w:rPr>
          <w:rFonts w:ascii="仿宋_GB2312" w:eastAsia="仿宋_GB2312"/>
          <w:sz w:val="32"/>
          <w:szCs w:val="32"/>
        </w:rPr>
      </w:pPr>
      <w:r>
        <w:rPr>
          <w:rFonts w:hint="eastAsia" w:ascii="仿宋_GB2312" w:eastAsia="仿宋_GB2312"/>
          <w:sz w:val="32"/>
          <w:szCs w:val="32"/>
        </w:rPr>
        <w:t>4</w:t>
      </w:r>
      <w:r>
        <w:rPr>
          <w:rFonts w:hint="eastAsia" w:ascii="仿宋_GB2312" w:hAnsi="宋体" w:eastAsia="仿宋_GB2312"/>
          <w:sz w:val="32"/>
          <w:szCs w:val="32"/>
        </w:rPr>
        <w:t>、全力做好档案查阅接待工作。我局针对不同查阅利用者的问题进行及时解答，方便快捷地为群众提供有关招工、调动、调资、土地确权、退役军人建档立卡、教师公开招聘等方面的档案查阅服务，切实为人民群众解决实际问题，提高人民群众对档案工作的满意度，为社会各界提供了翔实、可靠的依据。</w:t>
      </w:r>
    </w:p>
    <w:p>
      <w:pPr>
        <w:spacing w:line="500" w:lineRule="exact"/>
        <w:ind w:firstLine="560"/>
        <w:rPr>
          <w:rFonts w:ascii="楷体_GB2312" w:eastAsia="楷体_GB2312"/>
          <w:b/>
          <w:sz w:val="32"/>
          <w:szCs w:val="32"/>
        </w:rPr>
      </w:pPr>
      <w:r>
        <w:rPr>
          <w:rFonts w:hint="eastAsia" w:ascii="楷体_GB2312" w:eastAsia="楷体_GB2312"/>
          <w:b/>
          <w:sz w:val="32"/>
          <w:szCs w:val="32"/>
        </w:rPr>
        <w:t>职责分类绩效目标：</w:t>
      </w:r>
    </w:p>
    <w:p>
      <w:pPr>
        <w:spacing w:line="500" w:lineRule="exact"/>
        <w:ind w:firstLine="560"/>
        <w:rPr>
          <w:rFonts w:ascii="仿宋_GB2312" w:eastAsia="仿宋_GB2312"/>
          <w:sz w:val="32"/>
          <w:szCs w:val="32"/>
        </w:rPr>
      </w:pPr>
      <w:r>
        <w:rPr>
          <w:rFonts w:hint="eastAsia" w:ascii="仿宋_GB2312" w:eastAsia="仿宋_GB2312"/>
          <w:sz w:val="32"/>
          <w:szCs w:val="32"/>
        </w:rPr>
        <w:t>一、档案收集保管与开发利用。</w:t>
      </w:r>
    </w:p>
    <w:p>
      <w:pPr>
        <w:spacing w:line="500" w:lineRule="exact"/>
        <w:ind w:firstLine="560"/>
        <w:rPr>
          <w:rFonts w:ascii="仿宋_GB2312" w:eastAsia="仿宋_GB2312"/>
          <w:sz w:val="32"/>
          <w:szCs w:val="32"/>
        </w:rPr>
      </w:pPr>
      <w:r>
        <w:rPr>
          <w:rFonts w:hint="eastAsia" w:ascii="仿宋_GB2312" w:eastAsia="仿宋_GB2312"/>
          <w:sz w:val="32"/>
          <w:szCs w:val="32"/>
        </w:rPr>
        <w:t>丰富馆藏内容，方便保管和利用，完成档案的托表、修复、复制等抢救保护工作，最大限度地延长档案寿命。实现对档案的数据化备份和保护。把“死档案”变成“活信息”，更好为各级党委和政府决策、管理服务。</w:t>
      </w:r>
    </w:p>
    <w:p>
      <w:pPr>
        <w:spacing w:line="500" w:lineRule="exact"/>
        <w:ind w:firstLine="560"/>
        <w:rPr>
          <w:rFonts w:ascii="仿宋_GB2312" w:eastAsia="仿宋_GB2312"/>
          <w:sz w:val="32"/>
          <w:szCs w:val="32"/>
        </w:rPr>
      </w:pPr>
      <w:r>
        <w:rPr>
          <w:rFonts w:hint="eastAsia" w:ascii="仿宋_GB2312" w:eastAsia="仿宋_GB2312"/>
          <w:sz w:val="32"/>
          <w:szCs w:val="32"/>
        </w:rPr>
        <w:t>2019年我局将对机构改革中合并的机构档案进行接收。依据规定对档案进行征集、接收和整理，对相关单位纸质、电子、专题档案进行收集、整理和保存。文件级目录数据完成录入量大于16万条，档案整理、移交、接收、管理、保存的比率达到100%。</w:t>
      </w:r>
    </w:p>
    <w:p>
      <w:pPr>
        <w:spacing w:line="500" w:lineRule="exact"/>
        <w:ind w:firstLine="560"/>
        <w:rPr>
          <w:rFonts w:ascii="仿宋_GB2312" w:eastAsia="仿宋_GB2312"/>
          <w:sz w:val="32"/>
          <w:szCs w:val="32"/>
        </w:rPr>
      </w:pPr>
      <w:r>
        <w:rPr>
          <w:rFonts w:hint="eastAsia" w:ascii="仿宋_GB2312" w:eastAsia="仿宋_GB2312"/>
          <w:sz w:val="32"/>
          <w:szCs w:val="32"/>
        </w:rPr>
        <w:t>定期调控和记录库房温室度，库房建设符合国家标准，分区合理，设备不出现故障，档案保管环境和保障条件进一步优化，维护档案状况，确保机关和档案绝对安全。档案资料完好无破损率、档案库房环境建设符合国家标准率、档案设施设备完好，档案安全率都将达到100%。</w:t>
      </w:r>
    </w:p>
    <w:p>
      <w:pPr>
        <w:spacing w:line="500" w:lineRule="exact"/>
        <w:ind w:firstLine="560"/>
        <w:rPr>
          <w:rFonts w:ascii="仿宋_GB2312" w:eastAsia="仿宋_GB2312"/>
          <w:sz w:val="32"/>
          <w:szCs w:val="32"/>
        </w:rPr>
      </w:pPr>
      <w:r>
        <w:rPr>
          <w:rFonts w:hint="eastAsia" w:ascii="仿宋_GB2312" w:eastAsia="仿宋_GB2312"/>
          <w:sz w:val="32"/>
          <w:szCs w:val="32"/>
        </w:rPr>
        <w:t>二、综合事务管理。</w:t>
      </w:r>
    </w:p>
    <w:p>
      <w:pPr>
        <w:spacing w:line="500" w:lineRule="exact"/>
        <w:ind w:firstLine="560"/>
        <w:rPr>
          <w:rFonts w:ascii="方正仿宋_GBK" w:eastAsia="方正仿宋_GBK"/>
          <w:sz w:val="28"/>
        </w:rPr>
      </w:pPr>
      <w:r>
        <w:rPr>
          <w:rFonts w:hint="eastAsia" w:ascii="仿宋_GB2312" w:eastAsia="仿宋_GB2312"/>
          <w:sz w:val="32"/>
          <w:szCs w:val="32"/>
        </w:rPr>
        <w:t>维护档案馆库房设备以及机关设施，保障正常运转。做好档案馆日常维护“八防”工作，消除一切档案馆存在的安全隐患，保障档案馆设备正常运转率、保障机关工作正常高效运转率、确保机关设施完好无损率都将达到90%以上。</w:t>
      </w:r>
    </w:p>
    <w:p>
      <w:pPr>
        <w:spacing w:line="584" w:lineRule="exact"/>
        <w:ind w:firstLine="560"/>
        <w:rPr>
          <w:rFonts w:ascii="Times New Roman" w:hAnsi="Times New Roman" w:eastAsia="楷体_GB2312" w:cs="Times New Roman"/>
          <w:b/>
          <w:sz w:val="32"/>
          <w:szCs w:val="32"/>
        </w:rPr>
      </w:pPr>
    </w:p>
    <w:p>
      <w:pPr>
        <w:spacing w:line="584" w:lineRule="exact"/>
        <w:ind w:firstLine="560"/>
        <w:rPr>
          <w:rFonts w:ascii="Times New Roman" w:hAnsi="Times New Roman" w:eastAsia="楷体_GB2312" w:cs="Times New Roman"/>
          <w:b/>
          <w:sz w:val="32"/>
          <w:szCs w:val="32"/>
        </w:rPr>
      </w:pPr>
    </w:p>
    <w:p>
      <w:pPr>
        <w:spacing w:line="584" w:lineRule="exact"/>
        <w:ind w:firstLine="560"/>
        <w:rPr>
          <w:rFonts w:ascii="Times New Roman" w:hAnsi="Times New Roman" w:eastAsia="楷体_GB2312" w:cs="Times New Roman"/>
          <w:b/>
          <w:sz w:val="32"/>
          <w:szCs w:val="32"/>
        </w:rPr>
      </w:pPr>
    </w:p>
    <w:p>
      <w:pPr>
        <w:spacing w:line="584" w:lineRule="exact"/>
        <w:ind w:firstLine="560"/>
        <w:rPr>
          <w:rFonts w:ascii="Times New Roman" w:hAnsi="Times New Roman" w:eastAsia="楷体_GB2312" w:cs="Times New Roman"/>
          <w:b/>
          <w:sz w:val="32"/>
          <w:szCs w:val="32"/>
        </w:rPr>
      </w:pPr>
    </w:p>
    <w:p>
      <w:pPr>
        <w:spacing w:line="584" w:lineRule="exact"/>
        <w:ind w:firstLine="56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部门职责及工作活动绩效目标指标：</w:t>
      </w:r>
    </w:p>
    <w:p>
      <w:pPr>
        <w:spacing w:line="584" w:lineRule="exact"/>
        <w:jc w:val="center"/>
        <w:outlineLvl w:val="0"/>
        <w:rPr>
          <w:rFonts w:ascii="Times New Roman" w:hAnsi="Times New Roman" w:eastAsia="仿宋_GB2312" w:cs="Times New Roman"/>
          <w:b/>
          <w:sz w:val="32"/>
        </w:rPr>
      </w:pPr>
      <w:bookmarkStart w:id="1" w:name="_Toc504489147"/>
      <w:r>
        <w:rPr>
          <w:rFonts w:ascii="Times New Roman" w:hAnsi="Times New Roman" w:eastAsia="仿宋_GB2312" w:cs="Times New Roman"/>
          <w:b/>
          <w:sz w:val="32"/>
        </w:rPr>
        <w:t>部门职责-工作活动绩效目标</w:t>
      </w:r>
      <w:bookmarkEnd w:id="1"/>
    </w:p>
    <w:bookmarkEnd w:id="0"/>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_GB2312" w:hAnsi="Calibri" w:eastAsia="仿宋_GB2312" w:cs="Times New Roman"/>
                <w:sz w:val="24"/>
              </w:rPr>
            </w:pPr>
            <w:r>
              <w:rPr>
                <w:rFonts w:hint="eastAsia" w:ascii="仿宋_GB2312" w:hAnsi="Calibri" w:eastAsia="仿宋_GB2312" w:cs="Times New Roman"/>
                <w:sz w:val="24"/>
              </w:rPr>
              <w:t>421廊坊市广阳区档案局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_GB2312" w:hAnsi="Calibri" w:eastAsia="仿宋_GB2312" w:cs="Times New Roman"/>
                <w:sz w:val="24"/>
              </w:rPr>
            </w:pPr>
            <w:r>
              <w:rPr>
                <w:rFonts w:hint="eastAsia" w:ascii="仿宋_GB2312" w:hAnsi="Calibri"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仿宋_GB2312" w:hAnsi="Calibri" w:eastAsia="仿宋_GB2312" w:cs="Times New Roman"/>
                <w:b/>
              </w:rPr>
            </w:pPr>
            <w:r>
              <w:rPr>
                <w:rFonts w:hint="eastAsia" w:ascii="仿宋_GB2312" w:hAnsi="Calibri" w:eastAsia="仿宋_GB2312" w:cs="Times New Roman"/>
                <w:b/>
              </w:rPr>
              <w:t>职责活动</w:t>
            </w:r>
          </w:p>
        </w:tc>
        <w:tc>
          <w:tcPr>
            <w:tcW w:w="1276" w:type="dxa"/>
            <w:vMerge w:val="restart"/>
            <w:shd w:val="clear" w:color="auto" w:fill="auto"/>
            <w:vAlign w:val="center"/>
          </w:tcPr>
          <w:p>
            <w:pPr>
              <w:spacing w:line="300" w:lineRule="exact"/>
              <w:jc w:val="center"/>
              <w:rPr>
                <w:rFonts w:ascii="仿宋_GB2312" w:hAnsi="Calibri" w:eastAsia="仿宋_GB2312" w:cs="Times New Roman"/>
                <w:b/>
              </w:rPr>
            </w:pPr>
            <w:r>
              <w:rPr>
                <w:rFonts w:hint="eastAsia" w:ascii="仿宋_GB2312" w:hAnsi="Calibri" w:eastAsia="仿宋_GB2312" w:cs="Times New Roman"/>
                <w:b/>
              </w:rPr>
              <w:t>年度预算数</w:t>
            </w:r>
          </w:p>
        </w:tc>
        <w:tc>
          <w:tcPr>
            <w:tcW w:w="2976" w:type="dxa"/>
            <w:vMerge w:val="restart"/>
            <w:shd w:val="clear" w:color="auto" w:fill="auto"/>
            <w:vAlign w:val="center"/>
          </w:tcPr>
          <w:p>
            <w:pPr>
              <w:spacing w:line="300" w:lineRule="exact"/>
              <w:jc w:val="center"/>
              <w:rPr>
                <w:rFonts w:ascii="仿宋_GB2312" w:hAnsi="Calibri" w:eastAsia="仿宋_GB2312" w:cs="Times New Roman"/>
                <w:b/>
              </w:rPr>
            </w:pPr>
            <w:r>
              <w:rPr>
                <w:rFonts w:hint="eastAsia" w:ascii="仿宋_GB2312" w:hAnsi="Calibri" w:eastAsia="仿宋_GB2312" w:cs="Times New Roman"/>
                <w:b/>
              </w:rPr>
              <w:t>内容描述</w:t>
            </w:r>
          </w:p>
        </w:tc>
        <w:tc>
          <w:tcPr>
            <w:tcW w:w="2976" w:type="dxa"/>
            <w:vMerge w:val="restart"/>
            <w:shd w:val="clear" w:color="auto" w:fill="auto"/>
            <w:vAlign w:val="center"/>
          </w:tcPr>
          <w:p>
            <w:pPr>
              <w:spacing w:line="300" w:lineRule="exact"/>
              <w:jc w:val="center"/>
              <w:rPr>
                <w:rFonts w:ascii="仿宋_GB2312" w:hAnsi="Calibri" w:eastAsia="仿宋_GB2312" w:cs="Times New Roman"/>
                <w:b/>
              </w:rPr>
            </w:pPr>
            <w:r>
              <w:rPr>
                <w:rFonts w:hint="eastAsia" w:ascii="仿宋_GB2312" w:hAnsi="Calibri" w:eastAsia="仿宋_GB2312" w:cs="Times New Roman"/>
                <w:b/>
              </w:rPr>
              <w:t>绩效目标</w:t>
            </w:r>
          </w:p>
        </w:tc>
        <w:tc>
          <w:tcPr>
            <w:tcW w:w="1417" w:type="dxa"/>
            <w:vMerge w:val="restart"/>
            <w:shd w:val="clear" w:color="auto" w:fill="auto"/>
            <w:vAlign w:val="center"/>
          </w:tcPr>
          <w:p>
            <w:pPr>
              <w:spacing w:line="300" w:lineRule="exact"/>
              <w:jc w:val="center"/>
              <w:rPr>
                <w:rFonts w:ascii="仿宋_GB2312" w:hAnsi="Calibri" w:eastAsia="仿宋_GB2312" w:cs="Times New Roman"/>
                <w:b/>
              </w:rPr>
            </w:pPr>
            <w:r>
              <w:rPr>
                <w:rFonts w:hint="eastAsia" w:ascii="仿宋_GB2312" w:hAnsi="Calibri" w:eastAsia="仿宋_GB2312" w:cs="Times New Roman"/>
                <w:b/>
              </w:rPr>
              <w:t>绩效指标</w:t>
            </w:r>
          </w:p>
        </w:tc>
        <w:tc>
          <w:tcPr>
            <w:tcW w:w="2948" w:type="dxa"/>
            <w:gridSpan w:val="4"/>
            <w:shd w:val="clear" w:color="auto" w:fill="auto"/>
            <w:vAlign w:val="center"/>
          </w:tcPr>
          <w:p>
            <w:pPr>
              <w:spacing w:line="300" w:lineRule="exact"/>
              <w:jc w:val="center"/>
              <w:rPr>
                <w:rFonts w:ascii="仿宋_GB2312" w:hAnsi="Calibri" w:eastAsia="仿宋_GB2312" w:cs="Times New Roman"/>
                <w:b/>
              </w:rPr>
            </w:pPr>
            <w:r>
              <w:rPr>
                <w:rFonts w:hint="eastAsia" w:ascii="仿宋_GB2312" w:hAnsi="Calibri" w:eastAsia="仿宋_GB2312" w:cs="Times New Roman"/>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rPr>
                <w:rFonts w:ascii="仿宋_GB2312" w:hAnsi="Calibri" w:eastAsia="仿宋_GB2312" w:cs="Times New Roman"/>
              </w:rPr>
            </w:pPr>
          </w:p>
        </w:tc>
        <w:tc>
          <w:tcPr>
            <w:tcW w:w="1276" w:type="dxa"/>
            <w:vMerge w:val="continue"/>
            <w:shd w:val="clear" w:color="auto" w:fill="auto"/>
            <w:vAlign w:val="center"/>
          </w:tcPr>
          <w:p>
            <w:pPr>
              <w:spacing w:line="300" w:lineRule="exact"/>
              <w:jc w:val="left"/>
              <w:outlineLvl w:val="0"/>
              <w:rPr>
                <w:rFonts w:ascii="仿宋_GB2312" w:hAnsi="Calibri" w:eastAsia="仿宋_GB2312" w:cs="Times New Roman"/>
              </w:rPr>
            </w:pPr>
          </w:p>
        </w:tc>
        <w:tc>
          <w:tcPr>
            <w:tcW w:w="2976" w:type="dxa"/>
            <w:vMerge w:val="continue"/>
            <w:shd w:val="clear" w:color="auto" w:fill="auto"/>
            <w:vAlign w:val="center"/>
          </w:tcPr>
          <w:p>
            <w:pPr>
              <w:spacing w:line="300" w:lineRule="exact"/>
              <w:jc w:val="left"/>
              <w:outlineLvl w:val="0"/>
              <w:rPr>
                <w:rFonts w:ascii="仿宋_GB2312" w:hAnsi="Calibri" w:eastAsia="仿宋_GB2312" w:cs="Times New Roman"/>
              </w:rPr>
            </w:pPr>
          </w:p>
        </w:tc>
        <w:tc>
          <w:tcPr>
            <w:tcW w:w="2976" w:type="dxa"/>
            <w:vMerge w:val="continue"/>
            <w:shd w:val="clear" w:color="auto" w:fill="auto"/>
            <w:vAlign w:val="center"/>
          </w:tcPr>
          <w:p>
            <w:pPr>
              <w:spacing w:line="300" w:lineRule="exact"/>
              <w:jc w:val="left"/>
              <w:outlineLvl w:val="0"/>
              <w:rPr>
                <w:rFonts w:ascii="仿宋_GB2312" w:hAnsi="Calibri" w:eastAsia="仿宋_GB2312" w:cs="Times New Roman"/>
              </w:rPr>
            </w:pPr>
          </w:p>
        </w:tc>
        <w:tc>
          <w:tcPr>
            <w:tcW w:w="1417" w:type="dxa"/>
            <w:vMerge w:val="continue"/>
            <w:shd w:val="clear" w:color="auto" w:fill="auto"/>
            <w:vAlign w:val="center"/>
          </w:tcPr>
          <w:p>
            <w:pPr>
              <w:spacing w:line="300" w:lineRule="exact"/>
              <w:jc w:val="left"/>
              <w:outlineLvl w:val="0"/>
              <w:rPr>
                <w:rFonts w:ascii="仿宋_GB2312" w:hAnsi="Calibri" w:eastAsia="仿宋_GB2312" w:cs="Times New Roman"/>
              </w:rPr>
            </w:pPr>
          </w:p>
        </w:tc>
        <w:tc>
          <w:tcPr>
            <w:tcW w:w="737" w:type="dxa"/>
            <w:shd w:val="clear" w:color="auto" w:fill="auto"/>
            <w:vAlign w:val="center"/>
          </w:tcPr>
          <w:p>
            <w:pPr>
              <w:spacing w:line="300" w:lineRule="exact"/>
              <w:jc w:val="center"/>
              <w:rPr>
                <w:rFonts w:ascii="仿宋_GB2312" w:hAnsi="Calibri" w:eastAsia="仿宋_GB2312" w:cs="Times New Roman"/>
                <w:b/>
              </w:rPr>
            </w:pPr>
            <w:r>
              <w:rPr>
                <w:rFonts w:hint="eastAsia" w:ascii="仿宋_GB2312" w:hAnsi="Calibri" w:eastAsia="仿宋_GB2312" w:cs="Times New Roman"/>
                <w:b/>
              </w:rPr>
              <w:t>优</w:t>
            </w:r>
          </w:p>
        </w:tc>
        <w:tc>
          <w:tcPr>
            <w:tcW w:w="737" w:type="dxa"/>
            <w:shd w:val="clear" w:color="auto" w:fill="auto"/>
            <w:vAlign w:val="center"/>
          </w:tcPr>
          <w:p>
            <w:pPr>
              <w:spacing w:line="300" w:lineRule="exact"/>
              <w:jc w:val="center"/>
              <w:rPr>
                <w:rFonts w:ascii="仿宋_GB2312" w:hAnsi="Calibri" w:eastAsia="仿宋_GB2312" w:cs="Times New Roman"/>
                <w:b/>
              </w:rPr>
            </w:pPr>
            <w:r>
              <w:rPr>
                <w:rFonts w:hint="eastAsia" w:ascii="仿宋_GB2312" w:hAnsi="Calibri" w:eastAsia="仿宋_GB2312" w:cs="Times New Roman"/>
                <w:b/>
              </w:rPr>
              <w:t>良</w:t>
            </w:r>
          </w:p>
        </w:tc>
        <w:tc>
          <w:tcPr>
            <w:tcW w:w="737" w:type="dxa"/>
            <w:shd w:val="clear" w:color="auto" w:fill="auto"/>
            <w:vAlign w:val="center"/>
          </w:tcPr>
          <w:p>
            <w:pPr>
              <w:spacing w:line="300" w:lineRule="exact"/>
              <w:jc w:val="center"/>
              <w:rPr>
                <w:rFonts w:ascii="仿宋_GB2312" w:hAnsi="Calibri" w:eastAsia="仿宋_GB2312" w:cs="Times New Roman"/>
                <w:b/>
              </w:rPr>
            </w:pPr>
            <w:r>
              <w:rPr>
                <w:rFonts w:hint="eastAsia" w:ascii="仿宋_GB2312" w:hAnsi="Calibri" w:eastAsia="仿宋_GB2312" w:cs="Times New Roman"/>
                <w:b/>
              </w:rPr>
              <w:t>中</w:t>
            </w:r>
          </w:p>
        </w:tc>
        <w:tc>
          <w:tcPr>
            <w:tcW w:w="737" w:type="dxa"/>
            <w:shd w:val="clear" w:color="auto" w:fill="auto"/>
            <w:vAlign w:val="center"/>
          </w:tcPr>
          <w:p>
            <w:pPr>
              <w:spacing w:line="300" w:lineRule="exact"/>
              <w:jc w:val="center"/>
              <w:rPr>
                <w:rFonts w:ascii="仿宋_GB2312" w:hAnsi="Calibri" w:eastAsia="仿宋_GB2312" w:cs="Times New Roman"/>
                <w:b/>
              </w:rPr>
            </w:pPr>
            <w:r>
              <w:rPr>
                <w:rFonts w:hint="eastAsia" w:ascii="仿宋_GB2312" w:hAnsi="Calibri" w:eastAsia="仿宋_GB2312" w:cs="Times New Roman"/>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hAnsi="Calibri" w:eastAsia="仿宋_GB2312" w:cs="Times New Roman"/>
                <w:b/>
                <w:szCs w:val="21"/>
              </w:rPr>
            </w:pPr>
            <w:r>
              <w:rPr>
                <w:rFonts w:hint="eastAsia" w:ascii="仿宋_GB2312" w:hAnsi="Calibri" w:eastAsia="仿宋_GB2312" w:cs="Times New Roman"/>
                <w:b/>
                <w:szCs w:val="21"/>
              </w:rPr>
              <w:t>一、档案收集保管与开发利用</w:t>
            </w:r>
          </w:p>
        </w:tc>
        <w:tc>
          <w:tcPr>
            <w:tcW w:w="1276" w:type="dxa"/>
            <w:shd w:val="clear" w:color="auto" w:fill="auto"/>
            <w:vAlign w:val="center"/>
          </w:tcPr>
          <w:p>
            <w:pPr>
              <w:spacing w:line="300" w:lineRule="exact"/>
              <w:jc w:val="left"/>
              <w:rPr>
                <w:rFonts w:ascii="仿宋_GB2312" w:hAnsi="Calibri" w:eastAsia="仿宋_GB2312" w:cs="Times New Roman"/>
                <w:szCs w:val="21"/>
              </w:rPr>
            </w:pPr>
          </w:p>
        </w:tc>
        <w:tc>
          <w:tcPr>
            <w:tcW w:w="2976"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机关团体企事业单位档案工作目标管理认定，做好档案资源建设和保管，优化馆藏，做好重点档案抢救、保护和信息化管理工作。提供档案查阅和利用，培育档案文化产业，推进全市档案信息化工作。</w:t>
            </w:r>
          </w:p>
        </w:tc>
        <w:tc>
          <w:tcPr>
            <w:tcW w:w="2976"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丰富馆藏内容，方便保管和利用，完成档案的托表、修复、复制等抢救保护工作，最大限度地延长档案寿命。实现对档案的数据化备份和保护。把“死档案”变成“活信息”，更好为各级党委和政府决策、管理服务。</w:t>
            </w:r>
          </w:p>
        </w:tc>
        <w:tc>
          <w:tcPr>
            <w:tcW w:w="1417" w:type="dxa"/>
            <w:shd w:val="clear" w:color="auto" w:fill="auto"/>
            <w:vAlign w:val="center"/>
          </w:tcPr>
          <w:p>
            <w:pPr>
              <w:spacing w:line="300" w:lineRule="exact"/>
              <w:jc w:val="left"/>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hAnsi="Calibri" w:eastAsia="仿宋_GB2312" w:cs="Times New Roman"/>
                <w:b/>
                <w:szCs w:val="21"/>
              </w:rPr>
            </w:pPr>
            <w:r>
              <w:rPr>
                <w:rFonts w:hint="eastAsia" w:ascii="仿宋_GB2312" w:hAnsi="Calibri" w:eastAsia="仿宋_GB2312" w:cs="Times New Roman"/>
                <w:b/>
                <w:szCs w:val="21"/>
              </w:rPr>
              <w:t>　　1、档案收集与整理</w:t>
            </w:r>
          </w:p>
        </w:tc>
        <w:tc>
          <w:tcPr>
            <w:tcW w:w="1276" w:type="dxa"/>
            <w:vMerge w:val="restart"/>
            <w:shd w:val="clear" w:color="auto" w:fill="auto"/>
            <w:vAlign w:val="center"/>
          </w:tcPr>
          <w:p>
            <w:pPr>
              <w:spacing w:line="300" w:lineRule="exact"/>
              <w:jc w:val="left"/>
              <w:rPr>
                <w:rFonts w:ascii="仿宋_GB2312" w:hAnsi="Calibri" w:eastAsia="仿宋_GB2312" w:cs="Times New Roman"/>
                <w:szCs w:val="21"/>
              </w:rPr>
            </w:pPr>
          </w:p>
        </w:tc>
        <w:tc>
          <w:tcPr>
            <w:tcW w:w="2976" w:type="dxa"/>
            <w:vMerge w:val="restart"/>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依据规定对档案进行征集、接收和整理，对相关单位纸质、电子、专题档案进行收集、整理和保存。</w:t>
            </w:r>
          </w:p>
        </w:tc>
        <w:tc>
          <w:tcPr>
            <w:tcW w:w="2976" w:type="dxa"/>
            <w:vMerge w:val="restart"/>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丰富馆藏内容，满足工作考察、历史研究、编史修志等方面的需求，提高档案利用价值。</w:t>
            </w: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档案进馆件数</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≥3000件</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≥2500件</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≥2000件</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＜2000件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hAnsi="Calibri" w:eastAsia="仿宋_GB2312" w:cs="Times New Roman"/>
                <w:b/>
                <w:szCs w:val="21"/>
              </w:rPr>
            </w:pPr>
          </w:p>
        </w:tc>
        <w:tc>
          <w:tcPr>
            <w:tcW w:w="12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档案完成率</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100.00%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≥90.00%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≥80.00%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hAnsi="Calibri" w:eastAsia="仿宋_GB2312" w:cs="Times New Roman"/>
                <w:b/>
                <w:szCs w:val="21"/>
              </w:rPr>
            </w:pPr>
          </w:p>
        </w:tc>
        <w:tc>
          <w:tcPr>
            <w:tcW w:w="12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文件级目录数据完成量（万条）</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≥20万</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≥18万</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≥16万</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＜16万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hAnsi="Calibri" w:eastAsia="仿宋_GB2312" w:cs="Times New Roman"/>
                <w:b/>
                <w:szCs w:val="21"/>
              </w:rPr>
            </w:pPr>
            <w:r>
              <w:rPr>
                <w:rFonts w:hint="eastAsia" w:ascii="仿宋_GB2312" w:hAnsi="Calibri" w:eastAsia="仿宋_GB2312" w:cs="Times New Roman"/>
                <w:b/>
                <w:szCs w:val="21"/>
              </w:rPr>
              <w:t>　　2、档案保管</w:t>
            </w:r>
          </w:p>
        </w:tc>
        <w:tc>
          <w:tcPr>
            <w:tcW w:w="1276" w:type="dxa"/>
            <w:vMerge w:val="restart"/>
            <w:shd w:val="clear" w:color="auto" w:fill="auto"/>
            <w:vAlign w:val="center"/>
          </w:tcPr>
          <w:p>
            <w:pPr>
              <w:spacing w:line="300" w:lineRule="exact"/>
              <w:jc w:val="left"/>
              <w:rPr>
                <w:rFonts w:ascii="仿宋_GB2312" w:hAnsi="Calibri" w:eastAsia="仿宋_GB2312" w:cs="Times New Roman"/>
                <w:szCs w:val="21"/>
              </w:rPr>
            </w:pPr>
          </w:p>
        </w:tc>
        <w:tc>
          <w:tcPr>
            <w:tcW w:w="2976" w:type="dxa"/>
            <w:vMerge w:val="restart"/>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加强档案库房管理，提高全市档案馆室建设水平,做好重点档案抢救和保护，加强全市档案信息化，各类数据库建设，数字化加工、转换、备份，信息安全等级保护工作及特殊载体保管。</w:t>
            </w:r>
          </w:p>
        </w:tc>
        <w:tc>
          <w:tcPr>
            <w:tcW w:w="2976" w:type="dxa"/>
            <w:vMerge w:val="restart"/>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定期调控和记录库房温室度，库房建设符合国家标准，分区合理，设备不出现故障，档案保管环境和保障条件进一步优化，维护档案状况，确保机关和档案绝对安全。</w:t>
            </w: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档案资料完好率</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100.00%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≥90.00%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≥80.00%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hAnsi="Calibri" w:eastAsia="仿宋_GB2312" w:cs="Times New Roman"/>
                <w:b/>
                <w:szCs w:val="21"/>
              </w:rPr>
            </w:pPr>
          </w:p>
        </w:tc>
        <w:tc>
          <w:tcPr>
            <w:tcW w:w="12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档案库房环境达标率</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100.00%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≥90.00%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≥80.00%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hAnsi="Calibri" w:eastAsia="仿宋_GB2312" w:cs="Times New Roman"/>
                <w:b/>
                <w:szCs w:val="21"/>
              </w:rPr>
            </w:pPr>
          </w:p>
        </w:tc>
        <w:tc>
          <w:tcPr>
            <w:tcW w:w="12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档案设施设备完好率</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100.00%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≥90.00%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≥80.00%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hAnsi="Calibri" w:eastAsia="仿宋_GB2312" w:cs="Times New Roman"/>
                <w:b/>
                <w:szCs w:val="21"/>
              </w:rPr>
            </w:pPr>
            <w:r>
              <w:rPr>
                <w:rFonts w:hint="eastAsia" w:ascii="仿宋_GB2312" w:hAnsi="Calibri" w:eastAsia="仿宋_GB2312" w:cs="Times New Roman"/>
                <w:b/>
                <w:szCs w:val="21"/>
              </w:rPr>
              <w:t>二、综合事务管理</w:t>
            </w:r>
          </w:p>
        </w:tc>
        <w:tc>
          <w:tcPr>
            <w:tcW w:w="1276" w:type="dxa"/>
            <w:shd w:val="clear" w:color="auto" w:fill="auto"/>
            <w:vAlign w:val="center"/>
          </w:tcPr>
          <w:p>
            <w:pPr>
              <w:spacing w:line="300" w:lineRule="exact"/>
              <w:jc w:val="left"/>
              <w:rPr>
                <w:rFonts w:ascii="仿宋_GB2312" w:hAnsi="Calibri" w:eastAsia="仿宋_GB2312" w:cs="Times New Roman"/>
                <w:szCs w:val="21"/>
              </w:rPr>
            </w:pPr>
          </w:p>
        </w:tc>
        <w:tc>
          <w:tcPr>
            <w:tcW w:w="2976"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负责机关综合事务管理。</w:t>
            </w:r>
          </w:p>
        </w:tc>
        <w:tc>
          <w:tcPr>
            <w:tcW w:w="2976"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保障机关工作正常高效运转。</w:t>
            </w:r>
          </w:p>
        </w:tc>
        <w:tc>
          <w:tcPr>
            <w:tcW w:w="1417" w:type="dxa"/>
            <w:shd w:val="clear" w:color="auto" w:fill="auto"/>
            <w:vAlign w:val="center"/>
          </w:tcPr>
          <w:p>
            <w:pPr>
              <w:spacing w:line="300" w:lineRule="exact"/>
              <w:jc w:val="left"/>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hAnsi="Calibri" w:eastAsia="仿宋_GB2312" w:cs="Times New Roman"/>
                <w:b/>
                <w:szCs w:val="21"/>
              </w:rPr>
            </w:pPr>
            <w:r>
              <w:rPr>
                <w:rFonts w:hint="eastAsia" w:ascii="仿宋_GB2312" w:hAnsi="Calibri" w:eastAsia="仿宋_GB2312" w:cs="Times New Roman"/>
                <w:b/>
                <w:szCs w:val="21"/>
              </w:rPr>
              <w:t>　　1、综合事务管理</w:t>
            </w:r>
          </w:p>
        </w:tc>
        <w:tc>
          <w:tcPr>
            <w:tcW w:w="1276" w:type="dxa"/>
            <w:vMerge w:val="restart"/>
            <w:shd w:val="clear" w:color="auto" w:fill="auto"/>
            <w:vAlign w:val="center"/>
          </w:tcPr>
          <w:p>
            <w:pPr>
              <w:spacing w:line="300" w:lineRule="exact"/>
              <w:jc w:val="left"/>
              <w:rPr>
                <w:rFonts w:ascii="仿宋_GB2312" w:hAnsi="Calibri" w:eastAsia="仿宋_GB2312" w:cs="Times New Roman"/>
                <w:szCs w:val="21"/>
              </w:rPr>
            </w:pPr>
          </w:p>
        </w:tc>
        <w:tc>
          <w:tcPr>
            <w:tcW w:w="2976" w:type="dxa"/>
            <w:vMerge w:val="restart"/>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维护档案馆库房设备以及机关设施，保障正常运转。</w:t>
            </w:r>
          </w:p>
        </w:tc>
        <w:tc>
          <w:tcPr>
            <w:tcW w:w="2976" w:type="dxa"/>
            <w:vMerge w:val="restart"/>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保障机关工作正常高效运转。</w:t>
            </w: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档案馆设备维护率</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100.00%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≥90.00%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≥80.00%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hAnsi="Calibri" w:eastAsia="仿宋_GB2312" w:cs="Times New Roman"/>
                <w:b/>
                <w:szCs w:val="21"/>
              </w:rPr>
            </w:pPr>
          </w:p>
        </w:tc>
        <w:tc>
          <w:tcPr>
            <w:tcW w:w="12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安全率</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100.00%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≥90.00%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≥80.00%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hAnsi="Calibri" w:eastAsia="仿宋_GB2312" w:cs="Times New Roman"/>
                <w:b/>
                <w:szCs w:val="21"/>
              </w:rPr>
            </w:pPr>
          </w:p>
        </w:tc>
        <w:tc>
          <w:tcPr>
            <w:tcW w:w="12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机关设施完好率</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100.00%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≥90.00%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≥80.00%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＜80.00%</w:t>
            </w:r>
          </w:p>
        </w:tc>
      </w:tr>
    </w:tbl>
    <w:p>
      <w:pPr>
        <w:spacing w:line="584" w:lineRule="exact"/>
        <w:jc w:val="left"/>
        <w:outlineLvl w:val="0"/>
        <w:rPr>
          <w:rFonts w:ascii="Times New Roman" w:hAnsi="Times New Roman" w:eastAsia="仿宋_GB2312" w:cs="Times New Roman"/>
        </w:rPr>
        <w:sectPr>
          <w:footerReference r:id="rId4" w:type="first"/>
          <w:footerReference r:id="rId3" w:type="default"/>
          <w:pgSz w:w="16839" w:h="11907" w:orient="landscape"/>
          <w:pgMar w:top="1020" w:right="1361" w:bottom="1020" w:left="1361" w:header="851" w:footer="992" w:gutter="0"/>
          <w:cols w:space="425" w:num="1"/>
          <w:titlePg/>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8"/>
        <w:tblW w:w="485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06"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仿宋_GB2312" w:hAnsi="Times New Roman" w:eastAsia="仿宋_GB2312" w:cs="Times New Roman"/>
                <w:sz w:val="24"/>
              </w:rPr>
            </w:pPr>
            <w:r>
              <w:rPr>
                <w:rFonts w:hint="eastAsia" w:ascii="仿宋_GB2312" w:hAnsi="Times New Roman" w:eastAsia="仿宋_GB2312" w:cs="Times New Roman"/>
                <w:sz w:val="24"/>
              </w:rPr>
              <w:t>421廊坊市广阳区档案局</w:t>
            </w:r>
          </w:p>
        </w:tc>
        <w:tc>
          <w:tcPr>
            <w:tcW w:w="2194"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仿宋_GB2312" w:hAnsi="Times New Roman" w:eastAsia="仿宋_GB2312" w:cs="Times New Roman"/>
                <w:sz w:val="24"/>
              </w:rPr>
            </w:pPr>
            <w:r>
              <w:rPr>
                <w:rFonts w:hint="eastAsia" w:ascii="仿宋_GB2312"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89" w:type="pct"/>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320"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471"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247"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254"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32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2194" w:type="pct"/>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363"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320"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71"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47"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54"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1563" w:type="pct"/>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302"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63"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0"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71"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47"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54"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328"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271"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317"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319"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302"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363" w:type="pct"/>
            <w:shd w:val="clear" w:color="auto" w:fill="auto"/>
            <w:vAlign w:val="center"/>
          </w:tcPr>
          <w:p>
            <w:pPr>
              <w:spacing w:line="584" w:lineRule="exact"/>
              <w:jc w:val="right"/>
              <w:rPr>
                <w:rFonts w:ascii="Times New Roman" w:hAnsi="Times New Roman" w:eastAsia="仿宋_GB2312" w:cs="Times New Roman"/>
                <w:b/>
              </w:rPr>
            </w:pPr>
          </w:p>
        </w:tc>
        <w:tc>
          <w:tcPr>
            <w:tcW w:w="320" w:type="pct"/>
            <w:shd w:val="clear" w:color="auto" w:fill="auto"/>
            <w:vAlign w:val="center"/>
          </w:tcPr>
          <w:p>
            <w:pPr>
              <w:spacing w:line="584" w:lineRule="exact"/>
              <w:jc w:val="left"/>
              <w:rPr>
                <w:rFonts w:ascii="Times New Roman" w:hAnsi="Times New Roman" w:eastAsia="仿宋_GB2312" w:cs="Times New Roman"/>
                <w:b/>
              </w:rPr>
            </w:pP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271" w:type="pct"/>
            <w:shd w:val="clear" w:color="auto" w:fill="auto"/>
            <w:vAlign w:val="center"/>
          </w:tcPr>
          <w:p>
            <w:pPr>
              <w:spacing w:line="584" w:lineRule="exact"/>
              <w:jc w:val="right"/>
              <w:rPr>
                <w:rFonts w:ascii="Times New Roman" w:hAnsi="Times New Roman" w:eastAsia="仿宋_GB2312" w:cs="Times New Roman"/>
                <w:b/>
              </w:rPr>
            </w:pPr>
          </w:p>
        </w:tc>
        <w:tc>
          <w:tcPr>
            <w:tcW w:w="317" w:type="pct"/>
            <w:shd w:val="clear" w:color="auto" w:fill="auto"/>
            <w:vAlign w:val="center"/>
          </w:tcPr>
          <w:p>
            <w:pPr>
              <w:spacing w:line="584" w:lineRule="exact"/>
              <w:jc w:val="right"/>
              <w:rPr>
                <w:rFonts w:ascii="Times New Roman" w:hAnsi="Times New Roman" w:eastAsia="仿宋_GB2312" w:cs="Times New Roman"/>
                <w:b/>
              </w:rPr>
            </w:pPr>
          </w:p>
        </w:tc>
        <w:tc>
          <w:tcPr>
            <w:tcW w:w="319" w:type="pct"/>
            <w:shd w:val="clear" w:color="auto" w:fill="auto"/>
            <w:vAlign w:val="center"/>
          </w:tcPr>
          <w:p>
            <w:pPr>
              <w:spacing w:line="584" w:lineRule="exact"/>
              <w:jc w:val="right"/>
              <w:rPr>
                <w:rFonts w:ascii="Times New Roman" w:hAnsi="Times New Roman" w:eastAsia="仿宋_GB2312" w:cs="Times New Roman"/>
                <w:b/>
              </w:rPr>
            </w:pPr>
          </w:p>
        </w:tc>
        <w:tc>
          <w:tcPr>
            <w:tcW w:w="302"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p>
        </w:tc>
        <w:tc>
          <w:tcPr>
            <w:tcW w:w="363" w:type="pct"/>
            <w:shd w:val="clear" w:color="auto" w:fill="auto"/>
            <w:vAlign w:val="center"/>
          </w:tcPr>
          <w:p>
            <w:pPr>
              <w:spacing w:line="584" w:lineRule="exact"/>
              <w:jc w:val="right"/>
              <w:rPr>
                <w:rFonts w:ascii="Times New Roman" w:hAnsi="Times New Roman" w:eastAsia="仿宋_GB2312" w:cs="Times New Roman"/>
                <w:b/>
              </w:rPr>
            </w:pPr>
          </w:p>
        </w:tc>
        <w:tc>
          <w:tcPr>
            <w:tcW w:w="320" w:type="pct"/>
            <w:shd w:val="clear" w:color="auto" w:fill="auto"/>
            <w:vAlign w:val="center"/>
          </w:tcPr>
          <w:p>
            <w:pPr>
              <w:spacing w:line="584" w:lineRule="exact"/>
              <w:jc w:val="left"/>
              <w:rPr>
                <w:rFonts w:ascii="Times New Roman" w:hAnsi="Times New Roman" w:eastAsia="仿宋_GB2312" w:cs="Times New Roman"/>
                <w:b/>
              </w:rPr>
            </w:pP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271" w:type="pct"/>
            <w:shd w:val="clear" w:color="auto" w:fill="auto"/>
            <w:vAlign w:val="center"/>
          </w:tcPr>
          <w:p>
            <w:pPr>
              <w:spacing w:line="584" w:lineRule="exact"/>
              <w:jc w:val="right"/>
              <w:rPr>
                <w:rFonts w:ascii="Times New Roman" w:hAnsi="Times New Roman" w:eastAsia="仿宋_GB2312" w:cs="Times New Roman"/>
                <w:b/>
              </w:rPr>
            </w:pPr>
          </w:p>
        </w:tc>
        <w:tc>
          <w:tcPr>
            <w:tcW w:w="317" w:type="pct"/>
            <w:shd w:val="clear" w:color="auto" w:fill="auto"/>
            <w:vAlign w:val="center"/>
          </w:tcPr>
          <w:p>
            <w:pPr>
              <w:spacing w:line="584" w:lineRule="exact"/>
              <w:jc w:val="right"/>
              <w:rPr>
                <w:rFonts w:ascii="Times New Roman" w:hAnsi="Times New Roman" w:eastAsia="仿宋_GB2312" w:cs="Times New Roman"/>
                <w:b/>
              </w:rPr>
            </w:pPr>
          </w:p>
        </w:tc>
        <w:tc>
          <w:tcPr>
            <w:tcW w:w="319" w:type="pct"/>
            <w:shd w:val="clear" w:color="auto" w:fill="auto"/>
            <w:vAlign w:val="center"/>
          </w:tcPr>
          <w:p>
            <w:pPr>
              <w:spacing w:line="584" w:lineRule="exact"/>
              <w:jc w:val="right"/>
              <w:rPr>
                <w:rFonts w:ascii="Times New Roman" w:hAnsi="Times New Roman" w:eastAsia="仿宋_GB2312" w:cs="Times New Roman"/>
                <w:b/>
              </w:rPr>
            </w:pPr>
          </w:p>
        </w:tc>
        <w:tc>
          <w:tcPr>
            <w:tcW w:w="302"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3"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271"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9"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3"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271"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9"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3"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271"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9"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3"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271"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9"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广阳区档案</w:t>
      </w:r>
      <w:r>
        <w:rPr>
          <w:rFonts w:ascii="Times New Roman" w:hAnsi="Times New Roman" w:eastAsia="仿宋_GB2312" w:cs="Times New Roman"/>
          <w:sz w:val="32"/>
          <w:szCs w:val="32"/>
        </w:rPr>
        <w:t>局（含所属单位）上年末固定资产金额为</w:t>
      </w:r>
      <w:r>
        <w:rPr>
          <w:rFonts w:hint="eastAsia" w:ascii="Times New Roman" w:hAnsi="Times New Roman" w:eastAsia="仿宋_GB2312" w:cs="Times New Roman"/>
          <w:sz w:val="32"/>
          <w:szCs w:val="32"/>
        </w:rPr>
        <w:t>25.2206</w:t>
      </w:r>
      <w:r>
        <w:rPr>
          <w:rFonts w:ascii="Times New Roman" w:hAnsi="Times New Roman" w:eastAsia="仿宋_GB2312" w:cs="Times New Roman"/>
          <w:sz w:val="32"/>
          <w:szCs w:val="32"/>
        </w:rPr>
        <w:t>万元，本年度我部门无拟购置固定资产。详见下表。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廊坊市区直部门固定资产占用情况表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421</w:t>
            </w:r>
            <w:r>
              <w:rPr>
                <w:rFonts w:ascii="Times New Roman" w:hAnsi="Times New Roman" w:eastAsia="仿宋_GB2312" w:cs="Times New Roman"/>
                <w:kern w:val="0"/>
                <w:sz w:val="22"/>
              </w:rPr>
              <w:t>廊坊市</w:t>
            </w:r>
            <w:r>
              <w:rPr>
                <w:rFonts w:hint="eastAsia" w:ascii="Times New Roman" w:hAnsi="Times New Roman" w:eastAsia="仿宋_GB2312" w:cs="Times New Roman"/>
                <w:kern w:val="0"/>
                <w:sz w:val="22"/>
              </w:rPr>
              <w:t>广阳区档案</w:t>
            </w:r>
            <w:r>
              <w:rPr>
                <w:rFonts w:ascii="Times New Roman" w:hAnsi="Times New Roman" w:eastAsia="仿宋_GB2312" w:cs="Times New Roman"/>
                <w:kern w:val="0"/>
                <w:sz w:val="22"/>
              </w:rPr>
              <w:t>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91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25.2206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8.5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90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16.7206</w:t>
            </w:r>
          </w:p>
        </w:tc>
      </w:tr>
    </w:tbl>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docPartObj>
        <w:docPartGallery w:val="AutoText"/>
      </w:docPartObj>
    </w:sdtPr>
    <w:sdtContent>
      <w:p>
        <w:pPr>
          <w:pStyle w:val="3"/>
          <w:jc w:val="center"/>
        </w:pPr>
        <w:r>
          <w:rPr>
            <w:rFonts w:hint="eastAsia"/>
          </w:rPr>
          <w:t>-</w:t>
        </w:r>
        <w:r>
          <w:fldChar w:fldCharType="begin"/>
        </w:r>
        <w:r>
          <w:instrText xml:space="preserve">PAGE   \* MERGEFORMAT</w:instrText>
        </w:r>
        <w:r>
          <w:fldChar w:fldCharType="separate"/>
        </w:r>
        <w:r>
          <w:rPr>
            <w:lang w:val="zh-CN"/>
          </w:rPr>
          <w:t>2</w:t>
        </w:r>
        <w:r>
          <w:rPr>
            <w:lang w:val="zh-CN"/>
          </w:rPr>
          <w:fldChar w:fldCharType="end"/>
        </w:r>
        <w:r>
          <w:rPr>
            <w:rFonts w:hint="eastAsia"/>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4299695"/>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37AF6"/>
    <w:rsid w:val="000410F2"/>
    <w:rsid w:val="0004565F"/>
    <w:rsid w:val="00072187"/>
    <w:rsid w:val="00075D5F"/>
    <w:rsid w:val="0008180F"/>
    <w:rsid w:val="00093DA3"/>
    <w:rsid w:val="000A69DF"/>
    <w:rsid w:val="000B529B"/>
    <w:rsid w:val="000C24E6"/>
    <w:rsid w:val="000C3A19"/>
    <w:rsid w:val="000E4305"/>
    <w:rsid w:val="000F0D09"/>
    <w:rsid w:val="001245BB"/>
    <w:rsid w:val="001251A3"/>
    <w:rsid w:val="0015229A"/>
    <w:rsid w:val="00160266"/>
    <w:rsid w:val="001643E8"/>
    <w:rsid w:val="00176C13"/>
    <w:rsid w:val="001919C4"/>
    <w:rsid w:val="0019723B"/>
    <w:rsid w:val="001A0943"/>
    <w:rsid w:val="001B5C1D"/>
    <w:rsid w:val="001C1D50"/>
    <w:rsid w:val="001E0757"/>
    <w:rsid w:val="001E6DDC"/>
    <w:rsid w:val="001E70E9"/>
    <w:rsid w:val="001F5C92"/>
    <w:rsid w:val="001F7873"/>
    <w:rsid w:val="00230E48"/>
    <w:rsid w:val="00237D62"/>
    <w:rsid w:val="00241FD4"/>
    <w:rsid w:val="00246317"/>
    <w:rsid w:val="00251B12"/>
    <w:rsid w:val="00265318"/>
    <w:rsid w:val="00265F39"/>
    <w:rsid w:val="002835D7"/>
    <w:rsid w:val="00290FD6"/>
    <w:rsid w:val="00292821"/>
    <w:rsid w:val="00296113"/>
    <w:rsid w:val="002A673A"/>
    <w:rsid w:val="002C5E13"/>
    <w:rsid w:val="002C62BC"/>
    <w:rsid w:val="002E0EB8"/>
    <w:rsid w:val="002F3E58"/>
    <w:rsid w:val="0030542C"/>
    <w:rsid w:val="00311B7A"/>
    <w:rsid w:val="003126B6"/>
    <w:rsid w:val="00313D9C"/>
    <w:rsid w:val="00325215"/>
    <w:rsid w:val="0033339C"/>
    <w:rsid w:val="00335660"/>
    <w:rsid w:val="003B6D37"/>
    <w:rsid w:val="00414BD3"/>
    <w:rsid w:val="00424943"/>
    <w:rsid w:val="0042727E"/>
    <w:rsid w:val="0043175C"/>
    <w:rsid w:val="00437296"/>
    <w:rsid w:val="00451590"/>
    <w:rsid w:val="00451871"/>
    <w:rsid w:val="00460C69"/>
    <w:rsid w:val="004706DE"/>
    <w:rsid w:val="00472923"/>
    <w:rsid w:val="00486DCD"/>
    <w:rsid w:val="0049120C"/>
    <w:rsid w:val="004B0C3A"/>
    <w:rsid w:val="004C03C6"/>
    <w:rsid w:val="004C49A8"/>
    <w:rsid w:val="004C58D3"/>
    <w:rsid w:val="004D5788"/>
    <w:rsid w:val="004E3066"/>
    <w:rsid w:val="004E419C"/>
    <w:rsid w:val="004E74CD"/>
    <w:rsid w:val="00524EFD"/>
    <w:rsid w:val="00572067"/>
    <w:rsid w:val="00573562"/>
    <w:rsid w:val="00590ECE"/>
    <w:rsid w:val="005C0E90"/>
    <w:rsid w:val="005D0C27"/>
    <w:rsid w:val="005D37CA"/>
    <w:rsid w:val="005D54C8"/>
    <w:rsid w:val="005F5714"/>
    <w:rsid w:val="005F7AE1"/>
    <w:rsid w:val="00611D03"/>
    <w:rsid w:val="00614A29"/>
    <w:rsid w:val="006205E5"/>
    <w:rsid w:val="00651BA2"/>
    <w:rsid w:val="00654FB9"/>
    <w:rsid w:val="00673D76"/>
    <w:rsid w:val="006854F0"/>
    <w:rsid w:val="006B1C4A"/>
    <w:rsid w:val="006B610D"/>
    <w:rsid w:val="006C206A"/>
    <w:rsid w:val="006E49F5"/>
    <w:rsid w:val="007013C8"/>
    <w:rsid w:val="00722ED6"/>
    <w:rsid w:val="00727C84"/>
    <w:rsid w:val="00741CDA"/>
    <w:rsid w:val="0074338E"/>
    <w:rsid w:val="00753836"/>
    <w:rsid w:val="0075393C"/>
    <w:rsid w:val="00754592"/>
    <w:rsid w:val="00776C08"/>
    <w:rsid w:val="00790ABF"/>
    <w:rsid w:val="007B49AA"/>
    <w:rsid w:val="007C219A"/>
    <w:rsid w:val="007E1DA8"/>
    <w:rsid w:val="007E4B05"/>
    <w:rsid w:val="007F1335"/>
    <w:rsid w:val="007F6C26"/>
    <w:rsid w:val="00800F72"/>
    <w:rsid w:val="00811795"/>
    <w:rsid w:val="00813208"/>
    <w:rsid w:val="00815157"/>
    <w:rsid w:val="0083348E"/>
    <w:rsid w:val="008334AE"/>
    <w:rsid w:val="00836FED"/>
    <w:rsid w:val="0083724E"/>
    <w:rsid w:val="00841D53"/>
    <w:rsid w:val="00843DF8"/>
    <w:rsid w:val="00845CD2"/>
    <w:rsid w:val="00852B0D"/>
    <w:rsid w:val="0085425A"/>
    <w:rsid w:val="00862CE4"/>
    <w:rsid w:val="00864B7F"/>
    <w:rsid w:val="00881692"/>
    <w:rsid w:val="00882539"/>
    <w:rsid w:val="008858FF"/>
    <w:rsid w:val="008A1C1A"/>
    <w:rsid w:val="008A6576"/>
    <w:rsid w:val="008B3CC5"/>
    <w:rsid w:val="008B52CD"/>
    <w:rsid w:val="008C7C4D"/>
    <w:rsid w:val="008E4261"/>
    <w:rsid w:val="008E70D4"/>
    <w:rsid w:val="008F4662"/>
    <w:rsid w:val="0090563F"/>
    <w:rsid w:val="00905D08"/>
    <w:rsid w:val="00925753"/>
    <w:rsid w:val="00937F8B"/>
    <w:rsid w:val="009425F4"/>
    <w:rsid w:val="00943BD8"/>
    <w:rsid w:val="00954B2C"/>
    <w:rsid w:val="00966C5C"/>
    <w:rsid w:val="009676A1"/>
    <w:rsid w:val="00973104"/>
    <w:rsid w:val="009842F6"/>
    <w:rsid w:val="00984E9A"/>
    <w:rsid w:val="00995BF0"/>
    <w:rsid w:val="00996540"/>
    <w:rsid w:val="009A16D5"/>
    <w:rsid w:val="009A353D"/>
    <w:rsid w:val="009B0B77"/>
    <w:rsid w:val="009B511E"/>
    <w:rsid w:val="009B5215"/>
    <w:rsid w:val="009C6C86"/>
    <w:rsid w:val="009D37D3"/>
    <w:rsid w:val="009D3807"/>
    <w:rsid w:val="00A1049F"/>
    <w:rsid w:val="00A16E6C"/>
    <w:rsid w:val="00A40F60"/>
    <w:rsid w:val="00A44E3D"/>
    <w:rsid w:val="00A72D2E"/>
    <w:rsid w:val="00A74447"/>
    <w:rsid w:val="00A74CE5"/>
    <w:rsid w:val="00A77500"/>
    <w:rsid w:val="00A8536F"/>
    <w:rsid w:val="00A911E7"/>
    <w:rsid w:val="00A939D9"/>
    <w:rsid w:val="00AB2FC2"/>
    <w:rsid w:val="00AB77AA"/>
    <w:rsid w:val="00AC0E98"/>
    <w:rsid w:val="00AC4748"/>
    <w:rsid w:val="00AD5259"/>
    <w:rsid w:val="00B01D36"/>
    <w:rsid w:val="00B078CD"/>
    <w:rsid w:val="00B20712"/>
    <w:rsid w:val="00B40832"/>
    <w:rsid w:val="00B43238"/>
    <w:rsid w:val="00B45DD3"/>
    <w:rsid w:val="00B54B90"/>
    <w:rsid w:val="00B6358B"/>
    <w:rsid w:val="00B64FA8"/>
    <w:rsid w:val="00B73582"/>
    <w:rsid w:val="00B75216"/>
    <w:rsid w:val="00B755A2"/>
    <w:rsid w:val="00B9104C"/>
    <w:rsid w:val="00B91D52"/>
    <w:rsid w:val="00B9490F"/>
    <w:rsid w:val="00BA1ACD"/>
    <w:rsid w:val="00BD09F8"/>
    <w:rsid w:val="00BD5F60"/>
    <w:rsid w:val="00BE356A"/>
    <w:rsid w:val="00C005B2"/>
    <w:rsid w:val="00C1565C"/>
    <w:rsid w:val="00C21E0F"/>
    <w:rsid w:val="00C362CA"/>
    <w:rsid w:val="00C37A99"/>
    <w:rsid w:val="00C772C1"/>
    <w:rsid w:val="00C93D22"/>
    <w:rsid w:val="00CA7176"/>
    <w:rsid w:val="00CB51D7"/>
    <w:rsid w:val="00CC75B0"/>
    <w:rsid w:val="00CD2773"/>
    <w:rsid w:val="00CE01BA"/>
    <w:rsid w:val="00CE143B"/>
    <w:rsid w:val="00CE3A91"/>
    <w:rsid w:val="00D07DBA"/>
    <w:rsid w:val="00D23C16"/>
    <w:rsid w:val="00D27003"/>
    <w:rsid w:val="00D324AD"/>
    <w:rsid w:val="00D9307A"/>
    <w:rsid w:val="00DB4322"/>
    <w:rsid w:val="00DD1D0C"/>
    <w:rsid w:val="00DD5C5A"/>
    <w:rsid w:val="00DE186D"/>
    <w:rsid w:val="00E167C7"/>
    <w:rsid w:val="00E440CF"/>
    <w:rsid w:val="00E55B78"/>
    <w:rsid w:val="00E76361"/>
    <w:rsid w:val="00E84020"/>
    <w:rsid w:val="00EB7A80"/>
    <w:rsid w:val="00EC47F6"/>
    <w:rsid w:val="00EE43A3"/>
    <w:rsid w:val="00EE6D6D"/>
    <w:rsid w:val="00EF08C9"/>
    <w:rsid w:val="00EF535E"/>
    <w:rsid w:val="00F15CF0"/>
    <w:rsid w:val="00F471F7"/>
    <w:rsid w:val="00F66032"/>
    <w:rsid w:val="00F66598"/>
    <w:rsid w:val="00F83B96"/>
    <w:rsid w:val="00F8441D"/>
    <w:rsid w:val="00F87C1E"/>
    <w:rsid w:val="00F958C2"/>
    <w:rsid w:val="00FA740E"/>
    <w:rsid w:val="00FC06C7"/>
    <w:rsid w:val="00FD5DB4"/>
    <w:rsid w:val="00FE1724"/>
    <w:rsid w:val="00FE753C"/>
    <w:rsid w:val="00FF2346"/>
    <w:rsid w:val="0F0815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2"/>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uiPriority w:val="39"/>
    <w:rPr>
      <w:rFonts w:ascii="Times New Roman" w:hAnsi="Times New Roman" w:eastAsia="宋体" w:cs="Times New Roman"/>
      <w:szCs w:val="24"/>
    </w:rPr>
  </w:style>
  <w:style w:type="paragraph" w:styleId="6">
    <w:name w:val="footnote text"/>
    <w:basedOn w:val="1"/>
    <w:link w:val="15"/>
    <w:semiHidden/>
    <w:unhideWhenUsed/>
    <w:uiPriority w:val="99"/>
    <w:pPr>
      <w:snapToGrid w:val="0"/>
      <w:jc w:val="left"/>
    </w:pPr>
    <w:rPr>
      <w:rFonts w:ascii="Calibri" w:hAnsi="Calibri" w:eastAsia="宋体" w:cs="Times New Roman"/>
      <w:sz w:val="18"/>
      <w:szCs w:val="18"/>
    </w:rPr>
  </w:style>
  <w:style w:type="paragraph" w:styleId="7">
    <w:name w:val="toc 2"/>
    <w:basedOn w:val="1"/>
    <w:next w:val="1"/>
    <w:uiPriority w:val="39"/>
    <w:pPr>
      <w:ind w:left="420" w:leftChars="200"/>
    </w:pPr>
    <w:rPr>
      <w:rFonts w:ascii="Times New Roman" w:hAnsi="Times New Roman" w:eastAsia="宋体" w:cs="Times New Roman"/>
      <w:szCs w:val="24"/>
    </w:rPr>
  </w:style>
  <w:style w:type="character" w:styleId="10">
    <w:name w:val="footnote reference"/>
    <w:semiHidden/>
    <w:unhideWhenUsed/>
    <w:uiPriority w:val="99"/>
    <w:rPr>
      <w:vertAlign w:val="superscript"/>
    </w:rPr>
  </w:style>
  <w:style w:type="character" w:customStyle="1" w:styleId="11">
    <w:name w:val="页眉 Char"/>
    <w:basedOn w:val="9"/>
    <w:link w:val="4"/>
    <w:uiPriority w:val="99"/>
    <w:rPr>
      <w:rFonts w:ascii="Times New Roman" w:hAnsi="Times New Roman" w:eastAsia="宋体" w:cs="Times New Roman"/>
      <w:sz w:val="18"/>
      <w:szCs w:val="18"/>
    </w:rPr>
  </w:style>
  <w:style w:type="character" w:customStyle="1" w:styleId="12">
    <w:name w:val="页脚 Char"/>
    <w:basedOn w:val="9"/>
    <w:link w:val="3"/>
    <w:uiPriority w:val="99"/>
    <w:rPr>
      <w:rFonts w:ascii="Times New Roman" w:hAnsi="Times New Roman" w:eastAsia="宋体" w:cs="Times New Roman"/>
      <w:sz w:val="18"/>
      <w:szCs w:val="18"/>
    </w:rPr>
  </w:style>
  <w:style w:type="character" w:customStyle="1" w:styleId="13">
    <w:name w:val="批注框文本 Char"/>
    <w:basedOn w:val="9"/>
    <w:link w:val="2"/>
    <w:semiHidden/>
    <w:uiPriority w:val="99"/>
    <w:rPr>
      <w:sz w:val="18"/>
      <w:szCs w:val="18"/>
    </w:rPr>
  </w:style>
  <w:style w:type="paragraph" w:customStyle="1" w:styleId="14">
    <w:name w:val="Defaul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uiPriority w:val="99"/>
    <w:rPr>
      <w:rFonts w:ascii="Calibri" w:hAnsi="Calibri" w:eastAsia="宋体" w:cs="Times New Roman"/>
      <w:sz w:val="18"/>
      <w:szCs w:val="18"/>
    </w:rPr>
  </w:style>
  <w:style w:type="paragraph" w:customStyle="1" w:styleId="16">
    <w:name w:val="列出段落1"/>
    <w:basedOn w:val="1"/>
    <w:uiPriority w:val="0"/>
    <w:pPr>
      <w:ind w:firstLine="200" w:firstLineChars="200"/>
    </w:pPr>
    <w:rPr>
      <w:rFonts w:ascii="Calibri" w:hAnsi="Calibri" w:eastAsia="宋体" w:cs="Aria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D51BB-CDEA-47ED-AE9F-E2C4E149275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699</Words>
  <Characters>3990</Characters>
  <Lines>33</Lines>
  <Paragraphs>9</Paragraphs>
  <TotalTime>194</TotalTime>
  <ScaleCrop>false</ScaleCrop>
  <LinksUpToDate>false</LinksUpToDate>
  <CharactersWithSpaces>4680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2019-02-13T02:12:00Z</dcterms:created>
  <dc:creator>guest</dc:creator>
  <cp:lastModifiedBy>Administrator</cp:lastModifiedBy>
  <cp:lastPrinted>2019-02-18T02:45:00Z</cp:lastPrinted>
  <dcterms:modified xsi:type="dcterms:W3CDTF">2024-01-17T09:41:37Z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077FE9B47B3A46478FAAB164DDE644B0</vt:lpwstr>
  </property>
</Properties>
</file>