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p>
    <w:p>
      <w:pPr>
        <w:spacing w:line="584"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廊坊市广阳区人力资源和社会保障局2019年部门预算信息公开</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w:t>
      </w:r>
      <w:r>
        <w:rPr>
          <w:rFonts w:hint="eastAsia" w:ascii="仿宋_GB2312" w:hAnsi="Times New Roman" w:eastAsia="仿宋_GB2312" w:cs="Times New Roman"/>
          <w:sz w:val="32"/>
          <w:szCs w:val="32"/>
          <w:lang w:eastAsia="zh-CN"/>
        </w:rPr>
        <w:t>中华人民共和国</w:t>
      </w:r>
      <w:r>
        <w:rPr>
          <w:rFonts w:hint="eastAsia" w:ascii="仿宋_GB2312" w:hAnsi="Times New Roman" w:eastAsia="仿宋_GB2312" w:cs="Times New Roman"/>
          <w:sz w:val="32"/>
          <w:szCs w:val="32"/>
        </w:rPr>
        <w:t>预算法》、《地方预决算公开操作规程》和《河北省省级预算公开办法》规定，现将廊坊市广阳区人力资源和社会保障局2019年部门预算公开如下：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bookmarkStart w:id="5" w:name="_GoBack"/>
      <w:bookmarkEnd w:id="5"/>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规范专业技术人员管理，建立健全高层次专业技术人才队伍，规范专业技术人员管理及职称档案；</w:t>
      </w:r>
      <w:r>
        <w:rPr>
          <w:rFonts w:hint="eastAsia" w:ascii="仿宋_GB2312" w:hAnsi="Times New Roman" w:eastAsia="仿宋_GB2312" w:cs="Times New Roman"/>
          <w:sz w:val="32"/>
          <w:szCs w:val="32"/>
          <w:lang w:eastAsia="zh-CN"/>
        </w:rPr>
        <w:t>建立健全</w:t>
      </w:r>
      <w:r>
        <w:rPr>
          <w:rFonts w:hint="eastAsia" w:ascii="仿宋_GB2312" w:hAnsi="Times New Roman" w:eastAsia="仿宋_GB2312" w:cs="Times New Roman"/>
          <w:sz w:val="32"/>
          <w:szCs w:val="32"/>
        </w:rPr>
        <w:t>流动人员管理体系；确保公务员招录公平、公正，完成好年度考核奖励，提高全区公务员素质稳妥做好企业军转干部解困工作，确保企业军转干部总体稳定，确保工资分配合理公正，机关事业单位技术工人考核和管理；全面落实促进就业创业各项政策，重点解决高校毕业生、农村劳动力、困难群体就业问题，实现零就业家庭动态归零；提升劳动报酬在初次分配中的比重；认真处理劳动争议案件，维护劳动者合法权益。</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rPr>
              <w:t>廊坊市广阳区人力资源和社会保障局</w:t>
            </w:r>
          </w:p>
        </w:tc>
        <w:tc>
          <w:tcPr>
            <w:tcW w:w="1134"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行政</w:t>
            </w:r>
          </w:p>
        </w:tc>
        <w:tc>
          <w:tcPr>
            <w:tcW w:w="1276"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正科级</w:t>
            </w:r>
          </w:p>
        </w:tc>
        <w:tc>
          <w:tcPr>
            <w:tcW w:w="2902"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rPr>
              <w:t>廊坊市广阳区就业服务局</w:t>
            </w:r>
          </w:p>
        </w:tc>
        <w:tc>
          <w:tcPr>
            <w:tcW w:w="1134"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全额事业</w:t>
            </w:r>
          </w:p>
        </w:tc>
        <w:tc>
          <w:tcPr>
            <w:tcW w:w="1276" w:type="dxa"/>
            <w:shd w:val="clear" w:color="auto" w:fill="auto"/>
            <w:vAlign w:val="center"/>
          </w:tcPr>
          <w:p>
            <w:pPr>
              <w:spacing w:line="584" w:lineRule="exact"/>
              <w:jc w:val="center"/>
              <w:rPr>
                <w:rFonts w:ascii="Times New Roman" w:hAnsi="Times New Roman" w:eastAsia="仿宋_GB2312" w:cs="Times New Roman"/>
                <w:szCs w:val="21"/>
              </w:rPr>
            </w:pPr>
            <w:r>
              <w:rPr>
                <w:rFonts w:hint="eastAsia" w:ascii="仿宋" w:eastAsia="仿宋"/>
                <w:szCs w:val="21"/>
              </w:rPr>
              <w:t>副科级</w:t>
            </w:r>
          </w:p>
        </w:tc>
        <w:tc>
          <w:tcPr>
            <w:tcW w:w="2902" w:type="dxa"/>
            <w:shd w:val="clear" w:color="auto" w:fill="auto"/>
            <w:vAlign w:val="center"/>
          </w:tcPr>
          <w:p>
            <w:pPr>
              <w:spacing w:line="584" w:lineRule="exact"/>
              <w:jc w:val="center"/>
              <w:rPr>
                <w:rFonts w:ascii="Times New Roman" w:hAnsi="Times New Roman" w:eastAsia="仿宋_GB2312" w:cs="Times New Roman"/>
                <w:szCs w:val="21"/>
              </w:rPr>
            </w:pPr>
            <w:r>
              <w:rPr>
                <w:rFonts w:hint="eastAsia" w:ascii="仿宋" w:eastAsia="仿宋"/>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rPr>
              <w:t>廊坊市广阳区社会保险事业管理所</w:t>
            </w:r>
          </w:p>
        </w:tc>
        <w:tc>
          <w:tcPr>
            <w:tcW w:w="1134"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全额事业</w:t>
            </w:r>
          </w:p>
        </w:tc>
        <w:tc>
          <w:tcPr>
            <w:tcW w:w="1276" w:type="dxa"/>
            <w:shd w:val="clear" w:color="auto" w:fill="auto"/>
            <w:vAlign w:val="center"/>
          </w:tcPr>
          <w:p>
            <w:pPr>
              <w:spacing w:line="584" w:lineRule="exact"/>
              <w:jc w:val="center"/>
              <w:rPr>
                <w:rFonts w:ascii="Times New Roman" w:hAnsi="Times New Roman" w:eastAsia="仿宋_GB2312" w:cs="Times New Roman"/>
                <w:szCs w:val="21"/>
              </w:rPr>
            </w:pPr>
            <w:r>
              <w:rPr>
                <w:rFonts w:hint="eastAsia" w:ascii="仿宋" w:eastAsia="仿宋"/>
                <w:szCs w:val="21"/>
              </w:rPr>
              <w:t>其他</w:t>
            </w:r>
          </w:p>
        </w:tc>
        <w:tc>
          <w:tcPr>
            <w:tcW w:w="2902" w:type="dxa"/>
            <w:shd w:val="clear" w:color="auto" w:fill="auto"/>
            <w:vAlign w:val="center"/>
          </w:tcPr>
          <w:p>
            <w:pPr>
              <w:spacing w:line="584" w:lineRule="exact"/>
              <w:jc w:val="center"/>
              <w:rPr>
                <w:rFonts w:ascii="Times New Roman" w:hAnsi="Times New Roman" w:eastAsia="仿宋_GB2312" w:cs="Times New Roman"/>
                <w:szCs w:val="21"/>
              </w:rPr>
            </w:pPr>
            <w:r>
              <w:rPr>
                <w:rFonts w:ascii="Times New Roman" w:hAnsi="仿宋" w:eastAsia="仿宋"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rPr>
              <w:t>廊坊市广阳区机关事业社会保险所</w:t>
            </w:r>
          </w:p>
        </w:tc>
        <w:tc>
          <w:tcPr>
            <w:tcW w:w="1134"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全额事业</w:t>
            </w:r>
          </w:p>
        </w:tc>
        <w:tc>
          <w:tcPr>
            <w:tcW w:w="1276" w:type="dxa"/>
            <w:shd w:val="clear" w:color="auto" w:fill="auto"/>
            <w:vAlign w:val="center"/>
          </w:tcPr>
          <w:p>
            <w:pPr>
              <w:spacing w:line="584" w:lineRule="exact"/>
              <w:jc w:val="center"/>
              <w:rPr>
                <w:rFonts w:ascii="Times New Roman" w:hAnsi="Times New Roman" w:eastAsia="仿宋_GB2312" w:cs="Times New Roman"/>
                <w:szCs w:val="21"/>
              </w:rPr>
            </w:pPr>
            <w:r>
              <w:rPr>
                <w:rFonts w:hint="eastAsia" w:ascii="仿宋" w:eastAsia="仿宋"/>
                <w:szCs w:val="21"/>
              </w:rPr>
              <w:t>其他</w:t>
            </w:r>
          </w:p>
        </w:tc>
        <w:tc>
          <w:tcPr>
            <w:tcW w:w="2902" w:type="dxa"/>
            <w:shd w:val="clear" w:color="auto" w:fill="auto"/>
            <w:vAlign w:val="center"/>
          </w:tcPr>
          <w:p>
            <w:pPr>
              <w:spacing w:line="584" w:lineRule="exact"/>
              <w:jc w:val="center"/>
              <w:rPr>
                <w:rFonts w:ascii="Times New Roman" w:hAnsi="Times New Roman" w:eastAsia="仿宋_GB2312" w:cs="Times New Roman"/>
                <w:szCs w:val="21"/>
              </w:rPr>
            </w:pPr>
            <w:r>
              <w:rPr>
                <w:rFonts w:ascii="Times New Roman" w:hAnsi="仿宋" w:eastAsia="仿宋"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rPr>
              <w:t>廊坊市广阳区农村养老保险事业管理所</w:t>
            </w:r>
          </w:p>
        </w:tc>
        <w:tc>
          <w:tcPr>
            <w:tcW w:w="1134"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全额事业</w:t>
            </w:r>
          </w:p>
        </w:tc>
        <w:tc>
          <w:tcPr>
            <w:tcW w:w="1276" w:type="dxa"/>
            <w:shd w:val="clear" w:color="auto" w:fill="auto"/>
            <w:vAlign w:val="center"/>
          </w:tcPr>
          <w:p>
            <w:pPr>
              <w:spacing w:line="584" w:lineRule="exact"/>
              <w:jc w:val="center"/>
              <w:rPr>
                <w:rFonts w:ascii="Times New Roman" w:hAnsi="Times New Roman" w:eastAsia="仿宋_GB2312" w:cs="Times New Roman"/>
                <w:szCs w:val="21"/>
              </w:rPr>
            </w:pPr>
            <w:r>
              <w:rPr>
                <w:rFonts w:hint="eastAsia" w:ascii="仿宋" w:eastAsia="仿宋"/>
                <w:szCs w:val="21"/>
              </w:rPr>
              <w:t>其他</w:t>
            </w:r>
          </w:p>
        </w:tc>
        <w:tc>
          <w:tcPr>
            <w:tcW w:w="2902" w:type="dxa"/>
            <w:shd w:val="clear" w:color="auto" w:fill="auto"/>
            <w:vAlign w:val="center"/>
          </w:tcPr>
          <w:p>
            <w:pPr>
              <w:spacing w:line="584" w:lineRule="exact"/>
              <w:jc w:val="center"/>
              <w:rPr>
                <w:rFonts w:ascii="Times New Roman" w:hAnsi="Times New Roman" w:eastAsia="仿宋_GB2312" w:cs="Times New Roman"/>
                <w:szCs w:val="21"/>
              </w:rPr>
            </w:pPr>
            <w:r>
              <w:rPr>
                <w:rFonts w:ascii="Times New Roman" w:hAnsi="仿宋" w:eastAsia="仿宋"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rPr>
              <w:t>廊坊市广阳区医疗保险所</w:t>
            </w:r>
          </w:p>
        </w:tc>
        <w:tc>
          <w:tcPr>
            <w:tcW w:w="1134"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全额事业</w:t>
            </w:r>
          </w:p>
        </w:tc>
        <w:tc>
          <w:tcPr>
            <w:tcW w:w="1276" w:type="dxa"/>
            <w:shd w:val="clear" w:color="auto" w:fill="auto"/>
            <w:vAlign w:val="center"/>
          </w:tcPr>
          <w:p>
            <w:pPr>
              <w:spacing w:line="584" w:lineRule="exact"/>
              <w:jc w:val="center"/>
              <w:rPr>
                <w:rFonts w:ascii="Times New Roman" w:hAnsi="Times New Roman" w:eastAsia="仿宋_GB2312" w:cs="Times New Roman"/>
                <w:szCs w:val="21"/>
              </w:rPr>
            </w:pPr>
            <w:r>
              <w:rPr>
                <w:rFonts w:hint="eastAsia" w:ascii="仿宋" w:eastAsia="仿宋"/>
                <w:szCs w:val="21"/>
              </w:rPr>
              <w:t>其他</w:t>
            </w:r>
          </w:p>
        </w:tc>
        <w:tc>
          <w:tcPr>
            <w:tcW w:w="2902" w:type="dxa"/>
            <w:shd w:val="clear" w:color="auto" w:fill="auto"/>
            <w:vAlign w:val="center"/>
          </w:tcPr>
          <w:p>
            <w:pPr>
              <w:spacing w:line="584" w:lineRule="exact"/>
              <w:jc w:val="center"/>
              <w:rPr>
                <w:rFonts w:ascii="Times New Roman" w:hAnsi="Times New Roman" w:eastAsia="仿宋_GB2312" w:cs="Times New Roman"/>
                <w:szCs w:val="21"/>
              </w:rPr>
            </w:pPr>
            <w:r>
              <w:rPr>
                <w:rFonts w:ascii="Times New Roman" w:hAnsi="仿宋" w:eastAsia="仿宋"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rPr>
              <w:t>廊坊市广阳区工伤保险事业管理所</w:t>
            </w:r>
          </w:p>
        </w:tc>
        <w:tc>
          <w:tcPr>
            <w:tcW w:w="1134"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全额事业</w:t>
            </w:r>
          </w:p>
        </w:tc>
        <w:tc>
          <w:tcPr>
            <w:tcW w:w="1276" w:type="dxa"/>
            <w:shd w:val="clear" w:color="auto" w:fill="auto"/>
            <w:vAlign w:val="center"/>
          </w:tcPr>
          <w:p>
            <w:pPr>
              <w:spacing w:line="584" w:lineRule="exact"/>
              <w:jc w:val="center"/>
              <w:rPr>
                <w:rFonts w:ascii="Times New Roman" w:hAnsi="Times New Roman" w:eastAsia="仿宋_GB2312" w:cs="Times New Roman"/>
                <w:szCs w:val="21"/>
              </w:rPr>
            </w:pPr>
            <w:r>
              <w:rPr>
                <w:rFonts w:hint="eastAsia" w:ascii="仿宋" w:eastAsia="仿宋"/>
                <w:szCs w:val="21"/>
              </w:rPr>
              <w:t>其他</w:t>
            </w:r>
          </w:p>
        </w:tc>
        <w:tc>
          <w:tcPr>
            <w:tcW w:w="2902" w:type="dxa"/>
            <w:shd w:val="clear" w:color="auto" w:fill="auto"/>
            <w:vAlign w:val="center"/>
          </w:tcPr>
          <w:p>
            <w:pPr>
              <w:spacing w:line="584" w:lineRule="exact"/>
              <w:jc w:val="center"/>
              <w:rPr>
                <w:rFonts w:ascii="Times New Roman" w:hAnsi="Times New Roman" w:eastAsia="仿宋_GB2312" w:cs="Times New Roman"/>
                <w:szCs w:val="21"/>
              </w:rPr>
            </w:pPr>
            <w:r>
              <w:rPr>
                <w:rFonts w:ascii="Times New Roman" w:hAnsi="仿宋" w:eastAsia="仿宋"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r>
              <w:rPr>
                <w:rFonts w:hint="eastAsia" w:ascii="Times New Roman" w:hAnsi="Times New Roman" w:eastAsia="仿宋_GB2312" w:cs="Times New Roman"/>
              </w:rPr>
              <w:t>廊坊市广阳区城乡居民基本医疗保险所</w:t>
            </w:r>
          </w:p>
        </w:tc>
        <w:tc>
          <w:tcPr>
            <w:tcW w:w="1134"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全额事业</w:t>
            </w:r>
          </w:p>
        </w:tc>
        <w:tc>
          <w:tcPr>
            <w:tcW w:w="1276" w:type="dxa"/>
            <w:shd w:val="clear" w:color="auto" w:fill="auto"/>
            <w:vAlign w:val="center"/>
          </w:tcPr>
          <w:p>
            <w:pPr>
              <w:spacing w:line="584" w:lineRule="exact"/>
              <w:jc w:val="center"/>
              <w:rPr>
                <w:rFonts w:ascii="Times New Roman" w:hAnsi="Times New Roman" w:eastAsia="仿宋_GB2312" w:cs="Times New Roman"/>
                <w:szCs w:val="21"/>
              </w:rPr>
            </w:pPr>
            <w:r>
              <w:rPr>
                <w:rFonts w:hint="eastAsia" w:ascii="仿宋" w:eastAsia="仿宋"/>
                <w:szCs w:val="21"/>
              </w:rPr>
              <w:t>其他</w:t>
            </w:r>
          </w:p>
        </w:tc>
        <w:tc>
          <w:tcPr>
            <w:tcW w:w="2902" w:type="dxa"/>
            <w:shd w:val="clear" w:color="auto" w:fill="auto"/>
            <w:vAlign w:val="center"/>
          </w:tcPr>
          <w:p>
            <w:pPr>
              <w:spacing w:line="584" w:lineRule="exact"/>
              <w:jc w:val="center"/>
              <w:rPr>
                <w:rFonts w:ascii="Times New Roman" w:hAnsi="Times New Roman" w:eastAsia="仿宋_GB2312" w:cs="Times New Roman"/>
                <w:szCs w:val="21"/>
              </w:rPr>
            </w:pPr>
            <w:r>
              <w:rPr>
                <w:rFonts w:ascii="Times New Roman" w:hAnsi="仿宋" w:eastAsia="仿宋" w:cs="Times New Roman"/>
                <w:szCs w:val="21"/>
              </w:rPr>
              <w:t>财政性资金基本保证</w:t>
            </w:r>
          </w:p>
        </w:tc>
      </w:tr>
    </w:tbl>
    <w:p>
      <w:pPr>
        <w:spacing w:line="584" w:lineRule="exact"/>
        <w:rPr>
          <w:rFonts w:ascii="Times New Roman" w:hAnsi="黑体" w:eastAsia="黑体" w:cs="Times New Roman"/>
          <w:sz w:val="32"/>
          <w:szCs w:val="32"/>
        </w:rPr>
      </w:pPr>
    </w:p>
    <w:p>
      <w:pPr>
        <w:spacing w:line="584" w:lineRule="exact"/>
        <w:ind w:firstLine="640" w:firstLineChars="200"/>
        <w:rPr>
          <w:rFonts w:ascii="Times New Roman" w:hAnsi="黑体" w:eastAsia="黑体" w:cs="Times New Roman"/>
          <w:sz w:val="32"/>
          <w:szCs w:val="32"/>
        </w:rPr>
      </w:pPr>
    </w:p>
    <w:p>
      <w:pPr>
        <w:spacing w:line="584" w:lineRule="exact"/>
        <w:ind w:firstLine="640" w:firstLineChars="200"/>
        <w:rPr>
          <w:rFonts w:ascii="Times New Roman" w:hAnsi="黑体"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广阳区人力资源和社会保障局</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18326.85</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18326.85</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广阳区人力资源和社会保障局</w:t>
      </w:r>
      <w:r>
        <w:rPr>
          <w:rFonts w:ascii="Times New Roman" w:hAnsi="Times New Roman" w:eastAsia="仿宋_GB2312" w:cs="Times New Roman"/>
          <w:sz w:val="32"/>
          <w:szCs w:val="32"/>
        </w:rPr>
        <w:t>年度部门预算中支出预算的总体情况。201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18326.85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1961.98</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1868.59</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93.39</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16364.87</w:t>
      </w:r>
      <w:r>
        <w:rPr>
          <w:rFonts w:ascii="Times New Roman" w:hAnsi="Times New Roman" w:eastAsia="仿宋_GB2312" w:cs="Times New Roman"/>
          <w:sz w:val="32"/>
          <w:szCs w:val="32"/>
        </w:rPr>
        <w:t>万元，包括本级支出</w:t>
      </w:r>
      <w:r>
        <w:rPr>
          <w:rFonts w:hint="eastAsia" w:ascii="Times New Roman" w:hAnsi="Times New Roman" w:eastAsia="仿宋_GB2312" w:cs="Times New Roman"/>
          <w:sz w:val="32"/>
          <w:szCs w:val="32"/>
        </w:rPr>
        <w:t>5119.87</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提前下达支出11245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委托业务费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社会福利和救助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对社会保险基金的补助</w:t>
      </w:r>
      <w:r>
        <w:rPr>
          <w:rFonts w:ascii="Times New Roman" w:hAnsi="Times New Roman" w:eastAsia="仿宋_GB2312" w:cs="Times New Roman"/>
          <w:sz w:val="32"/>
          <w:szCs w:val="32"/>
        </w:rPr>
        <w:t>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18326.85</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rPr>
        <w:t>减少295.8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增加252.33</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社会保障和就业</w:t>
      </w:r>
      <w:r>
        <w:rPr>
          <w:rFonts w:ascii="Times New Roman" w:hAnsi="Times New Roman" w:eastAsia="仿宋_GB2312" w:cs="Times New Roman"/>
          <w:sz w:val="32"/>
          <w:szCs w:val="32"/>
        </w:rPr>
        <w:t>支出；项目支出</w:t>
      </w:r>
      <w:r>
        <w:rPr>
          <w:rFonts w:hint="eastAsia" w:ascii="Times New Roman" w:hAnsi="Times New Roman" w:eastAsia="仿宋_GB2312" w:cs="Times New Roman"/>
          <w:sz w:val="32"/>
          <w:szCs w:val="32"/>
        </w:rPr>
        <w:t>减少548.13</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卫生健康</w:t>
      </w:r>
      <w:r>
        <w:rPr>
          <w:rFonts w:ascii="Times New Roman" w:hAnsi="Times New Roman" w:eastAsia="仿宋_GB2312" w:cs="Times New Roman"/>
          <w:sz w:val="32"/>
          <w:szCs w:val="32"/>
        </w:rPr>
        <w:t>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5.68</w:t>
      </w:r>
      <w:r>
        <w:rPr>
          <w:rFonts w:ascii="Times New Roman" w:hAnsi="Times New Roman" w:eastAsia="仿宋_GB2312" w:cs="Times New Roman"/>
          <w:sz w:val="32"/>
          <w:szCs w:val="32"/>
        </w:rPr>
        <w:t>万元，主要用于办公区的日常维修、办公用房水电费、</w:t>
      </w:r>
      <w:r>
        <w:rPr>
          <w:rFonts w:hint="eastAsia" w:ascii="Times New Roman" w:hAnsi="Times New Roman" w:eastAsia="仿宋_GB2312" w:cs="Times New Roman"/>
          <w:sz w:val="32"/>
          <w:szCs w:val="32"/>
        </w:rPr>
        <w:t>车辆运行维护费</w:t>
      </w:r>
      <w:r>
        <w:rPr>
          <w:rFonts w:ascii="Times New Roman" w:hAnsi="Times New Roman" w:eastAsia="仿宋_GB2312" w:cs="Times New Roman"/>
          <w:sz w:val="32"/>
          <w:szCs w:val="32"/>
        </w:rPr>
        <w:t>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2019年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6.56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6.56</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6.56</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相比减少0.34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rPr>
        <w:t>减少0.34</w:t>
      </w:r>
      <w:r>
        <w:rPr>
          <w:rFonts w:ascii="Times New Roman" w:hAnsi="Times New Roman" w:eastAsia="仿宋_GB2312" w:cs="Times New Roman"/>
          <w:sz w:val="32"/>
          <w:szCs w:val="32"/>
        </w:rPr>
        <w:t>万元（其中：公务用车购置费增减</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，公务用车运维费</w:t>
      </w:r>
      <w:r>
        <w:rPr>
          <w:rFonts w:hint="eastAsia" w:ascii="Times New Roman" w:hAnsi="Times New Roman" w:eastAsia="仿宋_GB2312" w:cs="Times New Roman"/>
          <w:sz w:val="32"/>
          <w:szCs w:val="32"/>
        </w:rPr>
        <w:t>减少0.34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我部门切实落实勤俭节约各项规定，压减公车运行经费支出</w:t>
      </w:r>
      <w:r>
        <w:rPr>
          <w:rFonts w:ascii="Times New Roman" w:hAnsi="Times New Roman" w:eastAsia="仿宋_GB2312" w:cs="Times New Roman"/>
          <w:sz w:val="32"/>
          <w:szCs w:val="32"/>
        </w:rPr>
        <w:t>；公务接待费增减</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与201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ascii="Times New Roman" w:hAnsi="Times New Roman" w:eastAsia="楷体_GB2312" w:cs="Times New Roman"/>
          <w:b/>
          <w:sz w:val="32"/>
          <w:szCs w:val="32"/>
        </w:rPr>
        <w:t>总体绩效目标：</w:t>
      </w:r>
    </w:p>
    <w:p>
      <w:pPr>
        <w:spacing w:line="500" w:lineRule="exact"/>
        <w:ind w:firstLine="560"/>
        <w:rPr>
          <w:rFonts w:ascii="仿宋_GB2312" w:eastAsia="仿宋_GB2312"/>
          <w:sz w:val="32"/>
          <w:szCs w:val="32"/>
        </w:rPr>
      </w:pPr>
      <w:r>
        <w:rPr>
          <w:rFonts w:hint="eastAsia" w:ascii="仿宋_GB2312" w:hAnsi="宋体" w:eastAsia="仿宋_GB2312"/>
          <w:sz w:val="32"/>
          <w:szCs w:val="32"/>
        </w:rPr>
        <w:t>一是</w:t>
      </w:r>
      <w:r>
        <w:rPr>
          <w:rFonts w:hint="eastAsia" w:ascii="仿宋_GB2312" w:eastAsia="仿宋_GB2312"/>
          <w:sz w:val="32"/>
          <w:szCs w:val="32"/>
        </w:rPr>
        <w:t>加强就业创业扶持政策宣传工作，加大就业创业扶持政策落实力度，促进创业带动就业。</w:t>
      </w:r>
    </w:p>
    <w:p>
      <w:pPr>
        <w:spacing w:line="500" w:lineRule="exact"/>
        <w:ind w:firstLine="560"/>
        <w:rPr>
          <w:rFonts w:ascii="仿宋_GB2312" w:eastAsia="仿宋_GB2312"/>
          <w:sz w:val="32"/>
          <w:szCs w:val="32"/>
        </w:rPr>
      </w:pPr>
      <w:r>
        <w:rPr>
          <w:rFonts w:hint="eastAsia" w:ascii="仿宋_GB2312" w:hAnsi="宋体" w:eastAsia="仿宋_GB2312"/>
          <w:sz w:val="32"/>
          <w:szCs w:val="32"/>
        </w:rPr>
        <w:t>二是</w:t>
      </w:r>
      <w:r>
        <w:rPr>
          <w:rFonts w:hint="eastAsia" w:ascii="仿宋_GB2312" w:eastAsia="仿宋_GB2312"/>
          <w:sz w:val="32"/>
          <w:szCs w:val="32"/>
        </w:rPr>
        <w:t>认真做好企业退休人员养老保险待遇调整工作。</w:t>
      </w:r>
    </w:p>
    <w:p>
      <w:pPr>
        <w:spacing w:line="500" w:lineRule="exact"/>
        <w:ind w:firstLine="560"/>
        <w:rPr>
          <w:rFonts w:ascii="仿宋_GB2312" w:eastAsia="仿宋_GB2312"/>
          <w:sz w:val="32"/>
          <w:szCs w:val="32"/>
        </w:rPr>
      </w:pPr>
      <w:r>
        <w:rPr>
          <w:rFonts w:hint="eastAsia" w:ascii="仿宋_GB2312" w:hAnsi="宋体" w:eastAsia="仿宋_GB2312"/>
          <w:sz w:val="32"/>
          <w:szCs w:val="32"/>
        </w:rPr>
        <w:t>三是</w:t>
      </w:r>
      <w:r>
        <w:rPr>
          <w:rFonts w:hint="eastAsia" w:ascii="仿宋_GB2312" w:eastAsia="仿宋_GB2312"/>
          <w:sz w:val="32"/>
          <w:szCs w:val="32"/>
        </w:rPr>
        <w:t>加强对劳动保障法律法规的宣传教育，不断增强用人单位的法律意识和劳动者依法维权意识。</w:t>
      </w:r>
    </w:p>
    <w:p>
      <w:pPr>
        <w:spacing w:line="500" w:lineRule="exact"/>
        <w:ind w:firstLine="560"/>
        <w:rPr>
          <w:rFonts w:ascii="仿宋_GB2312" w:eastAsia="仿宋_GB2312"/>
          <w:sz w:val="32"/>
          <w:szCs w:val="32"/>
        </w:rPr>
      </w:pPr>
      <w:r>
        <w:rPr>
          <w:rFonts w:hint="eastAsia" w:ascii="仿宋_GB2312" w:hAnsi="宋体" w:eastAsia="仿宋_GB2312"/>
          <w:sz w:val="32"/>
          <w:szCs w:val="32"/>
        </w:rPr>
        <w:t>四是</w:t>
      </w:r>
      <w:r>
        <w:rPr>
          <w:rFonts w:hint="eastAsia" w:ascii="仿宋_GB2312" w:eastAsia="仿宋_GB2312"/>
          <w:sz w:val="32"/>
          <w:szCs w:val="32"/>
        </w:rPr>
        <w:t>严格履行聘用手续，保障专业技术人员聘任待遇；合理控制各级职称申报推荐数量，严把资格审查关，切实将优秀的专业技术人员推荐上来。</w:t>
      </w:r>
    </w:p>
    <w:p>
      <w:pPr>
        <w:ind w:firstLine="645"/>
        <w:jc w:val="left"/>
        <w:rPr>
          <w:rFonts w:ascii="楷体_GB2312" w:eastAsia="楷体_GB2312"/>
          <w:b/>
          <w:sz w:val="32"/>
          <w:szCs w:val="32"/>
        </w:rPr>
      </w:pPr>
      <w:r>
        <w:rPr>
          <w:rFonts w:hint="eastAsia" w:ascii="楷体_GB2312" w:eastAsia="楷体_GB2312"/>
          <w:b/>
          <w:sz w:val="32"/>
          <w:szCs w:val="32"/>
        </w:rPr>
        <w:t>职责分类绩效目标：</w:t>
      </w:r>
    </w:p>
    <w:p>
      <w:pPr>
        <w:pStyle w:val="16"/>
        <w:numPr>
          <w:ilvl w:val="0"/>
          <w:numId w:val="1"/>
        </w:numPr>
        <w:ind w:firstLineChars="0"/>
        <w:jc w:val="left"/>
        <w:rPr>
          <w:rFonts w:ascii="楷体_GB2312" w:eastAsia="楷体_GB2312"/>
          <w:b/>
          <w:sz w:val="32"/>
          <w:szCs w:val="32"/>
        </w:rPr>
      </w:pPr>
      <w:r>
        <w:rPr>
          <w:rFonts w:hint="eastAsia" w:ascii="仿宋_GB2312" w:eastAsia="仿宋_GB2312"/>
          <w:sz w:val="32"/>
          <w:szCs w:val="32"/>
        </w:rPr>
        <w:t>人事队伍建设</w:t>
      </w:r>
    </w:p>
    <w:p>
      <w:pPr>
        <w:ind w:left="645" w:leftChars="307" w:firstLine="160" w:firstLineChars="50"/>
        <w:jc w:val="left"/>
        <w:rPr>
          <w:rFonts w:ascii="仿宋_GB2312" w:eastAsia="仿宋_GB2312"/>
          <w:sz w:val="32"/>
          <w:szCs w:val="32"/>
        </w:rPr>
      </w:pPr>
      <w:r>
        <w:rPr>
          <w:rFonts w:hint="eastAsia" w:ascii="仿宋_GB2312" w:eastAsia="仿宋_GB2312"/>
          <w:sz w:val="32"/>
          <w:szCs w:val="32"/>
        </w:rPr>
        <w:t>一是申报评审各级别专业技术职称，完成事业单位专业技术人员聘任工作，完成专业技术人员申</w:t>
      </w:r>
    </w:p>
    <w:p>
      <w:pPr>
        <w:jc w:val="left"/>
        <w:rPr>
          <w:rFonts w:ascii="楷体_GB2312" w:eastAsia="楷体_GB2312"/>
          <w:b/>
          <w:sz w:val="32"/>
          <w:szCs w:val="32"/>
        </w:rPr>
      </w:pPr>
      <w:r>
        <w:rPr>
          <w:rFonts w:hint="eastAsia" w:ascii="仿宋_GB2312" w:eastAsia="仿宋_GB2312"/>
          <w:sz w:val="32"/>
          <w:szCs w:val="32"/>
        </w:rPr>
        <w:t>报市级专家称号材料审核申报工作；二是优秀人员选拔和接收大中专毕业生，</w:t>
      </w:r>
    </w:p>
    <w:p>
      <w:pPr>
        <w:spacing w:line="500" w:lineRule="exact"/>
        <w:ind w:firstLine="560"/>
        <w:rPr>
          <w:rFonts w:ascii="仿宋_GB2312" w:eastAsia="仿宋_GB2312"/>
          <w:sz w:val="32"/>
          <w:szCs w:val="32"/>
        </w:rPr>
      </w:pPr>
      <w:r>
        <w:rPr>
          <w:rFonts w:hint="eastAsia" w:ascii="仿宋_GB2312" w:eastAsia="仿宋_GB2312"/>
          <w:sz w:val="32"/>
          <w:szCs w:val="32"/>
        </w:rPr>
        <w:t>（二）人事代理</w:t>
      </w:r>
    </w:p>
    <w:p>
      <w:pPr>
        <w:spacing w:line="500" w:lineRule="exact"/>
        <w:ind w:firstLine="560"/>
        <w:rPr>
          <w:rFonts w:ascii="仿宋_GB2312" w:eastAsia="仿宋_GB2312"/>
          <w:sz w:val="32"/>
          <w:szCs w:val="32"/>
        </w:rPr>
      </w:pPr>
      <w:r>
        <w:rPr>
          <w:rFonts w:hint="eastAsia" w:ascii="仿宋_GB2312" w:eastAsia="仿宋_GB2312"/>
          <w:sz w:val="32"/>
          <w:szCs w:val="32"/>
        </w:rPr>
        <w:t>根据相关政策和上级部署，加强流动人员的管理，建立健全档案管理制度。</w:t>
      </w:r>
    </w:p>
    <w:p>
      <w:pPr>
        <w:spacing w:line="500" w:lineRule="exact"/>
        <w:ind w:firstLine="560"/>
        <w:rPr>
          <w:rFonts w:ascii="仿宋_GB2312" w:eastAsia="仿宋_GB2312"/>
          <w:sz w:val="32"/>
          <w:szCs w:val="32"/>
        </w:rPr>
      </w:pPr>
      <w:r>
        <w:rPr>
          <w:rFonts w:hint="eastAsia" w:ascii="仿宋_GB2312" w:eastAsia="仿宋_GB2312"/>
          <w:sz w:val="32"/>
          <w:szCs w:val="32"/>
        </w:rPr>
        <w:t>（三）人事管理</w:t>
      </w:r>
    </w:p>
    <w:p>
      <w:pPr>
        <w:spacing w:line="500" w:lineRule="exact"/>
        <w:ind w:firstLine="720" w:firstLineChars="225"/>
        <w:rPr>
          <w:rFonts w:ascii="仿宋_GB2312" w:eastAsia="仿宋_GB2312"/>
          <w:sz w:val="32"/>
          <w:szCs w:val="32"/>
        </w:rPr>
      </w:pPr>
      <w:r>
        <w:rPr>
          <w:rFonts w:hint="eastAsia" w:ascii="仿宋_GB2312" w:eastAsia="仿宋_GB2312"/>
          <w:sz w:val="32"/>
          <w:szCs w:val="32"/>
        </w:rPr>
        <w:t>一是军转干部管理，做好军转干部的解困金、慰问金、慰问品发放及体检工作。完成退役军人和其他优抚对象信息采集、数据审核。二是机关单位及公务员管理，为机关事业单位工作人员办理退休手续，为机关事业单位工作人员遗属办理生活困难补助审批。完成政府系统行政机关科级以下公务员及事业单位科级以下工作人员的年度考核工作。三是机关事业单位工资政策和管理。四是机关事业单位技术工人考核和管理。</w:t>
      </w:r>
    </w:p>
    <w:p>
      <w:pPr>
        <w:spacing w:line="500" w:lineRule="exact"/>
        <w:ind w:firstLine="560"/>
        <w:rPr>
          <w:rFonts w:ascii="仿宋_GB2312" w:eastAsia="仿宋_GB2312"/>
          <w:sz w:val="32"/>
          <w:szCs w:val="32"/>
        </w:rPr>
      </w:pPr>
      <w:r>
        <w:rPr>
          <w:rFonts w:hint="eastAsia" w:ascii="仿宋_GB2312" w:eastAsia="仿宋_GB2312"/>
          <w:sz w:val="32"/>
          <w:szCs w:val="32"/>
        </w:rPr>
        <w:t>（四）促进就业政策及管理</w:t>
      </w:r>
    </w:p>
    <w:p>
      <w:pPr>
        <w:spacing w:line="500" w:lineRule="exact"/>
        <w:ind w:firstLine="720" w:firstLineChars="225"/>
        <w:rPr>
          <w:rFonts w:ascii="仿宋_GB2312" w:eastAsia="仿宋_GB2312"/>
          <w:sz w:val="32"/>
          <w:szCs w:val="32"/>
        </w:rPr>
      </w:pPr>
      <w:r>
        <w:rPr>
          <w:rFonts w:hint="eastAsia" w:ascii="仿宋_GB2312" w:eastAsia="仿宋_GB2312"/>
          <w:sz w:val="32"/>
          <w:szCs w:val="32"/>
        </w:rPr>
        <w:t>开展以针对性、实用性为主的创业培训和技能培训，鼓励和引导更多的高校毕业生、失业人员等投身创业，实现创业，带动更多人就业。</w:t>
      </w:r>
    </w:p>
    <w:p>
      <w:pPr>
        <w:spacing w:line="500" w:lineRule="exact"/>
        <w:ind w:firstLine="560"/>
        <w:rPr>
          <w:rFonts w:ascii="仿宋_GB2312" w:eastAsia="仿宋_GB2312"/>
          <w:sz w:val="32"/>
          <w:szCs w:val="32"/>
        </w:rPr>
      </w:pPr>
      <w:r>
        <w:rPr>
          <w:rFonts w:hint="eastAsia" w:ascii="仿宋_GB2312" w:eastAsia="仿宋_GB2312"/>
          <w:sz w:val="32"/>
          <w:szCs w:val="32"/>
        </w:rPr>
        <w:t>（五）工资政策执行及管理</w:t>
      </w:r>
    </w:p>
    <w:p>
      <w:pPr>
        <w:spacing w:line="500" w:lineRule="exact"/>
        <w:ind w:firstLine="560"/>
        <w:rPr>
          <w:rFonts w:ascii="仿宋_GB2312" w:eastAsia="仿宋_GB2312"/>
          <w:sz w:val="32"/>
          <w:szCs w:val="32"/>
        </w:rPr>
      </w:pPr>
      <w:r>
        <w:rPr>
          <w:rFonts w:hint="eastAsia" w:ascii="仿宋_GB2312" w:eastAsia="仿宋_GB2312"/>
          <w:sz w:val="32"/>
          <w:szCs w:val="32"/>
        </w:rPr>
        <w:t xml:space="preserve"> 关于企业工资政策和管理，根据相关政策和上级要求，引导企业合理确定薪酬，确保劳动关系和谐稳定。</w:t>
      </w:r>
    </w:p>
    <w:p>
      <w:pPr>
        <w:spacing w:line="500" w:lineRule="exact"/>
        <w:ind w:firstLine="560"/>
        <w:rPr>
          <w:rFonts w:ascii="仿宋_GB2312" w:eastAsia="仿宋_GB2312"/>
          <w:sz w:val="32"/>
          <w:szCs w:val="32"/>
        </w:rPr>
      </w:pPr>
      <w:r>
        <w:rPr>
          <w:rFonts w:hint="eastAsia" w:ascii="仿宋_GB2312" w:eastAsia="仿宋_GB2312"/>
          <w:sz w:val="32"/>
          <w:szCs w:val="32"/>
        </w:rPr>
        <w:t>（六）劳动仲裁</w:t>
      </w:r>
    </w:p>
    <w:p>
      <w:pPr>
        <w:spacing w:line="500" w:lineRule="exact"/>
        <w:ind w:firstLine="720" w:firstLineChars="225"/>
        <w:rPr>
          <w:rFonts w:ascii="仿宋_GB2312" w:eastAsia="仿宋_GB2312"/>
          <w:sz w:val="32"/>
          <w:szCs w:val="32"/>
        </w:rPr>
      </w:pPr>
      <w:r>
        <w:rPr>
          <w:rFonts w:hint="eastAsia" w:ascii="仿宋_GB2312" w:eastAsia="仿宋_GB2312"/>
          <w:sz w:val="32"/>
          <w:szCs w:val="32"/>
        </w:rPr>
        <w:t>加强劳动监察队伍建设，强化人员学习培训，完善岗位责任制。监察用人单位，督促非非国有企业签订劳动合同；督促用人单位缴纳社会保险费，为劳动者追回拖欠工资;受理工伤认定申请，经市局依法做出工伤认定;受理劳动争议案件,接待信访群众，信访及时答复。</w:t>
      </w:r>
    </w:p>
    <w:p>
      <w:pPr>
        <w:spacing w:line="500" w:lineRule="exact"/>
        <w:ind w:firstLine="723" w:firstLineChars="225"/>
        <w:rPr>
          <w:rFonts w:ascii="仿宋_GB2312" w:eastAsia="仿宋_GB2312"/>
          <w:sz w:val="32"/>
          <w:szCs w:val="32"/>
        </w:rPr>
      </w:pPr>
      <w:r>
        <w:rPr>
          <w:rFonts w:ascii="Times New Roman" w:hAnsi="Times New Roman" w:eastAsia="楷体_GB2312" w:cs="Times New Roman"/>
          <w:b/>
          <w:sz w:val="32"/>
          <w:szCs w:val="32"/>
        </w:rPr>
        <w:t>部门职责及工作活动绩效目标指标：</w:t>
      </w:r>
      <w:bookmarkEnd w:id="0"/>
      <w:bookmarkStart w:id="1" w:name="_Toc2095006"/>
      <w:bookmarkStart w:id="2" w:name="_Toc504489147"/>
    </w:p>
    <w:bookmarkEnd w:id="1"/>
    <w:p>
      <w:pPr>
        <w:spacing w:line="584" w:lineRule="exact"/>
        <w:jc w:val="center"/>
        <w:outlineLvl w:val="0"/>
        <w:rPr>
          <w:rFonts w:ascii="Times New Roman" w:hAnsi="Times New Roman" w:eastAsia="仿宋_GB2312" w:cs="Times New Roman"/>
          <w:b/>
          <w:sz w:val="32"/>
        </w:rPr>
      </w:pPr>
      <w:r>
        <w:rPr>
          <w:rFonts w:ascii="Times New Roman" w:hAnsi="Times New Roman" w:eastAsia="仿宋_GB2312" w:cs="Times New Roman"/>
          <w:b/>
          <w:sz w:val="32"/>
        </w:rPr>
        <w:t>部门职责-工作活动绩效目标</w:t>
      </w:r>
    </w:p>
    <w:p>
      <w:pPr>
        <w:spacing w:line="300" w:lineRule="exact"/>
        <w:jc w:val="left"/>
        <w:outlineLvl w:val="0"/>
        <w:rPr>
          <w:rFonts w:ascii="仿宋_GB2312" w:eastAsia="仿宋_GB2312"/>
          <w:b/>
          <w:sz w:val="32"/>
        </w:rPr>
      </w:pPr>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sz w:val="24"/>
              </w:rPr>
            </w:pPr>
            <w:r>
              <w:rPr>
                <w:rFonts w:hint="eastAsia" w:ascii="仿宋_GB2312" w:eastAsia="仿宋_GB2312"/>
                <w:sz w:val="24"/>
              </w:rPr>
              <w:t>233廊坊市广阳区人力资源和社会保障局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sz w:val="24"/>
              </w:rPr>
            </w:pPr>
            <w:r>
              <w:rPr>
                <w:rFonts w:hint="eastAsia" w:ascii="仿宋_GB2312"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职责活动</w:t>
            </w:r>
          </w:p>
        </w:tc>
        <w:tc>
          <w:tcPr>
            <w:tcW w:w="12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年度预算数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内容描述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绩效目标</w:t>
            </w:r>
          </w:p>
        </w:tc>
        <w:tc>
          <w:tcPr>
            <w:tcW w:w="1417"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绩效指标</w:t>
            </w:r>
          </w:p>
        </w:tc>
        <w:tc>
          <w:tcPr>
            <w:tcW w:w="2948" w:type="dxa"/>
            <w:gridSpan w:val="4"/>
            <w:shd w:val="clear" w:color="auto" w:fill="auto"/>
            <w:vAlign w:val="center"/>
          </w:tcPr>
          <w:p>
            <w:pPr>
              <w:spacing w:line="300" w:lineRule="exact"/>
              <w:jc w:val="center"/>
              <w:rPr>
                <w:rFonts w:ascii="仿宋_GB2312" w:eastAsia="仿宋_GB2312"/>
                <w:b/>
              </w:rPr>
            </w:pPr>
            <w:r>
              <w:rPr>
                <w:rFonts w:hint="eastAsia" w:ascii="仿宋_GB2312" w:eastAsia="仿宋_GB2312"/>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_GB2312" w:eastAsia="仿宋_GB2312"/>
              </w:rPr>
            </w:pPr>
          </w:p>
        </w:tc>
        <w:tc>
          <w:tcPr>
            <w:tcW w:w="12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1417" w:type="dxa"/>
            <w:vMerge w:val="continue"/>
            <w:shd w:val="clear" w:color="auto" w:fill="auto"/>
            <w:vAlign w:val="center"/>
          </w:tcPr>
          <w:p>
            <w:pPr>
              <w:spacing w:line="300" w:lineRule="exact"/>
              <w:jc w:val="left"/>
              <w:outlineLvl w:val="0"/>
              <w:rPr>
                <w:rFonts w:ascii="仿宋_GB2312" w:eastAsia="仿宋_GB2312"/>
              </w:rPr>
            </w:pP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优</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良</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中</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一、人才队伍建设</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管理职称工作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规范专业技术人员管理，建立健全高层次专业技术人才队伍，规范专业技术人员管理及职称档案。</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1、职称申报、聘用及政策培训</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严格按照省级职称申报推荐要求，进行职称申报工作的部署、组织和初审，规范全区事业单位专业技术岗位聘用工作严格执行各项政策规定，严格管理全区事业单位中级以上职称档案工作，制定索引，科学排序。</w:t>
            </w:r>
          </w:p>
          <w:p>
            <w:pPr>
              <w:spacing w:line="300" w:lineRule="exact"/>
              <w:jc w:val="left"/>
              <w:rPr>
                <w:rFonts w:ascii="仿宋_GB2312" w:eastAsia="仿宋_GB2312"/>
                <w:szCs w:val="21"/>
              </w:rPr>
            </w:pPr>
            <w:r>
              <w:rPr>
                <w:rFonts w:hint="eastAsia" w:ascii="仿宋_GB2312" w:eastAsia="仿宋_GB2312"/>
                <w:szCs w:val="21"/>
              </w:rPr>
              <w:t>严格按照省级职称申报推荐要求，进行职称申报工作的部署、组织和初审，规范全区事业单位专业技术岗位聘用工作严格执行各项政策规定，严格管理全区事业单位中级以上职称档案工作，制定索引，科学排序。</w:t>
            </w:r>
          </w:p>
          <w:p>
            <w:pPr>
              <w:spacing w:line="300" w:lineRule="exact"/>
              <w:jc w:val="left"/>
              <w:rPr>
                <w:rFonts w:ascii="仿宋_GB2312" w:eastAsia="仿宋_GB2312"/>
                <w:szCs w:val="21"/>
              </w:rPr>
            </w:pPr>
            <w:r>
              <w:rPr>
                <w:rFonts w:hint="eastAsia" w:ascii="仿宋_GB2312" w:eastAsia="仿宋_GB2312"/>
                <w:szCs w:val="21"/>
              </w:rPr>
              <w:t>严格按照省级职称申报推荐要求，进行职称申报工作的部署、组织和初审，规范全区事业单位专业技术岗位聘用工作严格执行各项政策规定，严格管理全区事业单位中级以上职称档案工作，制定索引，科学排序。</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实现全区事业单位专业技术岗位聘用工作的制度化、科学化，提高全区高技能人才的比例，培养建设高技能人才队伍。</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达到省级要求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达到省级要求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达到省级要求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2、优秀人才选拔管理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全区优秀人才选拔工作，包过“三三三人才”选拔工作和“有突出贡献人才”选拔工作。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提高全区高技能人才的比例，培养建设高技能</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达到省级优秀人才选拔要求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达到省级优秀人才选拔要求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达到省级优秀人才选拔要求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二、人事代理</w:t>
            </w:r>
          </w:p>
        </w:tc>
        <w:tc>
          <w:tcPr>
            <w:tcW w:w="12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1004.20</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促进人才流动</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lang w:eastAsia="zh-CN"/>
              </w:rPr>
              <w:t>建立健全</w:t>
            </w:r>
            <w:r>
              <w:rPr>
                <w:rFonts w:hint="eastAsia" w:ascii="仿宋_GB2312" w:eastAsia="仿宋_GB2312"/>
                <w:szCs w:val="21"/>
              </w:rPr>
              <w:t>流动人员管理体系。</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1、流动人员的档案管理</w:t>
            </w:r>
          </w:p>
        </w:tc>
        <w:tc>
          <w:tcPr>
            <w:tcW w:w="12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1004.20</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流动人员的档案和转递、材料收集、鉴别归档、整理、保管，推进电子档案建立、数据集中，对档案安全检查排除、失窃、失密、损坏等事故发生，加大对流动人员人事档案库房、服务场所和信息系统等基础设施的投入，保障相关工作正常开展。</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人才服务到位率</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档案信息</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提高档案保管安全</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提高代理率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三、人事管理</w:t>
            </w:r>
          </w:p>
        </w:tc>
        <w:tc>
          <w:tcPr>
            <w:tcW w:w="12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38.47</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军转干部安置，机关单位及公务员管理，管理人事工资政策及退休福利政策，管理机关事业单位技术工人。</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确保公务员招录公平、公正，完成好年度考核奖励，提高全区公务员素质稳妥做好企业军转干部解困工作，确保企业军转干部总体稳定，确保工资分配合理公正，机关事业单位技术工人考核和管理。</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1、军转干部管理</w:t>
            </w:r>
          </w:p>
        </w:tc>
        <w:tc>
          <w:tcPr>
            <w:tcW w:w="12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38.47</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拟订县级军队转业干部安置计划并组织实施，组织拟定部分企业军转干部解困和稳定政策及军转干部管理服务，负责自主择业转业干部的管理服务。</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组织全县军转干部培训工作并做好军转安置工作。落实解困政策，按时足额发放解困资金，并做好企业军转干部思想教育工作和稳控工作。</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落实解困政策，按时足额发放解困资金，并做好企业军转干部思想教育工作和稳控工作</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圆满完成任务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较好完成任务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基本完成任务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未完成任务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负责自主择业转业干部的管理服务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圆满完成任务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较好完成任务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基本完成任务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未完成任务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军转干部解困到位率军转干部安置计划落实率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圆满完成任务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较好完成任务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基本完成任务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未完成任务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2、机关单位及公务员管理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开展公务员职位管理任免、招录、考核奖励、培训事业单位参照公务员法管理工作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加强区政府系统公务员职位管理，职务任免，做好公务员招录工作，提高公务员依法行政管理的能力。</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开展公务员职位管理考核奖励</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机关及公务员调查满意率。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加强区政府系统公务员职位管理，职务任免</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3、机关事业单位工资政策和管理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组织实施区直机关事业单位工作人员工资政策落实，制定出台事业单位绩效工资政策并组织实施，为符合退休条件人员办理退休手续。</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规范全区工资管理制度，保障工作人员和离退休人员基本利益。</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保障工作人员和离退休人员基本利益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圆满完成任务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较好完成任务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基本完成任务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未完成任务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加强政策落实速度与准确</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圆满完成任务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较好完成任务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基本完成任务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未完成任务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事业单位绩效工资政策并组织实施</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圆满完成任务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较好完成任务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基本完成任务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未完成任务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4、机关事业单位技术工人考核和管理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组织全区机关事业事业单位技术工人技术等级考核报名考试组档上报工作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提高我区技术工人业务技能。</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达到省级要求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圆满完成任务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较好完成任务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基本完成任务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未完成任务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达到省级要求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圆满完成任务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较好完成任务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基本完成任务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未完成任务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提高技术等级人才比例</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圆满完成任务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较好完成任务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基本完成任务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未完成任务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四、促进就业政策及管理</w:t>
            </w:r>
          </w:p>
        </w:tc>
        <w:tc>
          <w:tcPr>
            <w:tcW w:w="12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9915.97</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统筹管理全区劳动力资源的开发利用做好就业创业工作；指导劳动力市场的发展，组织建立健全就业服务体系，劳务派遣行政许可，小额担保贷款初审。组织贯彻执行职业分类、职业技能国家标准和相关行业标准，推行职业资格证书制度，拟定企业有关职工技能培训和下岗失业人员就业培训的规划、政策和措施，并组织实施。</w:t>
            </w:r>
          </w:p>
          <w:p>
            <w:pPr>
              <w:spacing w:line="300" w:lineRule="exact"/>
              <w:jc w:val="left"/>
              <w:rPr>
                <w:rFonts w:ascii="仿宋_GB2312" w:eastAsia="仿宋_GB2312"/>
                <w:szCs w:val="21"/>
              </w:rPr>
            </w:pPr>
            <w:r>
              <w:rPr>
                <w:rFonts w:hint="eastAsia" w:ascii="仿宋_GB2312" w:eastAsia="仿宋_GB2312"/>
                <w:szCs w:val="21"/>
              </w:rPr>
              <w:t>统筹管理全区劳动力资源的开发利用做好就业创业工作；指导劳动力市场的发展，组织建立健全就业服务体系，劳务派遣行政许可，小额担保贷款初审。组织贯彻执行职业分类、职业技能国家标准和相关行业标准，推行职业资格证书制度，拟定企业有关职工技能培训和下岗失业人员就业培训的规划、政策和措施，并组织实施。</w:t>
            </w:r>
          </w:p>
          <w:p>
            <w:pPr>
              <w:spacing w:line="300" w:lineRule="exact"/>
              <w:jc w:val="left"/>
              <w:rPr>
                <w:rFonts w:ascii="仿宋_GB2312" w:eastAsia="仿宋_GB2312"/>
                <w:szCs w:val="21"/>
              </w:rPr>
            </w:pPr>
            <w:r>
              <w:rPr>
                <w:rFonts w:hint="eastAsia" w:ascii="仿宋_GB2312" w:eastAsia="仿宋_GB2312"/>
                <w:szCs w:val="21"/>
              </w:rPr>
              <w:t>统筹管理全区劳动力资源的开发利用做好就业创业工作；指导劳动力市场的发展，组织建立健全就业服务体系，劳务派遣行政许可，小额担保贷款初审。组织贯彻执行职业分类、职业技能国家标准和相关行业标准，推行职业资格证书制度，拟定企业有关职工技能培训和下岗失业人员就业培训的规划、政策和措施，并组织实施。</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全面落实促进就业创业各项政策，重点解决高校毕业生、农村劳动力、困难群体就业问题，实现零就业家庭动态归零。</w:t>
            </w:r>
          </w:p>
          <w:p>
            <w:pPr>
              <w:spacing w:line="300" w:lineRule="exact"/>
              <w:jc w:val="left"/>
              <w:rPr>
                <w:rFonts w:ascii="仿宋_GB2312" w:eastAsia="仿宋_GB2312"/>
                <w:szCs w:val="21"/>
              </w:rPr>
            </w:pPr>
            <w:r>
              <w:rPr>
                <w:rFonts w:hint="eastAsia" w:ascii="仿宋_GB2312" w:eastAsia="仿宋_GB2312"/>
                <w:szCs w:val="21"/>
              </w:rPr>
              <w:t>全面落实促进就业创业各项政策，重点解决高校毕业生、农村劳动力、困难群体就业问题，实现零就业家庭动态归零。</w:t>
            </w:r>
          </w:p>
          <w:p>
            <w:pPr>
              <w:spacing w:line="300" w:lineRule="exact"/>
              <w:jc w:val="left"/>
              <w:rPr>
                <w:rFonts w:ascii="仿宋_GB2312" w:eastAsia="仿宋_GB2312"/>
                <w:szCs w:val="21"/>
              </w:rPr>
            </w:pPr>
            <w:r>
              <w:rPr>
                <w:rFonts w:hint="eastAsia" w:ascii="仿宋_GB2312" w:eastAsia="仿宋_GB2312"/>
                <w:szCs w:val="21"/>
              </w:rPr>
              <w:t>全面落实促进就业创业各项政策，重点解决高校毕业生、农村劳动力、困难群体就业问题，实现零就业家庭动态归零。</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1、就业创业扶持政策的落实及管理</w:t>
            </w:r>
          </w:p>
        </w:tc>
        <w:tc>
          <w:tcPr>
            <w:tcW w:w="12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9915.97</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落实促进城乡统筹的就业发展规划和就业创业扶持政策，就业援助政策，推动全区就业创业工作，组织和实施就业管理工作。</w:t>
            </w:r>
          </w:p>
          <w:p>
            <w:pPr>
              <w:spacing w:line="300" w:lineRule="exact"/>
              <w:jc w:val="left"/>
              <w:rPr>
                <w:rFonts w:ascii="仿宋_GB2312" w:eastAsia="仿宋_GB2312"/>
                <w:szCs w:val="21"/>
              </w:rPr>
            </w:pPr>
            <w:r>
              <w:rPr>
                <w:rFonts w:hint="eastAsia" w:ascii="仿宋_GB2312" w:eastAsia="仿宋_GB2312"/>
                <w:szCs w:val="21"/>
              </w:rPr>
              <w:t>落实促进城乡统筹的就业发展规划和就业创业扶持政策，就业援助政策，推动全区就业创业工作，组织和实施就业管理工作。</w:t>
            </w:r>
          </w:p>
          <w:p>
            <w:pPr>
              <w:spacing w:line="300" w:lineRule="exact"/>
              <w:jc w:val="left"/>
              <w:rPr>
                <w:rFonts w:ascii="仿宋_GB2312" w:eastAsia="仿宋_GB2312"/>
                <w:szCs w:val="21"/>
              </w:rPr>
            </w:pPr>
            <w:r>
              <w:rPr>
                <w:rFonts w:hint="eastAsia" w:ascii="仿宋_GB2312" w:eastAsia="仿宋_GB2312"/>
                <w:szCs w:val="21"/>
              </w:rPr>
              <w:t>落实促进城乡统筹的就业发展规划和就业创业扶持政策，就业援助政策，推动全区就业创业工作，组织和实施就业管理工作。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 xml:space="preserve">    促进我区劳动者就业、创业，保持就业形势的基本稳定。</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各项就业、创业扶持政策完成率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各项就业、创业扶持政策进度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各项就业、创业扶持政策在我区得到全面落实。</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五、工资政策执行及管理</w:t>
            </w:r>
          </w:p>
        </w:tc>
        <w:tc>
          <w:tcPr>
            <w:tcW w:w="12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5406.23</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拟定全区企业职工工资收入及其他劳动报酬的调控政策和措施；负责全区企业职工工资指导线和最低工资保障的政策组织和实施；综合协调我区非公有制企业劳动工资政策；贯彻执行行业工资收入调节政策和国有企业经营者收入分配政策，并负责区属企业工资总额和经营者收入的审核。贯彻企业职工退休政策，负责区属企业职工退休审批及因病、特殊工种提前退休申报；负责国有、集体企业职工工龄接续工作；负责全区企业职工工伤认定初审工作。</w:t>
            </w:r>
          </w:p>
          <w:p>
            <w:pPr>
              <w:spacing w:line="300" w:lineRule="exact"/>
              <w:jc w:val="left"/>
              <w:rPr>
                <w:rFonts w:ascii="仿宋_GB2312" w:eastAsia="仿宋_GB2312"/>
                <w:szCs w:val="21"/>
              </w:rPr>
            </w:pPr>
            <w:r>
              <w:rPr>
                <w:rFonts w:hint="eastAsia" w:ascii="仿宋_GB2312" w:eastAsia="仿宋_GB2312"/>
                <w:szCs w:val="21"/>
              </w:rPr>
              <w:t>拟定全区企业职工工资收入及其他劳动报酬的调控政策和措施；负责全区企业职工工资指导线和最低工资保障的政策组织和实施；综合协调我区非公有制企业劳动工资政策；贯彻执行行业工资收入调节政策和国有企业经营者收入分配政策，并负责区属企业工资总额和经营者收入的审核。贯彻企业职工退休政策，负责区属企业职工退休审批及因病、特殊工种提前退休申报；负责国有、集体企业职工工龄接续工作；负责全区企业职工工伤认定初审工作。</w:t>
            </w:r>
          </w:p>
          <w:p>
            <w:pPr>
              <w:spacing w:line="300" w:lineRule="exact"/>
              <w:jc w:val="left"/>
              <w:rPr>
                <w:rFonts w:ascii="仿宋_GB2312" w:eastAsia="仿宋_GB2312"/>
                <w:szCs w:val="21"/>
              </w:rPr>
            </w:pPr>
            <w:r>
              <w:rPr>
                <w:rFonts w:hint="eastAsia" w:ascii="仿宋_GB2312" w:eastAsia="仿宋_GB2312"/>
                <w:szCs w:val="21"/>
              </w:rPr>
              <w:t>拟定全区企业职工工资收入及其他劳动报酬的调控政策和措施；负责全区企业职工工资指导线和最低工资保障的政策组织和实施；综合协调我区非公有制企业劳动工资政策；贯彻执行行业工资收入调节政策和国有企业经营者收入分配政策，并负责区属企业工资总额和经营者收入的审核。贯彻企业职工退休政策，负责区属企业职工退休审批及因病、特殊工种提前退休申报；负责国有、集体企业职工工龄接续工作；负责全区企业职工工伤认定初审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提升劳动报酬在初次分配中的比重。</w:t>
            </w:r>
          </w:p>
          <w:p>
            <w:pPr>
              <w:spacing w:line="300" w:lineRule="exact"/>
              <w:jc w:val="left"/>
              <w:rPr>
                <w:rFonts w:ascii="仿宋_GB2312" w:eastAsia="仿宋_GB2312"/>
                <w:szCs w:val="21"/>
              </w:rPr>
            </w:pPr>
            <w:r>
              <w:rPr>
                <w:rFonts w:hint="eastAsia" w:ascii="仿宋_GB2312" w:eastAsia="仿宋_GB2312"/>
                <w:szCs w:val="21"/>
              </w:rPr>
              <w:t>提升劳动报酬在初次分配中的比重。</w:t>
            </w:r>
          </w:p>
          <w:p>
            <w:pPr>
              <w:spacing w:line="300" w:lineRule="exact"/>
              <w:jc w:val="left"/>
              <w:rPr>
                <w:rFonts w:ascii="仿宋_GB2312" w:eastAsia="仿宋_GB2312"/>
                <w:szCs w:val="21"/>
              </w:rPr>
            </w:pPr>
            <w:r>
              <w:rPr>
                <w:rFonts w:hint="eastAsia" w:ascii="仿宋_GB2312" w:eastAsia="仿宋_GB2312"/>
                <w:szCs w:val="21"/>
              </w:rPr>
              <w:t>提升劳动报酬在初次分配中的比重。</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1、企业工资政策和管理</w:t>
            </w:r>
          </w:p>
        </w:tc>
        <w:tc>
          <w:tcPr>
            <w:tcW w:w="12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5406.23</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完善全区企业工资调控机制和工资集体协商制度，发布工资指导线和劳动力市场价位和人工成本情况，监督并审核区属国有企业工资总额管理，加强企业工资内外收入监督。</w:t>
            </w:r>
          </w:p>
          <w:p>
            <w:pPr>
              <w:spacing w:line="300" w:lineRule="exact"/>
              <w:jc w:val="left"/>
              <w:rPr>
                <w:rFonts w:ascii="仿宋_GB2312" w:eastAsia="仿宋_GB2312"/>
                <w:szCs w:val="21"/>
              </w:rPr>
            </w:pPr>
            <w:r>
              <w:rPr>
                <w:rFonts w:hint="eastAsia" w:ascii="仿宋_GB2312" w:eastAsia="仿宋_GB2312"/>
                <w:szCs w:val="21"/>
              </w:rPr>
              <w:t>完善全区企业工资调控机制和工资集体协商制度，发布工资指导线和劳动力市场价位和人工成本情况，监督并审核区属国有企业工资总额管理，加强企业工资内外收入监督。</w:t>
            </w:r>
          </w:p>
          <w:p>
            <w:pPr>
              <w:spacing w:line="300" w:lineRule="exact"/>
              <w:jc w:val="left"/>
              <w:rPr>
                <w:rFonts w:ascii="仿宋_GB2312" w:eastAsia="仿宋_GB2312"/>
                <w:szCs w:val="21"/>
              </w:rPr>
            </w:pPr>
            <w:r>
              <w:rPr>
                <w:rFonts w:hint="eastAsia" w:ascii="仿宋_GB2312" w:eastAsia="仿宋_GB2312"/>
                <w:szCs w:val="21"/>
              </w:rPr>
              <w:t>完善全区企业工资调控机制和工资集体协商制度，发布工资指导线和劳动力市场价位和人工成本情况，监督并审核区属国有企业工资总额管理，加强企业工资内外收入监督。</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 xml:space="preserve"> 加大对企业工资分配的宏观调控力度，合理确定收入分配水平。</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工伤认定</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企业职工接续工龄</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企业职工退休审批</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六、劳动仲裁</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负责劳动争议案件仲裁调解工作，贯彻执行劳动争议处理法律法规和规章；指导企业劳动争议仲裁组织和队伍建设；负责劳动争议的预防、调解、仲裁和劳动合同备案工作。</w:t>
            </w:r>
          </w:p>
          <w:p>
            <w:pPr>
              <w:spacing w:line="300" w:lineRule="exact"/>
              <w:jc w:val="left"/>
              <w:rPr>
                <w:rFonts w:ascii="仿宋_GB2312" w:eastAsia="仿宋_GB2312"/>
                <w:szCs w:val="21"/>
              </w:rPr>
            </w:pPr>
            <w:r>
              <w:rPr>
                <w:rFonts w:hint="eastAsia" w:ascii="仿宋_GB2312" w:eastAsia="仿宋_GB2312"/>
                <w:szCs w:val="21"/>
              </w:rPr>
              <w:t>负责劳动争议案件仲裁调解工作，贯彻执行劳动争议处理法律法规和规章；指导企业劳动争议仲裁组织和队伍建设；负责劳动争议的预防、调解、仲裁和劳动合同备案工作。</w:t>
            </w:r>
          </w:p>
          <w:p>
            <w:pPr>
              <w:spacing w:line="300" w:lineRule="exact"/>
              <w:jc w:val="left"/>
              <w:rPr>
                <w:rFonts w:ascii="仿宋_GB2312" w:eastAsia="仿宋_GB2312"/>
                <w:szCs w:val="21"/>
              </w:rPr>
            </w:pPr>
            <w:r>
              <w:rPr>
                <w:rFonts w:hint="eastAsia" w:ascii="仿宋_GB2312" w:eastAsia="仿宋_GB2312"/>
                <w:szCs w:val="21"/>
              </w:rPr>
              <w:t>负责劳动争议案件仲裁调解工作，贯彻执行劳动争议处理法律法规和规章；指导企业劳动争议仲裁组织和队伍建设；负责劳动争议的预防、调解、仲裁和劳动合同备案工作。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认真处理劳动争议案件，维护劳动者合法权益</w:t>
            </w:r>
          </w:p>
          <w:p>
            <w:pPr>
              <w:spacing w:line="300" w:lineRule="exact"/>
              <w:jc w:val="left"/>
              <w:rPr>
                <w:rFonts w:ascii="仿宋_GB2312" w:eastAsia="仿宋_GB2312"/>
                <w:szCs w:val="21"/>
              </w:rPr>
            </w:pPr>
            <w:r>
              <w:rPr>
                <w:rFonts w:hint="eastAsia" w:ascii="仿宋_GB2312" w:eastAsia="仿宋_GB2312"/>
                <w:szCs w:val="21"/>
              </w:rPr>
              <w:t>认真处理劳动争议案件，维护劳动者合法权益</w:t>
            </w:r>
          </w:p>
          <w:p>
            <w:pPr>
              <w:spacing w:line="300" w:lineRule="exact"/>
              <w:jc w:val="left"/>
              <w:rPr>
                <w:rFonts w:ascii="仿宋_GB2312" w:eastAsia="仿宋_GB2312"/>
                <w:szCs w:val="21"/>
              </w:rPr>
            </w:pPr>
            <w:r>
              <w:rPr>
                <w:rFonts w:hint="eastAsia" w:ascii="仿宋_GB2312" w:eastAsia="仿宋_GB2312"/>
                <w:szCs w:val="21"/>
              </w:rPr>
              <w:t>认真处理劳动争议案件，维护劳动者合法权益</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1、劳动争议事务管理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组织和实施劳动争议的调解、仲裁。</w:t>
            </w:r>
          </w:p>
          <w:p>
            <w:pPr>
              <w:spacing w:line="300" w:lineRule="exact"/>
              <w:jc w:val="left"/>
              <w:rPr>
                <w:rFonts w:ascii="仿宋_GB2312" w:eastAsia="仿宋_GB2312"/>
                <w:szCs w:val="21"/>
              </w:rPr>
            </w:pPr>
            <w:r>
              <w:rPr>
                <w:rFonts w:hint="eastAsia" w:ascii="仿宋_GB2312" w:eastAsia="仿宋_GB2312"/>
                <w:szCs w:val="21"/>
              </w:rPr>
              <w:t>组织和实施劳动争议的调解、仲裁。</w:t>
            </w:r>
          </w:p>
          <w:p>
            <w:pPr>
              <w:spacing w:line="300" w:lineRule="exact"/>
              <w:jc w:val="left"/>
              <w:rPr>
                <w:rFonts w:ascii="仿宋_GB2312" w:eastAsia="仿宋_GB2312"/>
                <w:szCs w:val="21"/>
              </w:rPr>
            </w:pPr>
            <w:r>
              <w:rPr>
                <w:rFonts w:hint="eastAsia" w:ascii="仿宋_GB2312" w:eastAsia="仿宋_GB2312"/>
                <w:szCs w:val="21"/>
              </w:rPr>
              <w:t>组织和实施劳动争议的调解、仲裁。</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 xml:space="preserve"> 提高调解仲裁办案质量。</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劳动仲裁完成率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劳动仲裁到期结案率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劳动仲裁进度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70%以下</w:t>
            </w:r>
          </w:p>
        </w:tc>
      </w:tr>
    </w:tbl>
    <w:p>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bookmarkEnd w:id="2"/>
    <w:p>
      <w:pPr>
        <w:autoSpaceDE w:val="0"/>
        <w:autoSpaceDN w:val="0"/>
        <w:adjustRightInd w:val="0"/>
        <w:spacing w:line="584" w:lineRule="exact"/>
        <w:ind w:firstLine="627" w:firstLineChars="196"/>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3" w:name="_Toc471398468"/>
      <w:r>
        <w:rPr>
          <w:rFonts w:ascii="Times New Roman" w:hAnsi="Times New Roman" w:eastAsia="仿宋_GB2312" w:cs="Times New Roman"/>
          <w:sz w:val="32"/>
          <w:szCs w:val="24"/>
        </w:rPr>
        <w:t>201</w:t>
      </w:r>
      <w:r>
        <w:rPr>
          <w:rFonts w:hint="eastAsia" w:ascii="Times New Roman" w:hAnsi="Times New Roman" w:eastAsia="仿宋_GB2312" w:cs="Times New Roman"/>
          <w:sz w:val="32"/>
          <w:szCs w:val="24"/>
        </w:rPr>
        <w:t>9</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3"/>
    <w:p>
      <w:pPr>
        <w:spacing w:line="584" w:lineRule="exact"/>
        <w:jc w:val="center"/>
        <w:outlineLvl w:val="0"/>
        <w:rPr>
          <w:rFonts w:ascii="Times New Roman" w:hAnsi="Times New Roman" w:eastAsia="仿宋_GB2312" w:cs="Times New Roman"/>
          <w:sz w:val="32"/>
        </w:rPr>
      </w:pPr>
      <w:bookmarkStart w:id="4" w:name="_Toc504489153"/>
      <w:r>
        <w:rPr>
          <w:rFonts w:ascii="Times New Roman" w:hAnsi="Times New Roman" w:eastAsia="仿宋_GB2312" w:cs="Times New Roman"/>
          <w:sz w:val="32"/>
        </w:rPr>
        <w:t>部门政府采购预算</w:t>
      </w:r>
      <w:bookmarkEnd w:id="4"/>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6"/>
        <w:gridCol w:w="1057"/>
        <w:gridCol w:w="932"/>
        <w:gridCol w:w="1372"/>
        <w:gridCol w:w="720"/>
        <w:gridCol w:w="740"/>
        <w:gridCol w:w="950"/>
        <w:gridCol w:w="956"/>
        <w:gridCol w:w="956"/>
        <w:gridCol w:w="956"/>
        <w:gridCol w:w="790"/>
        <w:gridCol w:w="924"/>
        <w:gridCol w:w="929"/>
        <w:gridCol w:w="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6"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仿宋_GB2312" w:hAnsi="Times New Roman" w:eastAsia="仿宋_GB2312" w:cs="Times New Roman"/>
                <w:sz w:val="24"/>
              </w:rPr>
            </w:pPr>
            <w:r>
              <w:rPr>
                <w:rFonts w:hint="eastAsia" w:ascii="仿宋_GB2312" w:hAnsi="Times New Roman" w:eastAsia="仿宋_GB2312" w:cs="Times New Roman"/>
                <w:sz w:val="24"/>
              </w:rPr>
              <w:t>233廊坊市广阳区人力资源和社会保障局</w:t>
            </w:r>
          </w:p>
        </w:tc>
        <w:tc>
          <w:tcPr>
            <w:tcW w:w="2194"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仿宋_GB2312" w:hAnsi="Times New Roman" w:eastAsia="仿宋_GB2312" w:cs="Times New Roman"/>
                <w:sz w:val="24"/>
              </w:rPr>
            </w:pPr>
            <w:r>
              <w:rPr>
                <w:rFonts w:hint="eastAsia" w:ascii="仿宋_GB2312"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89"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2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4" w:type="pct"/>
            <w:gridSpan w:val="7"/>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项目名称</w:t>
            </w:r>
          </w:p>
        </w:tc>
        <w:tc>
          <w:tcPr>
            <w:tcW w:w="363"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预算资金</w:t>
            </w: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总计</w:t>
            </w:r>
          </w:p>
        </w:tc>
        <w:tc>
          <w:tcPr>
            <w:tcW w:w="1563" w:type="pct"/>
            <w:gridSpan w:val="5"/>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当年部门预算安排资金</w:t>
            </w:r>
          </w:p>
        </w:tc>
        <w:tc>
          <w:tcPr>
            <w:tcW w:w="302"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63"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271"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17"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19"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其他来源收入</w:t>
            </w:r>
          </w:p>
        </w:tc>
        <w:tc>
          <w:tcPr>
            <w:tcW w:w="302"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3"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271" w:type="pct"/>
            <w:shd w:val="clear" w:color="auto" w:fill="auto"/>
            <w:vAlign w:val="center"/>
          </w:tcPr>
          <w:p>
            <w:pPr>
              <w:spacing w:line="584" w:lineRule="exact"/>
              <w:jc w:val="right"/>
              <w:rPr>
                <w:rFonts w:ascii="Times New Roman" w:hAnsi="Times New Roman" w:eastAsia="仿宋_GB2312" w:cs="Times New Roman"/>
                <w:b/>
              </w:rPr>
            </w:pPr>
          </w:p>
        </w:tc>
        <w:tc>
          <w:tcPr>
            <w:tcW w:w="317" w:type="pct"/>
            <w:shd w:val="clear" w:color="auto" w:fill="auto"/>
            <w:vAlign w:val="center"/>
          </w:tcPr>
          <w:p>
            <w:pPr>
              <w:spacing w:line="584" w:lineRule="exact"/>
              <w:jc w:val="right"/>
              <w:rPr>
                <w:rFonts w:ascii="Times New Roman" w:hAnsi="Times New Roman" w:eastAsia="仿宋_GB2312" w:cs="Times New Roman"/>
                <w:b/>
              </w:rPr>
            </w:pPr>
          </w:p>
        </w:tc>
        <w:tc>
          <w:tcPr>
            <w:tcW w:w="319" w:type="pct"/>
            <w:shd w:val="clear" w:color="auto" w:fill="auto"/>
            <w:vAlign w:val="center"/>
          </w:tcPr>
          <w:p>
            <w:pPr>
              <w:spacing w:line="584" w:lineRule="exact"/>
              <w:jc w:val="right"/>
              <w:rPr>
                <w:rFonts w:ascii="Times New Roman" w:hAnsi="Times New Roman" w:eastAsia="仿宋_GB2312" w:cs="Times New Roman"/>
                <w:b/>
              </w:rPr>
            </w:pPr>
          </w:p>
        </w:tc>
        <w:tc>
          <w:tcPr>
            <w:tcW w:w="302"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p>
        </w:tc>
        <w:tc>
          <w:tcPr>
            <w:tcW w:w="363"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271" w:type="pct"/>
            <w:shd w:val="clear" w:color="auto" w:fill="auto"/>
            <w:vAlign w:val="center"/>
          </w:tcPr>
          <w:p>
            <w:pPr>
              <w:spacing w:line="584" w:lineRule="exact"/>
              <w:jc w:val="right"/>
              <w:rPr>
                <w:rFonts w:ascii="Times New Roman" w:hAnsi="Times New Roman" w:eastAsia="仿宋_GB2312" w:cs="Times New Roman"/>
                <w:b/>
              </w:rPr>
            </w:pPr>
          </w:p>
        </w:tc>
        <w:tc>
          <w:tcPr>
            <w:tcW w:w="317" w:type="pct"/>
            <w:shd w:val="clear" w:color="auto" w:fill="auto"/>
            <w:vAlign w:val="center"/>
          </w:tcPr>
          <w:p>
            <w:pPr>
              <w:spacing w:line="584" w:lineRule="exact"/>
              <w:jc w:val="right"/>
              <w:rPr>
                <w:rFonts w:ascii="Times New Roman" w:hAnsi="Times New Roman" w:eastAsia="仿宋_GB2312" w:cs="Times New Roman"/>
                <w:b/>
              </w:rPr>
            </w:pPr>
          </w:p>
        </w:tc>
        <w:tc>
          <w:tcPr>
            <w:tcW w:w="319" w:type="pct"/>
            <w:shd w:val="clear" w:color="auto" w:fill="auto"/>
            <w:vAlign w:val="center"/>
          </w:tcPr>
          <w:p>
            <w:pPr>
              <w:spacing w:line="584" w:lineRule="exact"/>
              <w:jc w:val="right"/>
              <w:rPr>
                <w:rFonts w:ascii="Times New Roman" w:hAnsi="Times New Roman" w:eastAsia="仿宋_GB2312" w:cs="Times New Roman"/>
                <w:b/>
              </w:rPr>
            </w:pPr>
          </w:p>
        </w:tc>
        <w:tc>
          <w:tcPr>
            <w:tcW w:w="302"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广阳区人力资源和社会保障局</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822.68</w:t>
      </w:r>
      <w:r>
        <w:rPr>
          <w:rFonts w:ascii="Times New Roman" w:hAnsi="Times New Roman" w:eastAsia="仿宋_GB2312" w:cs="Times New Roman"/>
          <w:sz w:val="32"/>
          <w:szCs w:val="32"/>
        </w:rPr>
        <w:t>万元，本年度我部门无拟购置固定资。详见下表。</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233</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广阳区人力资源和社会保障局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8</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仿宋_GB2312" w:hAnsi="Times New Roman" w:eastAsia="仿宋_GB2312" w:cs="Times New Roman"/>
                <w:kern w:val="0"/>
                <w:sz w:val="22"/>
              </w:rPr>
            </w:pPr>
            <w:r>
              <w:rPr>
                <w:rFonts w:hint="eastAsia" w:ascii="仿宋_GB2312"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822.68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1200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55.16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750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47.44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94.09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914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673.43</w:t>
            </w:r>
          </w:p>
        </w:tc>
      </w:tr>
    </w:tbl>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p>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18</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docPartObj>
        <w:docPartGallery w:val="autotext"/>
      </w:docPartObj>
    </w:sdtPr>
    <w:sdtContent>
      <w:p>
        <w:pPr>
          <w:pStyle w:val="3"/>
          <w:jc w:val="center"/>
        </w:pPr>
        <w:r>
          <w:fldChar w:fldCharType="begin"/>
        </w:r>
        <w:r>
          <w:instrText xml:space="preserve">PAGE   \* MERGEFORMAT</w:instrText>
        </w:r>
        <w:r>
          <w:fldChar w:fldCharType="separate"/>
        </w:r>
        <w:r>
          <w:rPr>
            <w:lang w:val="zh-CN"/>
          </w:rPr>
          <w:t>16</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997EEA"/>
    <w:multiLevelType w:val="multilevel"/>
    <w:tmpl w:val="43997EEA"/>
    <w:lvl w:ilvl="0" w:tentative="0">
      <w:start w:val="1"/>
      <w:numFmt w:val="japaneseCounting"/>
      <w:lvlText w:val="（%1）"/>
      <w:lvlJc w:val="left"/>
      <w:pPr>
        <w:ind w:left="1725" w:hanging="1080"/>
      </w:pPr>
      <w:rPr>
        <w:rFonts w:hint="default" w:ascii="仿宋_GB2312" w:eastAsia="仿宋_GB2312"/>
        <w:b w:val="0"/>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53CC"/>
    <w:rsid w:val="00014D19"/>
    <w:rsid w:val="00025996"/>
    <w:rsid w:val="00037AF6"/>
    <w:rsid w:val="000410F2"/>
    <w:rsid w:val="0004565F"/>
    <w:rsid w:val="00072187"/>
    <w:rsid w:val="00075D5F"/>
    <w:rsid w:val="0008180F"/>
    <w:rsid w:val="00093DA3"/>
    <w:rsid w:val="000B1F01"/>
    <w:rsid w:val="000B529B"/>
    <w:rsid w:val="000C24E6"/>
    <w:rsid w:val="000C3A19"/>
    <w:rsid w:val="000E4305"/>
    <w:rsid w:val="000F0645"/>
    <w:rsid w:val="000F0D09"/>
    <w:rsid w:val="0012192E"/>
    <w:rsid w:val="001245BB"/>
    <w:rsid w:val="001251A3"/>
    <w:rsid w:val="0015229A"/>
    <w:rsid w:val="00160266"/>
    <w:rsid w:val="001643E8"/>
    <w:rsid w:val="00176C13"/>
    <w:rsid w:val="001919C4"/>
    <w:rsid w:val="0019723B"/>
    <w:rsid w:val="001A0943"/>
    <w:rsid w:val="001B5C1D"/>
    <w:rsid w:val="001E0757"/>
    <w:rsid w:val="001E6DDC"/>
    <w:rsid w:val="001E70E9"/>
    <w:rsid w:val="001F5C92"/>
    <w:rsid w:val="001F7873"/>
    <w:rsid w:val="002026E8"/>
    <w:rsid w:val="00230E48"/>
    <w:rsid w:val="00241FD4"/>
    <w:rsid w:val="00244741"/>
    <w:rsid w:val="00246317"/>
    <w:rsid w:val="00251B12"/>
    <w:rsid w:val="00256612"/>
    <w:rsid w:val="00264274"/>
    <w:rsid w:val="00265318"/>
    <w:rsid w:val="00265BDC"/>
    <w:rsid w:val="00265F39"/>
    <w:rsid w:val="002835D7"/>
    <w:rsid w:val="00290FD6"/>
    <w:rsid w:val="00292821"/>
    <w:rsid w:val="00296113"/>
    <w:rsid w:val="002A673A"/>
    <w:rsid w:val="002C5E13"/>
    <w:rsid w:val="002C62BC"/>
    <w:rsid w:val="002E0EB8"/>
    <w:rsid w:val="002F3E58"/>
    <w:rsid w:val="0030542C"/>
    <w:rsid w:val="00311B7A"/>
    <w:rsid w:val="003126B6"/>
    <w:rsid w:val="00313D9C"/>
    <w:rsid w:val="003251BA"/>
    <w:rsid w:val="00325215"/>
    <w:rsid w:val="0033339C"/>
    <w:rsid w:val="00335660"/>
    <w:rsid w:val="00335E62"/>
    <w:rsid w:val="00356208"/>
    <w:rsid w:val="00372E09"/>
    <w:rsid w:val="00393A5F"/>
    <w:rsid w:val="003B5704"/>
    <w:rsid w:val="003B6D37"/>
    <w:rsid w:val="003E4EF5"/>
    <w:rsid w:val="00414BD3"/>
    <w:rsid w:val="00424943"/>
    <w:rsid w:val="0042727E"/>
    <w:rsid w:val="0043175C"/>
    <w:rsid w:val="00437296"/>
    <w:rsid w:val="00451590"/>
    <w:rsid w:val="00451871"/>
    <w:rsid w:val="004556C9"/>
    <w:rsid w:val="00456C7B"/>
    <w:rsid w:val="004650AA"/>
    <w:rsid w:val="004706DE"/>
    <w:rsid w:val="00472923"/>
    <w:rsid w:val="00484B06"/>
    <w:rsid w:val="00486DCD"/>
    <w:rsid w:val="0049120C"/>
    <w:rsid w:val="004B0C3A"/>
    <w:rsid w:val="004C49A8"/>
    <w:rsid w:val="004C58D3"/>
    <w:rsid w:val="004D5788"/>
    <w:rsid w:val="004E3066"/>
    <w:rsid w:val="004E31AA"/>
    <w:rsid w:val="004E419C"/>
    <w:rsid w:val="004E74CD"/>
    <w:rsid w:val="00524EFD"/>
    <w:rsid w:val="00572067"/>
    <w:rsid w:val="00573562"/>
    <w:rsid w:val="00590ECE"/>
    <w:rsid w:val="005A7128"/>
    <w:rsid w:val="005C0E90"/>
    <w:rsid w:val="005D0C27"/>
    <w:rsid w:val="005D1E2B"/>
    <w:rsid w:val="005D37CA"/>
    <w:rsid w:val="005F5714"/>
    <w:rsid w:val="005F7AE1"/>
    <w:rsid w:val="00611D03"/>
    <w:rsid w:val="00614A29"/>
    <w:rsid w:val="00651BA2"/>
    <w:rsid w:val="00654FB9"/>
    <w:rsid w:val="00673D76"/>
    <w:rsid w:val="006854F0"/>
    <w:rsid w:val="006B1C4A"/>
    <w:rsid w:val="006B610D"/>
    <w:rsid w:val="006C206A"/>
    <w:rsid w:val="006E49F5"/>
    <w:rsid w:val="006F2894"/>
    <w:rsid w:val="007013C8"/>
    <w:rsid w:val="00727C84"/>
    <w:rsid w:val="007405BF"/>
    <w:rsid w:val="0074338E"/>
    <w:rsid w:val="00753836"/>
    <w:rsid w:val="0075393C"/>
    <w:rsid w:val="00754592"/>
    <w:rsid w:val="00776C08"/>
    <w:rsid w:val="00782EFD"/>
    <w:rsid w:val="00790ABF"/>
    <w:rsid w:val="007B49AA"/>
    <w:rsid w:val="007C219A"/>
    <w:rsid w:val="007E1DA8"/>
    <w:rsid w:val="007E4B05"/>
    <w:rsid w:val="007F1335"/>
    <w:rsid w:val="007F6C26"/>
    <w:rsid w:val="00800F72"/>
    <w:rsid w:val="00803D65"/>
    <w:rsid w:val="00811795"/>
    <w:rsid w:val="00813208"/>
    <w:rsid w:val="00815157"/>
    <w:rsid w:val="0083348E"/>
    <w:rsid w:val="008334AE"/>
    <w:rsid w:val="00836FED"/>
    <w:rsid w:val="0083724E"/>
    <w:rsid w:val="00841D53"/>
    <w:rsid w:val="00843DF8"/>
    <w:rsid w:val="00845CD2"/>
    <w:rsid w:val="00852B0D"/>
    <w:rsid w:val="0085425A"/>
    <w:rsid w:val="00862CE4"/>
    <w:rsid w:val="00864B7F"/>
    <w:rsid w:val="0087325A"/>
    <w:rsid w:val="00881692"/>
    <w:rsid w:val="00882539"/>
    <w:rsid w:val="008858FF"/>
    <w:rsid w:val="008875B4"/>
    <w:rsid w:val="008A2459"/>
    <w:rsid w:val="008A6576"/>
    <w:rsid w:val="008B3CC5"/>
    <w:rsid w:val="008B52CD"/>
    <w:rsid w:val="008C7C4D"/>
    <w:rsid w:val="008D3CA1"/>
    <w:rsid w:val="008E4261"/>
    <w:rsid w:val="008E70D4"/>
    <w:rsid w:val="008F4662"/>
    <w:rsid w:val="0090563F"/>
    <w:rsid w:val="00905D08"/>
    <w:rsid w:val="00925753"/>
    <w:rsid w:val="00927389"/>
    <w:rsid w:val="00937F8B"/>
    <w:rsid w:val="009425F4"/>
    <w:rsid w:val="00943BD8"/>
    <w:rsid w:val="00954B2C"/>
    <w:rsid w:val="00966C5C"/>
    <w:rsid w:val="009676A1"/>
    <w:rsid w:val="00973104"/>
    <w:rsid w:val="009842F6"/>
    <w:rsid w:val="00984E9A"/>
    <w:rsid w:val="00985425"/>
    <w:rsid w:val="00995BF0"/>
    <w:rsid w:val="00996540"/>
    <w:rsid w:val="009A0F15"/>
    <w:rsid w:val="009A16D5"/>
    <w:rsid w:val="009A353D"/>
    <w:rsid w:val="009B0B77"/>
    <w:rsid w:val="009B511E"/>
    <w:rsid w:val="009B5215"/>
    <w:rsid w:val="009C6C86"/>
    <w:rsid w:val="009D37D3"/>
    <w:rsid w:val="009D3807"/>
    <w:rsid w:val="009D4F0C"/>
    <w:rsid w:val="00A16E6C"/>
    <w:rsid w:val="00A37CC1"/>
    <w:rsid w:val="00A40F60"/>
    <w:rsid w:val="00A44E3D"/>
    <w:rsid w:val="00A72D2E"/>
    <w:rsid w:val="00A74447"/>
    <w:rsid w:val="00A74CE5"/>
    <w:rsid w:val="00A77500"/>
    <w:rsid w:val="00A8536F"/>
    <w:rsid w:val="00A911E7"/>
    <w:rsid w:val="00A939D9"/>
    <w:rsid w:val="00AB25A3"/>
    <w:rsid w:val="00AB334D"/>
    <w:rsid w:val="00AB77AA"/>
    <w:rsid w:val="00AC0E98"/>
    <w:rsid w:val="00AC4748"/>
    <w:rsid w:val="00AD2DED"/>
    <w:rsid w:val="00AD5259"/>
    <w:rsid w:val="00B01D36"/>
    <w:rsid w:val="00B078CD"/>
    <w:rsid w:val="00B20712"/>
    <w:rsid w:val="00B40832"/>
    <w:rsid w:val="00B43238"/>
    <w:rsid w:val="00B45DD3"/>
    <w:rsid w:val="00B52D29"/>
    <w:rsid w:val="00B54B90"/>
    <w:rsid w:val="00B6358B"/>
    <w:rsid w:val="00B64FA8"/>
    <w:rsid w:val="00B73582"/>
    <w:rsid w:val="00B75216"/>
    <w:rsid w:val="00B755A2"/>
    <w:rsid w:val="00B9104C"/>
    <w:rsid w:val="00B91D52"/>
    <w:rsid w:val="00B9490F"/>
    <w:rsid w:val="00BA1ACD"/>
    <w:rsid w:val="00BD09F8"/>
    <w:rsid w:val="00BE356A"/>
    <w:rsid w:val="00BE7C21"/>
    <w:rsid w:val="00C005B2"/>
    <w:rsid w:val="00C1565C"/>
    <w:rsid w:val="00C21E0F"/>
    <w:rsid w:val="00C24A85"/>
    <w:rsid w:val="00C362CA"/>
    <w:rsid w:val="00C37A99"/>
    <w:rsid w:val="00C45CEA"/>
    <w:rsid w:val="00C772C1"/>
    <w:rsid w:val="00C93D22"/>
    <w:rsid w:val="00C963AB"/>
    <w:rsid w:val="00CA7176"/>
    <w:rsid w:val="00CB51D7"/>
    <w:rsid w:val="00CC75B0"/>
    <w:rsid w:val="00CD2773"/>
    <w:rsid w:val="00CE01BA"/>
    <w:rsid w:val="00CE143B"/>
    <w:rsid w:val="00CE3A91"/>
    <w:rsid w:val="00D07DBA"/>
    <w:rsid w:val="00D23C16"/>
    <w:rsid w:val="00D24F45"/>
    <w:rsid w:val="00D27003"/>
    <w:rsid w:val="00D324AD"/>
    <w:rsid w:val="00D82676"/>
    <w:rsid w:val="00D9307A"/>
    <w:rsid w:val="00DA0EC6"/>
    <w:rsid w:val="00DB4322"/>
    <w:rsid w:val="00DD1D0C"/>
    <w:rsid w:val="00DE186D"/>
    <w:rsid w:val="00E167C7"/>
    <w:rsid w:val="00E440CF"/>
    <w:rsid w:val="00E53BF5"/>
    <w:rsid w:val="00E55B78"/>
    <w:rsid w:val="00E76361"/>
    <w:rsid w:val="00E84020"/>
    <w:rsid w:val="00EB7A80"/>
    <w:rsid w:val="00EC47F6"/>
    <w:rsid w:val="00EE6D6D"/>
    <w:rsid w:val="00EF08C9"/>
    <w:rsid w:val="00EF535E"/>
    <w:rsid w:val="00F0335E"/>
    <w:rsid w:val="00F15CF0"/>
    <w:rsid w:val="00F471F7"/>
    <w:rsid w:val="00F66032"/>
    <w:rsid w:val="00F701EF"/>
    <w:rsid w:val="00F83B96"/>
    <w:rsid w:val="00F8441D"/>
    <w:rsid w:val="00F87C1E"/>
    <w:rsid w:val="00F958C2"/>
    <w:rsid w:val="00FA740E"/>
    <w:rsid w:val="00FB138A"/>
    <w:rsid w:val="00FC06C7"/>
    <w:rsid w:val="00FD5DB4"/>
    <w:rsid w:val="00FE1724"/>
    <w:rsid w:val="00FE753C"/>
    <w:rsid w:val="00FF2346"/>
    <w:rsid w:val="1207586F"/>
    <w:rsid w:val="49221C97"/>
    <w:rsid w:val="73A76B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5"/>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footnote reference"/>
    <w:semiHidden/>
    <w:unhideWhenUsed/>
    <w:qFormat/>
    <w:uiPriority w:val="99"/>
    <w:rPr>
      <w:vertAlign w:val="superscript"/>
    </w:rPr>
  </w:style>
  <w:style w:type="character" w:customStyle="1" w:styleId="11">
    <w:name w:val="页眉 Char"/>
    <w:basedOn w:val="9"/>
    <w:link w:val="4"/>
    <w:qFormat/>
    <w:uiPriority w:val="99"/>
    <w:rPr>
      <w:rFonts w:ascii="Times New Roman" w:hAnsi="Times New Roman" w:eastAsia="宋体" w:cs="Times New Roman"/>
      <w:sz w:val="18"/>
      <w:szCs w:val="18"/>
    </w:rPr>
  </w:style>
  <w:style w:type="character" w:customStyle="1" w:styleId="12">
    <w:name w:val="页脚 Char"/>
    <w:basedOn w:val="9"/>
    <w:link w:val="3"/>
    <w:qFormat/>
    <w:uiPriority w:val="99"/>
    <w:rPr>
      <w:rFonts w:ascii="Times New Roman" w:hAnsi="Times New Roman" w:eastAsia="宋体" w:cs="Times New Roman"/>
      <w:sz w:val="18"/>
      <w:szCs w:val="18"/>
    </w:rPr>
  </w:style>
  <w:style w:type="character" w:customStyle="1" w:styleId="13">
    <w:name w:val="批注框文本 Char"/>
    <w:basedOn w:val="9"/>
    <w:link w:val="2"/>
    <w:semiHidden/>
    <w:qFormat/>
    <w:uiPriority w:val="99"/>
    <w:rPr>
      <w:sz w:val="18"/>
      <w:szCs w:val="18"/>
    </w:rPr>
  </w:style>
  <w:style w:type="paragraph" w:customStyle="1" w:styleId="14">
    <w:name w:val="Defaul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脚注文本 Char"/>
    <w:basedOn w:val="9"/>
    <w:link w:val="6"/>
    <w:semiHidden/>
    <w:qFormat/>
    <w:uiPriority w:val="99"/>
    <w:rPr>
      <w:rFonts w:ascii="Calibri" w:hAnsi="Calibri" w:eastAsia="宋体" w:cs="Times New Roman"/>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FACE4-B8A7-4F4A-B618-7F7E73A8866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1255</Words>
  <Characters>7155</Characters>
  <Lines>59</Lines>
  <Paragraphs>16</Paragraphs>
  <TotalTime>732</TotalTime>
  <ScaleCrop>false</ScaleCrop>
  <LinksUpToDate>false</LinksUpToDate>
  <CharactersWithSpaces>8394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Administrator</cp:lastModifiedBy>
  <cp:lastPrinted>2019-02-18T02:45:00Z</cp:lastPrinted>
  <dcterms:modified xsi:type="dcterms:W3CDTF">2024-01-17T09:09:54Z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914B48DD6C1A41858CCAD9DC2C32A2B8</vt:lpwstr>
  </property>
</Properties>
</file>