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廊坊市广阳区人民政府办公室2019年部门预算信息公开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中华人民共和国</w:t>
      </w:r>
      <w:bookmarkStart w:id="4" w:name="_GoBack"/>
      <w:bookmarkEnd w:id="4"/>
      <w:r>
        <w:rPr>
          <w:rFonts w:hint="eastAsia" w:ascii="仿宋_GB2312" w:hAnsi="Times New Roman" w:eastAsia="仿宋_GB2312" w:cs="Times New Roman"/>
          <w:sz w:val="32"/>
          <w:szCs w:val="32"/>
        </w:rPr>
        <w:t>预算法》、《地方预决算公开操作规程》和《河北省省级预算公开办法》规定，现将廊坊市广阳区人民政府办公室2019年部门预算公开如下：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1、围绕区政府各时期的中心工作和重点工作，加强调查研究，及时了解、掌握经济和社会发展动态，及时反应信息情况，提出建议。</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2、负责区政府各种会议的准备工作，协助区政领导同志组织各类会议。</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3、负责区政府重要文、电的起草、审核把关和政府机关的文书处理工作；负责区政府机关的档案管理、印信管理和保密工作。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4、负责区政府工作报告、领导同志重要讲话及其他重要材料的起草、修改工作。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5、根据工作需要，负责与区委、人大、政协、纪委、中省直驻廊单位和驻廊部队的联系；协调乡镇、街办处、部门之间的关系和工作，对重要的问题提出处理意见，报区政府领导审定。</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6、督促检查区政府各部门、各乡镇人民政府、街道办事处对省政府、市政府、区政府重要文件，区政府会议决定事项及区政府领导同志重要批示的执行、落实情况，并向区政府领导同志报告。</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7、负责区政府机关值班工作，及时向区政府领导同志报告重要情况，协助领导同志组织处理突发事件、重大灾情和重大事故。</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8、负责全国、省、市、区人大代表建议、批评、意见及全国、省、市、区政协提案的办理工作。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9、负责区政府外宾、内宾接待，公务接待工作。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10、负责经济体制改革工作，负责区政府机关事务管理工作。</w:t>
      </w:r>
    </w:p>
    <w:p>
      <w:pPr>
        <w:spacing w:line="586" w:lineRule="exact"/>
        <w:ind w:firstLine="570"/>
        <w:rPr>
          <w:rFonts w:ascii="仿宋_GB2312" w:eastAsia="仿宋_GB2312"/>
          <w:sz w:val="32"/>
          <w:szCs w:val="32"/>
        </w:rPr>
      </w:pPr>
      <w:r>
        <w:rPr>
          <w:rFonts w:hint="eastAsia" w:ascii="仿宋_GB2312" w:eastAsia="仿宋_GB2312"/>
          <w:sz w:val="32"/>
          <w:szCs w:val="32"/>
        </w:rPr>
        <w:t>11、负责全区民族宗教工作；负责全区法制工作。</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12、办理区政府领导交办的其他事项。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b/>
                <w:szCs w:val="21"/>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b/>
                <w:szCs w:val="21"/>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b/>
                <w:szCs w:val="21"/>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廊坊市广阳区人民政府办公室</w:t>
            </w:r>
          </w:p>
        </w:tc>
        <w:tc>
          <w:tcPr>
            <w:tcW w:w="1134"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行政单位</w:t>
            </w:r>
          </w:p>
        </w:tc>
        <w:tc>
          <w:tcPr>
            <w:tcW w:w="1276"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正科级</w:t>
            </w:r>
          </w:p>
        </w:tc>
        <w:tc>
          <w:tcPr>
            <w:tcW w:w="2902"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广阳区人民政府办公室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反映本部门当年全部收入。2019年预算收入1423.1万元，其中：一般公共预算收入1423.1万元，基金预算收入0万元，财政专户核拨收入0万元，其他来源收入0万元。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廊坊市广阳区人民政府办公室年度部门预算中支出预算的总体情况。2019年支出预算1423.1万元，其中基本支出1263.82万元，包括人员经费1078.19万元和日常公用经费185.63万元；项目支出159.28万元，包括本级支出159.28万元，主要为一招人员工资及保险、归国华侨生活补贴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left="319" w:leftChars="152" w:firstLine="652" w:firstLineChars="204"/>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2019年预算收支安排1423.1万元，较2018年预算减少469.58万元，其中：基本支出增加103.9万元，主要为工资福利支出；项目支出减少573.48万元，主要为根据政府办实际工作进展情况要求，压减项目支出。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2019年，我部门机关运行经费共计安排5.74万元，主要用于区政府办公楼办公区的日常维修、办公用房水电费、办公用房取暖费、办公用房物业管理费等日常运行支出。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2019年，我部门财政拨款“三公”经费预算安排91.3万元。其中，因公出国（境）费0万元；公务用车购置及运维费15.3万元（其中：公务用车购置费为0万元，公务用车运维费15.3万元)；公务接待费76万元。与2018年相比</w:t>
      </w:r>
      <w:r>
        <w:rPr>
          <w:rFonts w:hint="eastAsia" w:ascii="仿宋_GB2312" w:hAnsi="Times New Roman" w:eastAsia="仿宋_GB2312" w:cs="Times New Roman"/>
          <w:color w:val="000000" w:themeColor="text1"/>
          <w:sz w:val="32"/>
          <w:szCs w:val="32"/>
        </w:rPr>
        <w:t>减少</w:t>
      </w:r>
      <w:r>
        <w:rPr>
          <w:rFonts w:hint="eastAsia" w:ascii="仿宋_GB2312" w:hAnsi="Times New Roman" w:eastAsia="仿宋_GB2312" w:cs="Times New Roman"/>
          <w:sz w:val="32"/>
          <w:szCs w:val="32"/>
        </w:rPr>
        <w:t>49.8万元，其中，公务用车购置及运维费减少</w:t>
      </w:r>
      <w:r>
        <w:rPr>
          <w:rFonts w:hint="eastAsia" w:ascii="仿宋_GB2312" w:hAnsi="Times New Roman" w:eastAsia="仿宋_GB2312" w:cs="Times New Roman"/>
          <w:color w:val="000000" w:themeColor="text1"/>
          <w:sz w:val="32"/>
          <w:szCs w:val="32"/>
        </w:rPr>
        <w:t>45.8</w:t>
      </w:r>
      <w:r>
        <w:rPr>
          <w:rFonts w:hint="eastAsia" w:ascii="仿宋_GB2312" w:hAnsi="Times New Roman" w:eastAsia="仿宋_GB2312" w:cs="Times New Roman"/>
          <w:sz w:val="32"/>
          <w:szCs w:val="32"/>
        </w:rPr>
        <w:t>万元（其中：公务用车购置费减少</w:t>
      </w:r>
      <w:r>
        <w:rPr>
          <w:rFonts w:hint="eastAsia" w:ascii="仿宋_GB2312" w:hAnsi="Times New Roman" w:eastAsia="仿宋_GB2312" w:cs="Times New Roman"/>
          <w:color w:val="000000" w:themeColor="text1"/>
          <w:sz w:val="32"/>
          <w:szCs w:val="32"/>
        </w:rPr>
        <w:t>45</w:t>
      </w:r>
      <w:r>
        <w:rPr>
          <w:rFonts w:hint="eastAsia" w:ascii="仿宋_GB2312" w:hAnsi="Times New Roman" w:eastAsia="仿宋_GB2312" w:cs="Times New Roman"/>
          <w:sz w:val="32"/>
          <w:szCs w:val="32"/>
        </w:rPr>
        <w:t>万元，公务用车运维费减少0.8万元)，主要原因是我部门切实落实勤俭节约各项规定，压减公车运行经费支出；公务接待费减少4万元，主要原因是我部门切实落实勤俭节约各项规定，严格控制公务接待费支出。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firstLineChars="175"/>
        <w:rPr>
          <w:rFonts w:ascii="仿宋_GB2312" w:eastAsia="仿宋_GB2312"/>
          <w:sz w:val="32"/>
          <w:szCs w:val="32"/>
        </w:rPr>
      </w:pPr>
      <w:r>
        <w:rPr>
          <w:rFonts w:hint="eastAsia" w:ascii="仿宋_GB2312" w:hAnsi="宋体" w:eastAsia="仿宋_GB2312"/>
          <w:sz w:val="32"/>
          <w:szCs w:val="32"/>
        </w:rPr>
        <w:t>党的十九大全面开启了中国特色社会主义新时代，发出了决胜全面建成小康社会的动员令。区委五届三次全会深入贯彻党的十九大精神和省、市的决策部署，站在新的历史起点上，综合分析了我区当前面临的形势，做出了广阳正处在迈向高质量发展临界点的科学判断。从宏观形势讲：党的十九大为我们绘就了新时代的新坐标、新蓝图，特别是在习近平新时代中国特色社会主义思想的光辉引领下，全国新一轮高质量发展的热潮正在掀起，一系列重大改革措施密集出台，乘势而上、机不可失。从现实条件看：京津冀协同纵深发展，新机场和临空经济区快速推进，雄安新区迅速崛起，将使广阳的区位优势进一步凸显，历史性机遇正在一项项转化为助推广阳发展提质增速的现实动力，加快发展，时不我待。从我区情况看：</w:t>
      </w:r>
      <w:r>
        <w:rPr>
          <w:rFonts w:hint="eastAsia" w:ascii="仿宋_GB2312" w:eastAsia="仿宋_GB2312"/>
          <w:sz w:val="32"/>
          <w:szCs w:val="32"/>
        </w:rPr>
        <w:t>2018</w:t>
      </w:r>
      <w:r>
        <w:rPr>
          <w:rFonts w:hint="eastAsia" w:ascii="仿宋_GB2312" w:hAnsi="宋体" w:eastAsia="仿宋_GB2312"/>
          <w:sz w:val="32"/>
          <w:szCs w:val="32"/>
        </w:rPr>
        <w:t>年一场场硬仗锻炼了队伍、磨砺了意志、提振了士气，放眼广阳，人心思干、奋发进取的干事创业氛围更加浓厚，这是我们顺应新时代、实现新发展的坚实基础和有力保障。可以说，现在既有天时，又有地利，更有人和，广阳高质量发展正当其时。虽然前进的道路上，我们还面临着很多困难和挑战，但是我们有信心、有决心、有条件，更有办法加快新时代建设经济强区、美丽广阳的步伐。据此，按照高质量发展的要求，结合我区经济社会发展趋势，确定</w:t>
      </w:r>
      <w:r>
        <w:rPr>
          <w:rFonts w:hint="eastAsia" w:ascii="仿宋_GB2312" w:eastAsia="仿宋_GB2312"/>
          <w:sz w:val="32"/>
          <w:szCs w:val="32"/>
        </w:rPr>
        <w:t>2019</w:t>
      </w:r>
      <w:r>
        <w:rPr>
          <w:rFonts w:hint="eastAsia" w:ascii="仿宋_GB2312" w:hAnsi="宋体" w:eastAsia="仿宋_GB2312"/>
          <w:sz w:val="32"/>
          <w:szCs w:val="32"/>
        </w:rPr>
        <w:t>年经济社会发展预期目标：地区生产总值预计增长</w:t>
      </w:r>
      <w:r>
        <w:rPr>
          <w:rFonts w:hint="eastAsia" w:ascii="仿宋_GB2312" w:eastAsia="仿宋_GB2312"/>
          <w:sz w:val="32"/>
          <w:szCs w:val="32"/>
        </w:rPr>
        <w:t>7%</w:t>
      </w:r>
      <w:r>
        <w:rPr>
          <w:rFonts w:hint="eastAsia" w:ascii="仿宋_GB2312" w:hAnsi="宋体" w:eastAsia="仿宋_GB2312"/>
          <w:sz w:val="32"/>
          <w:szCs w:val="32"/>
        </w:rPr>
        <w:t>，公共财政预算收入预计增长</w:t>
      </w:r>
      <w:r>
        <w:rPr>
          <w:rFonts w:hint="eastAsia" w:ascii="仿宋_GB2312" w:eastAsia="仿宋_GB2312"/>
          <w:sz w:val="32"/>
          <w:szCs w:val="32"/>
        </w:rPr>
        <w:t>7%</w:t>
      </w:r>
      <w:r>
        <w:rPr>
          <w:rFonts w:hint="eastAsia" w:ascii="仿宋_GB2312" w:hAnsi="宋体" w:eastAsia="仿宋_GB2312"/>
          <w:sz w:val="32"/>
          <w:szCs w:val="32"/>
        </w:rPr>
        <w:t>，固定资产投资预计增长</w:t>
      </w:r>
      <w:r>
        <w:rPr>
          <w:rFonts w:hint="eastAsia" w:ascii="仿宋_GB2312" w:eastAsia="仿宋_GB2312"/>
          <w:sz w:val="32"/>
          <w:szCs w:val="32"/>
        </w:rPr>
        <w:t>8.5%</w:t>
      </w:r>
      <w:r>
        <w:rPr>
          <w:rFonts w:hint="eastAsia" w:ascii="仿宋_GB2312" w:hAnsi="宋体" w:eastAsia="仿宋_GB2312"/>
          <w:sz w:val="32"/>
          <w:szCs w:val="32"/>
        </w:rPr>
        <w:t>，社会消费品零售总额预计增长</w:t>
      </w:r>
      <w:r>
        <w:rPr>
          <w:rFonts w:hint="eastAsia" w:ascii="仿宋_GB2312" w:eastAsia="仿宋_GB2312"/>
          <w:sz w:val="32"/>
          <w:szCs w:val="32"/>
        </w:rPr>
        <w:t>11%</w:t>
      </w:r>
      <w:r>
        <w:rPr>
          <w:rFonts w:hint="eastAsia" w:ascii="仿宋_GB2312" w:hAnsi="宋体" w:eastAsia="仿宋_GB2312"/>
          <w:sz w:val="32"/>
          <w:szCs w:val="32"/>
        </w:rPr>
        <w:t>，规模以上工业增加值预计增长</w:t>
      </w:r>
      <w:r>
        <w:rPr>
          <w:rFonts w:hint="eastAsia" w:ascii="仿宋_GB2312" w:eastAsia="仿宋_GB2312"/>
          <w:sz w:val="32"/>
          <w:szCs w:val="32"/>
        </w:rPr>
        <w:t>4%</w:t>
      </w:r>
      <w:r>
        <w:rPr>
          <w:rFonts w:hint="eastAsia" w:ascii="仿宋_GB2312" w:hAnsi="宋体" w:eastAsia="仿宋_GB2312"/>
          <w:sz w:val="32"/>
          <w:szCs w:val="32"/>
        </w:rPr>
        <w:t>，城镇和农村居民人均可支配收入预计分别增长</w:t>
      </w:r>
      <w:r>
        <w:rPr>
          <w:rFonts w:hint="eastAsia" w:ascii="仿宋_GB2312" w:eastAsia="仿宋_GB2312"/>
          <w:sz w:val="32"/>
          <w:szCs w:val="32"/>
        </w:rPr>
        <w:t>7.5%</w:t>
      </w:r>
      <w:r>
        <w:rPr>
          <w:rFonts w:hint="eastAsia" w:ascii="仿宋_GB2312" w:hAnsi="宋体" w:eastAsia="仿宋_GB2312"/>
          <w:sz w:val="32"/>
          <w:szCs w:val="32"/>
        </w:rPr>
        <w:t>和</w:t>
      </w:r>
      <w:r>
        <w:rPr>
          <w:rFonts w:hint="eastAsia" w:ascii="仿宋_GB2312" w:eastAsia="仿宋_GB2312"/>
          <w:sz w:val="32"/>
          <w:szCs w:val="32"/>
        </w:rPr>
        <w:t>8%</w:t>
      </w:r>
      <w:r>
        <w:rPr>
          <w:rFonts w:hint="eastAsia" w:ascii="仿宋_GB2312" w:hAnsi="宋体" w:eastAsia="仿宋_GB2312"/>
          <w:sz w:val="32"/>
          <w:szCs w:val="32"/>
        </w:rPr>
        <w:t>。</w:t>
      </w:r>
    </w:p>
    <w:p>
      <w:pPr>
        <w:spacing w:line="500" w:lineRule="exact"/>
        <w:ind w:firstLine="720" w:firstLineChars="225"/>
        <w:rPr>
          <w:rFonts w:ascii="仿宋_GB2312" w:eastAsia="仿宋_GB2312"/>
          <w:sz w:val="32"/>
          <w:szCs w:val="32"/>
        </w:rPr>
      </w:pPr>
      <w:r>
        <w:rPr>
          <w:rFonts w:hint="eastAsia" w:ascii="仿宋_GB2312" w:hAnsi="宋体" w:eastAsia="仿宋_GB2312"/>
          <w:sz w:val="32"/>
          <w:szCs w:val="32"/>
        </w:rPr>
        <w:t>围绕实现以上目标任务，贯彻落实区委五届三次全会精神，做好</w:t>
      </w:r>
      <w:r>
        <w:rPr>
          <w:rFonts w:hint="eastAsia" w:ascii="仿宋_GB2312" w:eastAsia="仿宋_GB2312"/>
          <w:sz w:val="32"/>
          <w:szCs w:val="32"/>
        </w:rPr>
        <w:t>2018</w:t>
      </w:r>
      <w:r>
        <w:rPr>
          <w:rFonts w:hint="eastAsia" w:ascii="仿宋_GB2312" w:hAnsi="宋体" w:eastAsia="仿宋_GB2312"/>
          <w:sz w:val="32"/>
          <w:szCs w:val="32"/>
        </w:rPr>
        <w:t>年政府工作，我们将坚持</w:t>
      </w:r>
      <w:r>
        <w:rPr>
          <w:rFonts w:hint="eastAsia" w:ascii="仿宋_GB2312" w:eastAsia="仿宋_GB2312"/>
          <w:sz w:val="32"/>
          <w:szCs w:val="32"/>
        </w:rPr>
        <w:t>“</w:t>
      </w:r>
      <w:r>
        <w:rPr>
          <w:rFonts w:hint="eastAsia" w:ascii="仿宋_GB2312" w:hAnsi="宋体" w:eastAsia="仿宋_GB2312"/>
          <w:sz w:val="32"/>
          <w:szCs w:val="32"/>
        </w:rPr>
        <w:t>一个指导</w:t>
      </w:r>
      <w:r>
        <w:rPr>
          <w:rFonts w:hint="eastAsia" w:ascii="仿宋_GB2312" w:eastAsia="仿宋_GB2312"/>
          <w:sz w:val="32"/>
          <w:szCs w:val="32"/>
        </w:rPr>
        <w:t>”</w:t>
      </w:r>
      <w:r>
        <w:rPr>
          <w:rFonts w:hint="eastAsia" w:ascii="仿宋_GB2312" w:hAnsi="宋体" w:eastAsia="仿宋_GB2312"/>
          <w:sz w:val="32"/>
          <w:szCs w:val="32"/>
        </w:rPr>
        <w:t>：坚持以习近平新时代中国特色社会主义思想为指导，全面深入贯彻党的十九大精神，落实</w:t>
      </w:r>
      <w:r>
        <w:rPr>
          <w:rFonts w:hint="eastAsia" w:ascii="仿宋_GB2312" w:eastAsia="仿宋_GB2312"/>
          <w:sz w:val="32"/>
          <w:szCs w:val="32"/>
        </w:rPr>
        <w:t>“</w:t>
      </w:r>
      <w:r>
        <w:rPr>
          <w:rFonts w:hint="eastAsia" w:ascii="仿宋_GB2312" w:hAnsi="宋体" w:eastAsia="仿宋_GB2312"/>
          <w:sz w:val="32"/>
          <w:szCs w:val="32"/>
        </w:rPr>
        <w:t>五位一体</w:t>
      </w:r>
      <w:r>
        <w:rPr>
          <w:rFonts w:hint="eastAsia" w:ascii="仿宋_GB2312" w:eastAsia="仿宋_GB2312"/>
          <w:sz w:val="32"/>
          <w:szCs w:val="32"/>
        </w:rPr>
        <w:t>”</w:t>
      </w:r>
      <w:r>
        <w:rPr>
          <w:rFonts w:hint="eastAsia" w:ascii="仿宋_GB2312" w:hAnsi="宋体" w:eastAsia="仿宋_GB2312"/>
          <w:sz w:val="32"/>
          <w:szCs w:val="32"/>
        </w:rPr>
        <w:t>总体布局和</w:t>
      </w:r>
      <w:r>
        <w:rPr>
          <w:rFonts w:hint="eastAsia" w:ascii="仿宋_GB2312" w:eastAsia="仿宋_GB2312"/>
          <w:sz w:val="32"/>
          <w:szCs w:val="32"/>
        </w:rPr>
        <w:t>“</w:t>
      </w:r>
      <w:r>
        <w:rPr>
          <w:rFonts w:hint="eastAsia" w:ascii="仿宋_GB2312" w:hAnsi="宋体" w:eastAsia="仿宋_GB2312"/>
          <w:sz w:val="32"/>
          <w:szCs w:val="32"/>
        </w:rPr>
        <w:t>四个全面</w:t>
      </w:r>
      <w:r>
        <w:rPr>
          <w:rFonts w:hint="eastAsia" w:ascii="仿宋_GB2312" w:eastAsia="仿宋_GB2312"/>
          <w:sz w:val="32"/>
          <w:szCs w:val="32"/>
        </w:rPr>
        <w:t>”</w:t>
      </w:r>
      <w:r>
        <w:rPr>
          <w:rFonts w:hint="eastAsia" w:ascii="仿宋_GB2312" w:hAnsi="宋体" w:eastAsia="仿宋_GB2312"/>
          <w:sz w:val="32"/>
          <w:szCs w:val="32"/>
        </w:rPr>
        <w:t>战略布局；树牢</w:t>
      </w:r>
      <w:r>
        <w:rPr>
          <w:rFonts w:hint="eastAsia" w:ascii="仿宋_GB2312" w:eastAsia="仿宋_GB2312"/>
          <w:sz w:val="32"/>
          <w:szCs w:val="32"/>
        </w:rPr>
        <w:t>“</w:t>
      </w:r>
      <w:r>
        <w:rPr>
          <w:rFonts w:hint="eastAsia" w:ascii="仿宋_GB2312" w:hAnsi="宋体" w:eastAsia="仿宋_GB2312"/>
          <w:sz w:val="32"/>
          <w:szCs w:val="32"/>
        </w:rPr>
        <w:t>一个理念</w:t>
      </w:r>
      <w:r>
        <w:rPr>
          <w:rFonts w:hint="eastAsia" w:ascii="仿宋_GB2312" w:eastAsia="仿宋_GB2312"/>
          <w:sz w:val="32"/>
          <w:szCs w:val="32"/>
        </w:rPr>
        <w:t>”</w:t>
      </w:r>
      <w:r>
        <w:rPr>
          <w:rFonts w:hint="eastAsia" w:ascii="仿宋_GB2312" w:hAnsi="宋体" w:eastAsia="仿宋_GB2312"/>
          <w:sz w:val="32"/>
          <w:szCs w:val="32"/>
        </w:rPr>
        <w:t>：坚持以人民为中心的发展思想，把实现人民对美好生活的向往作为根本的价值取向，努力实现平衡充分发展；把握</w:t>
      </w:r>
      <w:r>
        <w:rPr>
          <w:rFonts w:hint="eastAsia" w:ascii="仿宋_GB2312" w:eastAsia="仿宋_GB2312"/>
          <w:sz w:val="32"/>
          <w:szCs w:val="32"/>
        </w:rPr>
        <w:t>“</w:t>
      </w:r>
      <w:r>
        <w:rPr>
          <w:rFonts w:hint="eastAsia" w:ascii="仿宋_GB2312" w:hAnsi="宋体" w:eastAsia="仿宋_GB2312"/>
          <w:sz w:val="32"/>
          <w:szCs w:val="32"/>
        </w:rPr>
        <w:t>一条主线</w:t>
      </w:r>
      <w:r>
        <w:rPr>
          <w:rFonts w:hint="eastAsia" w:ascii="仿宋_GB2312" w:eastAsia="仿宋_GB2312"/>
          <w:sz w:val="32"/>
          <w:szCs w:val="32"/>
        </w:rPr>
        <w:t>”</w:t>
      </w:r>
      <w:r>
        <w:rPr>
          <w:rFonts w:hint="eastAsia" w:ascii="仿宋_GB2312" w:hAnsi="宋体" w:eastAsia="仿宋_GB2312"/>
          <w:sz w:val="32"/>
          <w:szCs w:val="32"/>
        </w:rPr>
        <w:t>：牢牢把握供给侧结构性改革这条主线，统筹各项工作，推进高质量发展；做到</w:t>
      </w:r>
      <w:r>
        <w:rPr>
          <w:rFonts w:hint="eastAsia" w:ascii="仿宋_GB2312" w:eastAsia="仿宋_GB2312"/>
          <w:sz w:val="32"/>
          <w:szCs w:val="32"/>
        </w:rPr>
        <w:t>“</w:t>
      </w:r>
      <w:r>
        <w:rPr>
          <w:rFonts w:hint="eastAsia" w:ascii="仿宋_GB2312" w:hAnsi="宋体" w:eastAsia="仿宋_GB2312"/>
          <w:sz w:val="32"/>
          <w:szCs w:val="32"/>
        </w:rPr>
        <w:t>六个更加坚定</w:t>
      </w:r>
      <w:r>
        <w:rPr>
          <w:rFonts w:hint="eastAsia" w:ascii="仿宋_GB2312" w:eastAsia="仿宋_GB2312"/>
          <w:sz w:val="32"/>
          <w:szCs w:val="32"/>
        </w:rPr>
        <w:t>”</w:t>
      </w:r>
      <w:r>
        <w:rPr>
          <w:rFonts w:hint="eastAsia" w:ascii="仿宋_GB2312" w:hAnsi="宋体" w:eastAsia="仿宋_GB2312"/>
          <w:sz w:val="32"/>
          <w:szCs w:val="32"/>
        </w:rPr>
        <w:t>：更加坚定政治建设，更加坚定高质量发展，更加坚定协同发展，更加坚定生态优先，更加坚定人民至上，更加坚定维护稳定；实施</w:t>
      </w:r>
      <w:r>
        <w:rPr>
          <w:rFonts w:hint="eastAsia" w:ascii="仿宋_GB2312" w:eastAsia="仿宋_GB2312"/>
          <w:sz w:val="32"/>
          <w:szCs w:val="32"/>
        </w:rPr>
        <w:t>“</w:t>
      </w:r>
      <w:r>
        <w:rPr>
          <w:rFonts w:hint="eastAsia" w:ascii="仿宋_GB2312" w:hAnsi="宋体" w:eastAsia="仿宋_GB2312"/>
          <w:sz w:val="32"/>
          <w:szCs w:val="32"/>
        </w:rPr>
        <w:t>五个突破</w:t>
      </w:r>
      <w:r>
        <w:rPr>
          <w:rFonts w:hint="eastAsia" w:ascii="仿宋_GB2312" w:eastAsia="仿宋_GB2312"/>
          <w:sz w:val="32"/>
          <w:szCs w:val="32"/>
        </w:rPr>
        <w:t>”</w:t>
      </w:r>
      <w:r>
        <w:rPr>
          <w:rFonts w:hint="eastAsia" w:ascii="仿宋_GB2312" w:hAnsi="宋体" w:eastAsia="仿宋_GB2312"/>
          <w:sz w:val="32"/>
          <w:szCs w:val="32"/>
        </w:rPr>
        <w:t>：努力在创新城市经济、壮大产业园区、优化生态环境、提速城乡并进、推进民生共享上实现突破。</w:t>
      </w:r>
      <w:r>
        <w:rPr>
          <w:rFonts w:hint="eastAsia" w:ascii="仿宋_GB2312" w:eastAsia="仿宋_GB2312"/>
          <w:sz w:val="32"/>
          <w:szCs w:val="32"/>
        </w:rPr>
        <w:t> </w:t>
      </w:r>
    </w:p>
    <w:p>
      <w:pPr>
        <w:spacing w:line="500" w:lineRule="exact"/>
        <w:ind w:firstLine="723" w:firstLineChars="225"/>
        <w:rPr>
          <w:rFonts w:ascii="仿宋_GB2312" w:eastAsia="仿宋_GB2312"/>
          <w:sz w:val="32"/>
          <w:szCs w:val="32"/>
        </w:rPr>
      </w:pPr>
      <w:r>
        <w:rPr>
          <w:rFonts w:hint="eastAsia" w:ascii="仿宋_GB2312" w:eastAsia="仿宋_GB2312"/>
          <w:b/>
          <w:sz w:val="32"/>
          <w:szCs w:val="32"/>
        </w:rPr>
        <w:t>职责分类绩效目标：</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1、政务服务：突出政务、加强事务、提升服务，力求重点工作出精品，难点工作求突破、基础工作有创新、常规工作见特色。以机关干部作风量化指标为依据，增强了工作综合服。</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2、应急管理：建设运行维护好区政府应急平台，实现各种实用功能，有效保证区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3、电子政务管理：确保各类会议顺利进行；保障区政府网络系统安全、稳定运行，技术设备安全可用。严格执行会议技术保障服务流程和电视电话会议室管理制度。切实提高技术保障和服务能力，力争领导满意、群众满意、部门满意。</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4、综合服务保障：确保机关办公内网使用（全区共40根光纤）及中心办公网络使用正常。</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5、政务管理：保障机关后勤工作；加强门卫人员的管理；加强对机关进出车辆的管理；及时维修维护水、电管线；加强各楼层楼道、厕所卫生管理。一招人员生活保障。负责整个大院的电费、水费、暖气费的交缴工作；绿化维护及冬季防寒防护；中心临时工作人员工资；中心大厅保洁；中心新增设备费用：叫号机、办公桌椅、微机、打印机、床等；中心办公耗材费用：纸、打印机硒鼓注粉、换硒鼓、微机损坏配件更换；其他用品：锁芯、垃圾桶、插座等；垃圾清运费；食堂补贴；各楼层热水器维修；室外监控、楼道监控及中心办公设置维护；中心窗口工作人员午餐补助；行政服务中心三证合一服务人员聘用经费。</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6、组织推进依法行政：加强对行政执法人员培训及证件管理、执法行为监督检查，办理行政复议案件，不断提高行政执法人员素质和执法水平，做好依法行政考核工作，全面推进依法行政。</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7、政府法制宣传教育：做好领导干部学法及讲座工作，采取多种方式加强依法行政宣传，加强网站建设管理。</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8、政府法制综合业务管理：开展对外法制业务交流。负责办机关人事、劳资、行政后勤、财务和资产管理等工作。</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9、金融生态环境建设：地方金融机构建设与协调合作，金融生态环境建设。</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10、地方金融机构建设和监管：拟定加强地方金融机构建设的指导意见，组织协调新设立的地方法人金融机构的谋划、申报等前期工作，指导新型农村金融机构组建和发展，负责全县农村信用社改革的组织、协调。</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11、金融协调服务和交流合作：研究制定我区金融协同发展方案，引进金融机构、金融后台等。</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12、大气污染治理工作：负责大气污染治理领导小组日常工作，制定全区大气污染治理工作规划、工作制度、有关方案和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w:t>
      </w:r>
    </w:p>
    <w:p>
      <w:pPr>
        <w:spacing w:line="500" w:lineRule="exact"/>
        <w:ind w:firstLine="720" w:firstLineChars="225"/>
        <w:rPr>
          <w:rFonts w:ascii="仿宋_GB2312" w:eastAsia="仿宋_GB2312"/>
          <w:sz w:val="32"/>
          <w:szCs w:val="32"/>
        </w:rPr>
      </w:pPr>
      <w:r>
        <w:rPr>
          <w:rFonts w:hint="eastAsia" w:ascii="仿宋_GB2312" w:eastAsia="仿宋_GB2312"/>
          <w:sz w:val="32"/>
          <w:szCs w:val="32"/>
        </w:rPr>
        <w:t>13、数字化城市管理：负责辖区数字化城市管理的协调调度、监督检查、考核评比等工作；负责研究制定辖区数字化城市管理案件办理工作流程、工作制度，以及数字化城管发展规划；负责分指挥中心系统平台管理，接收市级指挥中心派遣的案件，并派遣到辖区终端单位进行处置；配合搞好辖区城市部件数据普查、更新和修测等工作。</w:t>
      </w:r>
    </w:p>
    <w:p>
      <w:pPr>
        <w:spacing w:line="584" w:lineRule="exact"/>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300" w:lineRule="exact"/>
        <w:jc w:val="left"/>
        <w:outlineLvl w:val="0"/>
        <w:rPr>
          <w:rFonts w:ascii="仿宋_GB2312" w:eastAsia="仿宋_GB2312"/>
          <w:b/>
          <w:sz w:val="32"/>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151廊坊市广阳区人民政府办公室</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一、政务服务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政务公开、区政府会议管理、督察督办、政务联络等工作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突出政务、加强事务、提升服务，力求重点工作出精品，难点工作求突破、基础工作有创新、常规工作见特色。以机关干部作风量化指标为依据，增强了工作综合服</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1、政务公开</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承担区政务公开暨行政权力公开透明运行工作领导小组的日常工作，指导和协调全区政务公开及政务服务中心建设、推进行政服务体系标准化建设工作。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通过完成区政务信息公开工作的指导监督工作，使全区政府信息公开业务队伍素质不断提高，业务水平进一步提升；政府政务信息公开范围不断扩大，公开内容得到进一步细化。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政务信息公开培训任务完成率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政务信息公开检查数量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2、会议管理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区政府会议的准备和服务工作，协助区政府领导组织会议决定事项的落实。（包括银企对接、项目拉链、招商引资等大型会议）</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做好区政府会议保障；严格区直各部门以区政府名义召开的会议审批，控制会议费开支规模。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大型会议控制率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承办大型会议次数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大型会议经费(万元)</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&gt;20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3、督查督办</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督促检查区政府各部门对政府决定事项及政府领导重要指示的执行落实情况并跟踪调研，及时向区政府领导报告。组织承办人大代表和政协提案工作。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确保区政府决定事项及区政府领导重要指示得到贯彻落实。</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决策部署督查反馈率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事项督查反馈率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督查督办落实任务数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≥1646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≥1600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4、政务联络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负责区领导、区有关部门公务活动的接待安排。</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做好县际间与我区政务往来服务保障工作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重大活动联络服务工作完成率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组织对外联络次数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对外联络服务水平</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优质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良好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一般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二、应急管理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区政府值班工作，及时报告重要情况，传达和督促落实区政府领导指示。协助区政府领导做好需由区政府组织处理的突发事件应急处置工作。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设运行维护好区政府应急平台，实现各种实用功能，有效保证区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1、应急管理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区政府值班工作，及时报告重要情况，传达和督促落实区政府领导指示。协助区政府领导做好需由区政府组织处理的突发事件应急处置工作。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维护好区政府应急平台，确保全区应急工作顺利完成；各类突发事件得到及时妥善处置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平台互联互通性能情况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完全互通</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大部分互通</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部分互通</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基本互通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应急事件处置情况及时率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系统全年累计故障时长</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&lt;48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&lt;96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&lt;192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三、电子政务管理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区政府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1、政府电子政务管理与服务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确保各类会议顺利进行；保障区政府网络系统安全、稳定运行，技术设备安全可用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会议保障率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网络系统升级率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视频会议系统信号断点情况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信号优良</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信号正常</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偶有断点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四、地方志事务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全区地方志事务管理。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弘扬和传承优秀文化传统，充分发挥志书“资政、存史、教化”的综合功能，为社会各界方便快捷提供县情，为本区经济社会建设服务，为地方志工作者提供资料和工具。</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1、地方志事务管理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拟订全区地方志工作规划并组织实施；搜集、保存、管理地方文献和资料；组织开发利用地方志资源；建设和维护县地方志区情网络。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为社会各界方便快捷提供区情，为经济社会建设服务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修志队伍培训次数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区级年鉴编纂任务完成率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内容、编校、设计、印刷差错率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&gt;0.5‰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五、政府办公室政务管理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按照有关要求，做好机关日常办公所需及办公区房屋与附属设施的维修、维护工作；做好机关办公区绿化、美化工作；做好后勤保障和老干部管理服务工作，以及食品安全工作和城市拆迁建设工作。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服务领导和机关保障有力为目标，增强了优质后勤管理水平，通过加强公车管理，降低运行成本，为创建节约型机关打下了良好的基础。采取保障区政府领导和机关工作办公环境的措施，提升了服务管理水平，保障了区领导和机关工作的正常运转。及时了解国内外形势、党和国家的方针政策以及区委、区政府办公室的重要部署和要求，及时为老干部提供优质高效服务。保证了食品安全和城市拆迁建设工作顺利开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区政府领导组织起草或审核上报市政府以及以区政府办公室名义发布的公文；办理区政府各部门和下级政府报送的文电；对区政府部门间出现的争议问题提出处理意见；组织起草区政府领导重要讲话及其他重要文稿；组织专题调研；承办区政府领导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高质量审核公文，让区领导满意；及时办理各类文电，确保事项在第一时间得到区领导批示意见；高质量起草的区领导重要讲话及重要文稿。</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各项综合业务管理工作完成率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 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稿件应用率（%）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各项综合事务管理工作完成率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 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六、广阳区政务服务中心事务</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159.28</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主要办理公民，法人和其他组织申请的审批，核准，办证，办照等事项。通信保障、部门综合事务管理等</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以“方便群众、提升形象、服务经济、促进发展”为工作理念，以“规范、便民、高效、廉洁”为服务宗旨，为广大群众和投资者提供优质的服务，努力打造政府服务经济社会发展的一流服务平台。</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1、资产、节能管理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机关办公用房管理、公务用车的管理。</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加强机关国有资产管理，维护国有资产安全和完整。深入推进节能工作。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公共机构节能推进率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公车统计报告率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条码化管理覆盖率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2、通信管理和保障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确保机关办公内网使用（全区共40根光纤）及中心办公网络使用正常；</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加强线路改造；完善宽带网络建设；确保通信联络畅通。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通迅网络故障率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通迅网络维护运用率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通迅网络安检率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3、综合业务管理</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159.28</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保障机关后勤工作；加强门卫人员的管理；加强对机关进出车辆的管理；及时维修维护水、电管线；加强各楼层楼道、厕所卫生管理。一招人员生活保障。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进机关事务管理工作科学发展；提高管理、保障、服务水平；协调推进改革进程，理顺机关事务管理工作体制。提高人员素质；推进机关事业单位办公环境改善。搞好服务保障，为广大干部职工提供安全、快捷、细致、周到的工作环境；加强财务管理，确保资金安全，提高财政资金使用效益。</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综合事物规范率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七、法制办事务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承担区政府全面推进依法行政工作领导小组办公室日常工作；制定全区依法行政考核指标体系，组织依法行政考核工作；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通过对行政执法人员和行政执法行为监督管理，和法制宣传，不断提高行政执法水平，发挥行政复议纠错职能，保障相对人合法权益，全面考核依法行政工作，推进依法行政。</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1、组织推进依法行政</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承担区政府全面推进依法行政工作领导小组办公室日常工作；制定全区依法行政考核指标体系，组织依法行政考核工作。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通过组织全区依法行政考核工作，进一步推动法治政府建设。</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考核成果应用数量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全区依法行政考核工作组织次数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依法行政量化标准通过率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2、执法监督</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组织执法监督检查，加强对行政执法人员资格审查、年检考试、证件管理、培训，加强对执法行为的监督检查，审核行政执法主体资格，提高执法水平。</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推进执法责任制、评议考核制、执法监督制度，组织全区执法监督检查工作，加强对行政执法人员资格、年检考试、培训和证件管理，审核执法主体资格，推进依法行政</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依法行政行动次数（次）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执法培训人员合格率（%）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执法培训人数（人）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3、行政复议</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依法受理行政复议申请，履行行政复议法规定的各项职责；承办由区政府、区政府各部门、各乡镇行政行为引起的行政复议案件；受区政府委托，作好行政应诉工作；做好行政调解工作。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通过依法受理并办理行政复议案件，办理行政诉讼、裁决案件，及时纠正各级行政机关违法不当行为，保障申请人合法权益，推动依法行政。</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行政复议案件到期办结率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行政应诉案件胜诉率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综合纠错率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4、文件审核</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加强规范性文件管理，提高规范性文件制定质量；加强政府合同审查备案和资料管理工作，有效防范合同签订履行的法律风险。</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严格规范性文件合法性审查把关，全面开展规范性文件清理工作，加强规范性文件备案；审核涉及经济产业发展、招商引资、民生工程建设等重大事项的行政合同、协议。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文件级目录数据化工作完成率（%）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档案整理、移交、接收、管理、保存工作完成率（%）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规范性文件资料完好率（%）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5、政府法制宣传教育</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落实领导干部学法制度有关工作。对区政府法制信息网站运行、维护，对行政执法人员和执法依据数据库维护管理。宣传依法行政的法律知识；组织协调新闻单位开展依法行政方面的采访报道；编发政府法制工作信息；组织依法行政重要事件和新制定政府规章的新闻发布活动。</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做好法制宣传网站、政府法治刊物、编纂政府法制年鉴等工作，为依法行政创造良好的法律氛围和舆论环境。</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每周向区委和区政府报送信息数量任务完成率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依法行政采访报道次数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每周向区委区市政府报送信息数量任务完成率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6、建立健全政府法律顾问制度</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积极聘请政府法律顾问，努力发挥法律顾问在促进依法决策和依法管理中的作用。</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推进政府法律顾问制度建设。</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提供法律咨询数量（件）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聘用法律顾问总人数（人）</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服务主体满意度（%）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八、金融办事务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地方金融机构建设与协调合作，金融生态环境建设。拟定加强地方金融机构建设的指导意见，组织协调新设立的地方法人金融机构的谋划、申报等前期工作，指导新型农村金融机构组建和发展，负责全县农村信用社改革的组织、协调。研究制定我区金融协同发展方案，引进金融机构、金融后台等。</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提高我区金融业对外开放水平，净化金融市场，维护社会稳定，促进金融产业健康发展。提高我区金融业对外开放水平</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1、金融生态环境建设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依法加强金融监管，整顿和规范金融市场秩序，协调非法集资等案件的查处、善后处置和维护金融稳定，指导全区金融生态环境和社会信用体系建设。</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严守不发生系统性、区域性金融风险的底线，净化金融市场，防止非法集资活动的蔓延，维护社会稳定。协调解决金融机构发展中遇到的问题，组织好项目对接，推动投融资体系建设和投融资机构做大做强，促进驻县机构服务县域经济社会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监测预警体系覆盖率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集中宣传教育活动组织次数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非法集资综合治理工作开展情况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完成并上报</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系统性、区域性金融风险发生情况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不发生</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个别企业发生</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部分企业发生</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区域性发生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2、小额贷款公司监管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加强小额贷款公司试点和监管工作力量，完善工作制度，切实提高监管能力和手段</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积极稳妥推动小额贷款公司稳步增长，发挥支农、支小作用。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小额贷款公司贷款余额增长率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小额贷款公司审计范围覆盖率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小额贷款公司挂牌数量（家）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对新型农村金融机构现场检查次数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对小额贷款公司督导巡查次数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九、大气污染治理工作</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大气污染治理领导小组日常工作，制定全区大气污染治理工作规划、工作制度、有关方案和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制定全区大气污染治理工作计划、工作制度、工作方案及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等工作，实现大气污染防治年度治理目标，切实减少雾霾污染，有效改造空气质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1、协调推进大气污染治理工作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根据上级文件精神和要求，制定全区大气污染治理任务计划、工作制度、工作方案及考核办法；分解各项工作任务，明确各区直有关部门的工作任务和职责，协调推进各部门工作开展，确保完成省市下达的各项工作任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准确传达上级工作任务部署和本级工作安排，实现大气污染防治各项具体任务全面安排落实到位，实现年度工作指标。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年度任务、指标完成率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核查重污染企业数（个）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淘汰重污染企业数（个）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起草各类文稿，做好大气污染治理相关工作会议筹备及会务组织工作，做好领导小组交办的其他事项。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高质量完成各类文稿撰写工作，精心进行会议筹备和组织，确保大气污染治理工作有序开展。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综合业务完成进度（%）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十、数字化城市管理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辖区数字化城市管理的协调调度、监督检查、考核评比等工作；负责研究制定辖区数字化城市管理案件办理工作流程、工作制度，以及数字化城管发展规划；负责分指挥中心系统平台管理，接收市级指挥中心派遣的案件，并派遣到辖区终端单位进行处置；配合搞好辖区城市部件数据普查、更新和修测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进一步推进数字化城市管理工作，加强辖区数字化终端监督管理力度，拓展辖区监管内容和范围，细化普查数据，全面协助推进数字城管效率建设</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业务学习，制定平台管理人员、各终端单位操作人员定期培训制度，提高业务水平，确保系统运行高效、畅通。落实《廊坊市数字化城市管理系统运行实施办法》，提高管理效能，保障数字化城市管理系统高效运行，全面提升现代城市管理水平。深入实施《廊坊市数字化城管综合绩效考评办法》，对各终端单位工作进行综合评价，提高城市管理的科学化和规范化水平。加大宣传力度，营造舆论氛围，增强市民参与数字化城市管理工作的积极性和主动性。</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改善城区生活条件，美化城市环境，推进数字化城市管理建设</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案件处置结案率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案件通过率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仿宋_GB2312" w:hAnsi="Times New Roman" w:eastAsia="仿宋_GB2312" w:cs="Times New Roman"/>
          <w:sz w:val="32"/>
          <w:szCs w:val="24"/>
        </w:rPr>
      </w:pPr>
      <w:bookmarkStart w:id="2" w:name="_Toc471398468"/>
      <w:r>
        <w:rPr>
          <w:rFonts w:hint="eastAsia" w:ascii="仿宋_GB2312" w:hAnsi="Times New Roman" w:eastAsia="仿宋_GB2312" w:cs="Times New Roman"/>
          <w:sz w:val="32"/>
          <w:szCs w:val="24"/>
        </w:rPr>
        <w:t>2019年，我部门安排政府采购预算2.7万元。具体内容见下表。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仿宋_GB2312" w:hAnsi="Times New Roman" w:eastAsia="仿宋_GB2312" w:cs="Times New Roman"/>
                <w:sz w:val="24"/>
              </w:rPr>
            </w:pPr>
            <w:r>
              <w:rPr>
                <w:rFonts w:hint="eastAsia" w:ascii="仿宋_GB2312" w:hAnsi="Times New Roman" w:eastAsia="仿宋_GB2312" w:cs="Times New Roman"/>
                <w:sz w:val="24"/>
              </w:rPr>
              <w:t>151廊坊市广阳区人民政府办公室</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仿宋_GB2312" w:hAnsi="Times New Roman" w:eastAsia="仿宋_GB2312" w:cs="Times New Roman"/>
                <w:sz w:val="24"/>
              </w:rPr>
            </w:pPr>
            <w:r>
              <w:rPr>
                <w:rFonts w:hint="eastAsia" w:ascii="仿宋_GB2312"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2.7</w:t>
            </w: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9</w:t>
            </w:r>
          </w:p>
        </w:tc>
        <w:tc>
          <w:tcPr>
            <w:tcW w:w="950"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0.3</w:t>
            </w: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2.7</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2.7</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计算机设备</w:t>
            </w:r>
          </w:p>
        </w:tc>
        <w:tc>
          <w:tcPr>
            <w:tcW w:w="1057" w:type="dxa"/>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0.9</w:t>
            </w:r>
          </w:p>
        </w:tc>
        <w:tc>
          <w:tcPr>
            <w:tcW w:w="932" w:type="dxa"/>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eastAsia="仿宋_GB2312"/>
                <w:color w:val="000000"/>
                <w:szCs w:val="21"/>
              </w:rPr>
              <w:t>计算机设备及软件</w:t>
            </w:r>
          </w:p>
        </w:tc>
        <w:tc>
          <w:tcPr>
            <w:tcW w:w="1372" w:type="dxa"/>
            <w:shd w:val="clear" w:color="auto" w:fill="auto"/>
            <w:vAlign w:val="center"/>
          </w:tcPr>
          <w:p>
            <w:pPr>
              <w:rPr>
                <w:rFonts w:ascii="仿宋_GB2312" w:hAnsi="宋体" w:eastAsia="仿宋_GB2312" w:cs="宋体"/>
                <w:color w:val="000000"/>
                <w:szCs w:val="21"/>
              </w:rPr>
            </w:pPr>
            <w:r>
              <w:rPr>
                <w:rFonts w:hint="eastAsia" w:ascii="仿宋_GB2312" w:eastAsia="仿宋_GB2312"/>
                <w:color w:val="000000"/>
                <w:szCs w:val="21"/>
              </w:rPr>
              <w:t>[A0201]</w:t>
            </w:r>
            <w:r>
              <w:rPr>
                <w:rFonts w:hint="eastAsia" w:ascii="仿宋_GB2312" w:hAnsi="宋体" w:eastAsia="仿宋_GB2312" w:cs="宋体"/>
                <w:color w:val="000000"/>
                <w:szCs w:val="21"/>
              </w:rPr>
              <w:t xml:space="preserve"> </w:t>
            </w:r>
          </w:p>
        </w:tc>
        <w:tc>
          <w:tcPr>
            <w:tcW w:w="720" w:type="dxa"/>
            <w:shd w:val="clear" w:color="auto" w:fill="auto"/>
            <w:vAlign w:val="center"/>
          </w:tcPr>
          <w:p>
            <w:pPr>
              <w:spacing w:line="584"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台</w:t>
            </w:r>
          </w:p>
        </w:tc>
        <w:tc>
          <w:tcPr>
            <w:tcW w:w="740" w:type="dxa"/>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w:t>
            </w:r>
          </w:p>
        </w:tc>
        <w:tc>
          <w:tcPr>
            <w:tcW w:w="950" w:type="dxa"/>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0.3</w:t>
            </w:r>
          </w:p>
        </w:tc>
        <w:tc>
          <w:tcPr>
            <w:tcW w:w="956" w:type="dxa"/>
            <w:shd w:val="clear" w:color="auto" w:fill="auto"/>
            <w:vAlign w:val="center"/>
          </w:tcPr>
          <w:p>
            <w:pPr>
              <w:spacing w:line="584" w:lineRule="exact"/>
              <w:jc w:val="right"/>
              <w:rPr>
                <w:rFonts w:ascii="仿宋_GB2312" w:hAnsi="Times New Roman" w:eastAsia="仿宋_GB2312" w:cs="Times New Roman"/>
                <w:szCs w:val="21"/>
              </w:rPr>
            </w:pPr>
          </w:p>
        </w:tc>
        <w:tc>
          <w:tcPr>
            <w:tcW w:w="956" w:type="dxa"/>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0.9</w:t>
            </w:r>
          </w:p>
        </w:tc>
        <w:tc>
          <w:tcPr>
            <w:tcW w:w="956" w:type="dxa"/>
            <w:shd w:val="clear" w:color="auto" w:fill="auto"/>
            <w:vAlign w:val="center"/>
          </w:tcPr>
          <w:p>
            <w:pPr>
              <w:spacing w:line="584"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0.9</w:t>
            </w:r>
          </w:p>
        </w:tc>
        <w:tc>
          <w:tcPr>
            <w:tcW w:w="790" w:type="dxa"/>
            <w:shd w:val="clear" w:color="auto" w:fill="auto"/>
            <w:vAlign w:val="center"/>
          </w:tcPr>
          <w:p>
            <w:pPr>
              <w:spacing w:line="584" w:lineRule="exact"/>
              <w:jc w:val="right"/>
              <w:rPr>
                <w:rFonts w:ascii="仿宋_GB2312" w:hAnsi="Times New Roman" w:eastAsia="仿宋_GB2312" w:cs="Times New Roman"/>
                <w:szCs w:val="21"/>
              </w:rPr>
            </w:pPr>
          </w:p>
        </w:tc>
        <w:tc>
          <w:tcPr>
            <w:tcW w:w="924" w:type="dxa"/>
            <w:shd w:val="clear" w:color="auto" w:fill="auto"/>
            <w:vAlign w:val="center"/>
          </w:tcPr>
          <w:p>
            <w:pPr>
              <w:spacing w:line="584" w:lineRule="exact"/>
              <w:jc w:val="right"/>
              <w:rPr>
                <w:rFonts w:ascii="仿宋_GB2312" w:hAnsi="Times New Roman" w:eastAsia="仿宋_GB2312" w:cs="Times New Roman"/>
                <w:szCs w:val="21"/>
              </w:rPr>
            </w:pPr>
          </w:p>
        </w:tc>
        <w:tc>
          <w:tcPr>
            <w:tcW w:w="929" w:type="dxa"/>
            <w:shd w:val="clear" w:color="auto" w:fill="auto"/>
            <w:vAlign w:val="center"/>
          </w:tcPr>
          <w:p>
            <w:pPr>
              <w:spacing w:line="584" w:lineRule="exact"/>
              <w:jc w:val="right"/>
              <w:rPr>
                <w:rFonts w:ascii="仿宋_GB2312" w:hAnsi="Times New Roman" w:eastAsia="仿宋_GB2312" w:cs="Times New Roman"/>
                <w:szCs w:val="21"/>
              </w:rPr>
            </w:pPr>
          </w:p>
        </w:tc>
        <w:tc>
          <w:tcPr>
            <w:tcW w:w="880" w:type="dxa"/>
            <w:shd w:val="clear" w:color="auto" w:fill="auto"/>
            <w:vAlign w:val="center"/>
          </w:tcPr>
          <w:p>
            <w:pPr>
              <w:spacing w:line="584" w:lineRule="exact"/>
              <w:jc w:val="right"/>
              <w:rPr>
                <w:rFonts w:ascii="仿宋_GB2312"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空调</w:t>
            </w:r>
          </w:p>
        </w:tc>
        <w:tc>
          <w:tcPr>
            <w:tcW w:w="1057"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0.9</w:t>
            </w:r>
          </w:p>
        </w:tc>
        <w:tc>
          <w:tcPr>
            <w:tcW w:w="932" w:type="dxa"/>
            <w:shd w:val="clear" w:color="auto" w:fill="auto"/>
            <w:vAlign w:val="center"/>
          </w:tcPr>
          <w:p>
            <w:pPr>
              <w:spacing w:line="584" w:lineRule="exact"/>
              <w:jc w:val="left"/>
              <w:rPr>
                <w:rFonts w:ascii="仿宋_GB2312" w:hAnsi="Times New Roman" w:eastAsia="仿宋_GB2312" w:cs="Times New Roman"/>
                <w:bCs/>
                <w:szCs w:val="21"/>
              </w:rPr>
            </w:pPr>
            <w:r>
              <w:rPr>
                <w:rFonts w:hint="eastAsia" w:ascii="仿宋_GB2312" w:eastAsia="仿宋_GB2312"/>
                <w:color w:val="000000"/>
                <w:szCs w:val="21"/>
              </w:rPr>
              <w:t>打印设备</w:t>
            </w:r>
          </w:p>
        </w:tc>
        <w:tc>
          <w:tcPr>
            <w:tcW w:w="1372" w:type="dxa"/>
            <w:shd w:val="clear" w:color="auto" w:fill="auto"/>
            <w:vAlign w:val="center"/>
          </w:tcPr>
          <w:p>
            <w:pPr>
              <w:rPr>
                <w:rFonts w:ascii="仿宋_GB2312" w:hAnsi="宋体" w:eastAsia="仿宋_GB2312" w:cs="宋体"/>
                <w:color w:val="000000"/>
                <w:szCs w:val="21"/>
              </w:rPr>
            </w:pPr>
            <w:r>
              <w:rPr>
                <w:rFonts w:hint="eastAsia" w:ascii="仿宋_GB2312" w:eastAsia="仿宋_GB2312"/>
                <w:color w:val="000000"/>
                <w:szCs w:val="21"/>
              </w:rPr>
              <w:t>[A02010601]</w:t>
            </w:r>
            <w:r>
              <w:rPr>
                <w:rFonts w:hint="eastAsia" w:ascii="仿宋_GB2312" w:hAnsi="宋体" w:eastAsia="仿宋_GB2312" w:cs="宋体"/>
                <w:color w:val="000000"/>
                <w:szCs w:val="21"/>
              </w:rPr>
              <w:t xml:space="preserve"> </w:t>
            </w:r>
          </w:p>
        </w:tc>
        <w:tc>
          <w:tcPr>
            <w:tcW w:w="720" w:type="dxa"/>
            <w:shd w:val="clear" w:color="auto" w:fill="auto"/>
            <w:vAlign w:val="center"/>
          </w:tcPr>
          <w:p>
            <w:pPr>
              <w:spacing w:line="584" w:lineRule="exact"/>
              <w:jc w:val="left"/>
              <w:rPr>
                <w:rFonts w:ascii="仿宋_GB2312" w:hAnsi="Times New Roman" w:eastAsia="仿宋_GB2312" w:cs="Times New Roman"/>
                <w:bCs/>
                <w:szCs w:val="21"/>
              </w:rPr>
            </w:pPr>
            <w:r>
              <w:rPr>
                <w:rFonts w:hint="eastAsia" w:ascii="仿宋_GB2312" w:hAnsi="Times New Roman" w:eastAsia="仿宋_GB2312" w:cs="Times New Roman"/>
                <w:bCs/>
                <w:szCs w:val="21"/>
              </w:rPr>
              <w:t>台</w:t>
            </w:r>
          </w:p>
        </w:tc>
        <w:tc>
          <w:tcPr>
            <w:tcW w:w="740"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3</w:t>
            </w:r>
          </w:p>
        </w:tc>
        <w:tc>
          <w:tcPr>
            <w:tcW w:w="950"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0.3</w:t>
            </w:r>
          </w:p>
        </w:tc>
        <w:tc>
          <w:tcPr>
            <w:tcW w:w="956" w:type="dxa"/>
            <w:shd w:val="clear" w:color="auto" w:fill="auto"/>
            <w:vAlign w:val="center"/>
          </w:tcPr>
          <w:p>
            <w:pPr>
              <w:spacing w:line="584" w:lineRule="exact"/>
              <w:jc w:val="right"/>
              <w:rPr>
                <w:rFonts w:ascii="仿宋_GB2312" w:hAnsi="Times New Roman" w:eastAsia="仿宋_GB2312" w:cs="Times New Roman"/>
                <w:bCs/>
                <w:szCs w:val="21"/>
              </w:rPr>
            </w:pPr>
          </w:p>
        </w:tc>
        <w:tc>
          <w:tcPr>
            <w:tcW w:w="956"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0.9</w:t>
            </w:r>
          </w:p>
        </w:tc>
        <w:tc>
          <w:tcPr>
            <w:tcW w:w="956"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0.9</w:t>
            </w:r>
          </w:p>
        </w:tc>
        <w:tc>
          <w:tcPr>
            <w:tcW w:w="790" w:type="dxa"/>
            <w:shd w:val="clear" w:color="auto" w:fill="auto"/>
            <w:vAlign w:val="center"/>
          </w:tcPr>
          <w:p>
            <w:pPr>
              <w:spacing w:line="584" w:lineRule="exact"/>
              <w:jc w:val="right"/>
              <w:rPr>
                <w:rFonts w:ascii="仿宋_GB2312" w:hAnsi="Times New Roman" w:eastAsia="仿宋_GB2312" w:cs="Times New Roman"/>
                <w:bCs/>
                <w:szCs w:val="21"/>
              </w:rPr>
            </w:pPr>
          </w:p>
        </w:tc>
        <w:tc>
          <w:tcPr>
            <w:tcW w:w="924" w:type="dxa"/>
            <w:shd w:val="clear" w:color="auto" w:fill="auto"/>
            <w:vAlign w:val="center"/>
          </w:tcPr>
          <w:p>
            <w:pPr>
              <w:spacing w:line="584" w:lineRule="exact"/>
              <w:jc w:val="right"/>
              <w:rPr>
                <w:rFonts w:ascii="仿宋_GB2312" w:hAnsi="Times New Roman" w:eastAsia="仿宋_GB2312" w:cs="Times New Roman"/>
                <w:szCs w:val="21"/>
              </w:rPr>
            </w:pPr>
          </w:p>
        </w:tc>
        <w:tc>
          <w:tcPr>
            <w:tcW w:w="929" w:type="dxa"/>
            <w:shd w:val="clear" w:color="auto" w:fill="auto"/>
            <w:vAlign w:val="center"/>
          </w:tcPr>
          <w:p>
            <w:pPr>
              <w:spacing w:line="584" w:lineRule="exact"/>
              <w:jc w:val="right"/>
              <w:rPr>
                <w:rFonts w:ascii="仿宋_GB2312" w:hAnsi="Times New Roman" w:eastAsia="仿宋_GB2312" w:cs="Times New Roman"/>
                <w:szCs w:val="21"/>
              </w:rPr>
            </w:pPr>
          </w:p>
        </w:tc>
        <w:tc>
          <w:tcPr>
            <w:tcW w:w="880" w:type="dxa"/>
            <w:shd w:val="clear" w:color="auto" w:fill="auto"/>
            <w:vAlign w:val="center"/>
          </w:tcPr>
          <w:p>
            <w:pPr>
              <w:spacing w:line="584" w:lineRule="exact"/>
              <w:jc w:val="right"/>
              <w:rPr>
                <w:rFonts w:ascii="仿宋_GB2312"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center"/>
              <w:rPr>
                <w:rFonts w:ascii="仿宋_GB2312" w:hAnsi="Times New Roman" w:eastAsia="仿宋_GB2312" w:cs="Times New Roman"/>
                <w:bCs/>
                <w:szCs w:val="21"/>
              </w:rPr>
            </w:pPr>
            <w:r>
              <w:rPr>
                <w:rFonts w:hint="eastAsia" w:ascii="仿宋_GB2312" w:hAnsi="Times New Roman" w:eastAsia="仿宋_GB2312" w:cs="Times New Roman"/>
                <w:bCs/>
                <w:szCs w:val="21"/>
              </w:rPr>
              <w:t>打印设备</w:t>
            </w:r>
          </w:p>
        </w:tc>
        <w:tc>
          <w:tcPr>
            <w:tcW w:w="1057"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0.9</w:t>
            </w:r>
          </w:p>
        </w:tc>
        <w:tc>
          <w:tcPr>
            <w:tcW w:w="932" w:type="dxa"/>
            <w:shd w:val="clear" w:color="auto" w:fill="auto"/>
            <w:vAlign w:val="center"/>
          </w:tcPr>
          <w:p>
            <w:pPr>
              <w:spacing w:line="584" w:lineRule="exact"/>
              <w:jc w:val="left"/>
              <w:rPr>
                <w:rFonts w:ascii="仿宋_GB2312" w:hAnsi="Times New Roman" w:eastAsia="仿宋_GB2312" w:cs="Times New Roman"/>
                <w:bCs/>
                <w:szCs w:val="21"/>
              </w:rPr>
            </w:pPr>
            <w:r>
              <w:rPr>
                <w:rFonts w:hint="eastAsia" w:ascii="仿宋_GB2312" w:eastAsia="仿宋_GB2312"/>
                <w:color w:val="000000"/>
                <w:szCs w:val="21"/>
              </w:rPr>
              <w:t>空调机</w:t>
            </w:r>
          </w:p>
        </w:tc>
        <w:tc>
          <w:tcPr>
            <w:tcW w:w="1372" w:type="dxa"/>
            <w:shd w:val="clear" w:color="auto" w:fill="auto"/>
            <w:vAlign w:val="center"/>
          </w:tcPr>
          <w:p>
            <w:pPr>
              <w:rPr>
                <w:rFonts w:ascii="仿宋_GB2312" w:hAnsi="宋体" w:eastAsia="仿宋_GB2312" w:cs="宋体"/>
                <w:color w:val="000000"/>
                <w:szCs w:val="21"/>
              </w:rPr>
            </w:pPr>
            <w:r>
              <w:rPr>
                <w:rFonts w:hint="eastAsia" w:ascii="仿宋_GB2312" w:eastAsia="仿宋_GB2312"/>
                <w:color w:val="000000"/>
                <w:szCs w:val="21"/>
              </w:rPr>
              <w:t>[A0206180203]</w:t>
            </w:r>
            <w:r>
              <w:rPr>
                <w:rFonts w:hint="eastAsia" w:ascii="仿宋_GB2312" w:hAnsi="宋体" w:eastAsia="仿宋_GB2312" w:cs="宋体"/>
                <w:color w:val="000000"/>
                <w:szCs w:val="21"/>
              </w:rPr>
              <w:t xml:space="preserve"> </w:t>
            </w:r>
          </w:p>
        </w:tc>
        <w:tc>
          <w:tcPr>
            <w:tcW w:w="720" w:type="dxa"/>
            <w:shd w:val="clear" w:color="auto" w:fill="auto"/>
            <w:vAlign w:val="center"/>
          </w:tcPr>
          <w:p>
            <w:pPr>
              <w:spacing w:line="584" w:lineRule="exact"/>
              <w:jc w:val="left"/>
              <w:rPr>
                <w:rFonts w:ascii="仿宋_GB2312" w:hAnsi="Times New Roman" w:eastAsia="仿宋_GB2312" w:cs="Times New Roman"/>
                <w:bCs/>
                <w:szCs w:val="21"/>
              </w:rPr>
            </w:pPr>
            <w:r>
              <w:rPr>
                <w:rFonts w:hint="eastAsia" w:ascii="仿宋_GB2312" w:hAnsi="Times New Roman" w:eastAsia="仿宋_GB2312" w:cs="Times New Roman"/>
                <w:bCs/>
                <w:szCs w:val="21"/>
              </w:rPr>
              <w:t>台</w:t>
            </w:r>
          </w:p>
        </w:tc>
        <w:tc>
          <w:tcPr>
            <w:tcW w:w="740"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3</w:t>
            </w:r>
          </w:p>
        </w:tc>
        <w:tc>
          <w:tcPr>
            <w:tcW w:w="950"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0.3</w:t>
            </w:r>
          </w:p>
        </w:tc>
        <w:tc>
          <w:tcPr>
            <w:tcW w:w="956" w:type="dxa"/>
            <w:shd w:val="clear" w:color="auto" w:fill="auto"/>
            <w:vAlign w:val="center"/>
          </w:tcPr>
          <w:p>
            <w:pPr>
              <w:spacing w:line="584" w:lineRule="exact"/>
              <w:jc w:val="right"/>
              <w:rPr>
                <w:rFonts w:ascii="仿宋_GB2312" w:hAnsi="Times New Roman" w:eastAsia="仿宋_GB2312" w:cs="Times New Roman"/>
                <w:bCs/>
                <w:szCs w:val="21"/>
              </w:rPr>
            </w:pPr>
          </w:p>
        </w:tc>
        <w:tc>
          <w:tcPr>
            <w:tcW w:w="956"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0.9</w:t>
            </w:r>
          </w:p>
        </w:tc>
        <w:tc>
          <w:tcPr>
            <w:tcW w:w="956" w:type="dxa"/>
            <w:shd w:val="clear" w:color="auto" w:fill="auto"/>
            <w:vAlign w:val="center"/>
          </w:tcPr>
          <w:p>
            <w:pPr>
              <w:spacing w:line="584" w:lineRule="exact"/>
              <w:jc w:val="right"/>
              <w:rPr>
                <w:rFonts w:ascii="仿宋_GB2312" w:hAnsi="Times New Roman" w:eastAsia="仿宋_GB2312" w:cs="Times New Roman"/>
                <w:bCs/>
                <w:szCs w:val="21"/>
              </w:rPr>
            </w:pPr>
            <w:r>
              <w:rPr>
                <w:rFonts w:hint="eastAsia" w:ascii="仿宋_GB2312" w:hAnsi="Times New Roman" w:eastAsia="仿宋_GB2312" w:cs="Times New Roman"/>
                <w:bCs/>
                <w:szCs w:val="21"/>
              </w:rPr>
              <w:t>0.9</w:t>
            </w:r>
          </w:p>
        </w:tc>
        <w:tc>
          <w:tcPr>
            <w:tcW w:w="790" w:type="dxa"/>
            <w:shd w:val="clear" w:color="auto" w:fill="auto"/>
            <w:vAlign w:val="center"/>
          </w:tcPr>
          <w:p>
            <w:pPr>
              <w:spacing w:line="584" w:lineRule="exact"/>
              <w:jc w:val="right"/>
              <w:rPr>
                <w:rFonts w:ascii="仿宋_GB2312" w:hAnsi="Times New Roman" w:eastAsia="仿宋_GB2312" w:cs="Times New Roman"/>
                <w:bCs/>
                <w:szCs w:val="21"/>
              </w:rPr>
            </w:pPr>
          </w:p>
        </w:tc>
        <w:tc>
          <w:tcPr>
            <w:tcW w:w="924" w:type="dxa"/>
            <w:shd w:val="clear" w:color="auto" w:fill="auto"/>
            <w:vAlign w:val="center"/>
          </w:tcPr>
          <w:p>
            <w:pPr>
              <w:spacing w:line="584" w:lineRule="exact"/>
              <w:jc w:val="right"/>
              <w:rPr>
                <w:rFonts w:ascii="仿宋_GB2312" w:hAnsi="Times New Roman" w:eastAsia="仿宋_GB2312" w:cs="Times New Roman"/>
                <w:bCs/>
                <w:szCs w:val="21"/>
              </w:rPr>
            </w:pPr>
          </w:p>
        </w:tc>
        <w:tc>
          <w:tcPr>
            <w:tcW w:w="929" w:type="dxa"/>
            <w:shd w:val="clear" w:color="auto" w:fill="auto"/>
            <w:vAlign w:val="center"/>
          </w:tcPr>
          <w:p>
            <w:pPr>
              <w:spacing w:line="584" w:lineRule="exact"/>
              <w:jc w:val="right"/>
              <w:rPr>
                <w:rFonts w:ascii="仿宋_GB2312" w:hAnsi="Times New Roman" w:eastAsia="仿宋_GB2312" w:cs="Times New Roman"/>
                <w:szCs w:val="21"/>
              </w:rPr>
            </w:pPr>
          </w:p>
        </w:tc>
        <w:tc>
          <w:tcPr>
            <w:tcW w:w="880" w:type="dxa"/>
            <w:shd w:val="clear" w:color="auto" w:fill="auto"/>
            <w:vAlign w:val="center"/>
          </w:tcPr>
          <w:p>
            <w:pPr>
              <w:spacing w:line="584" w:lineRule="exact"/>
              <w:jc w:val="right"/>
              <w:rPr>
                <w:rFonts w:ascii="仿宋_GB2312"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廊坊市广阳区人民政府办公室（含所属单位）上年末固定资产金额为313.19万元，本年度我部门拟购置固定资产主要为计算机设备、打印设备、空调等，已列入政府采购预算。详见下表。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编制部门：151廊坊市广阳区人民政府办公室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截止时间：2018年12月31日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313.19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153.65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159.54</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22</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125E"/>
    <w:rsid w:val="0004565F"/>
    <w:rsid w:val="00065C5C"/>
    <w:rsid w:val="00072187"/>
    <w:rsid w:val="00075D5F"/>
    <w:rsid w:val="0008180F"/>
    <w:rsid w:val="000925E9"/>
    <w:rsid w:val="00093DA3"/>
    <w:rsid w:val="000B529B"/>
    <w:rsid w:val="000C24E6"/>
    <w:rsid w:val="000C3A19"/>
    <w:rsid w:val="000D7A81"/>
    <w:rsid w:val="000E4305"/>
    <w:rsid w:val="000F0D09"/>
    <w:rsid w:val="001245BB"/>
    <w:rsid w:val="001251A3"/>
    <w:rsid w:val="0015229A"/>
    <w:rsid w:val="00160266"/>
    <w:rsid w:val="001643E8"/>
    <w:rsid w:val="00174045"/>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B1C32"/>
    <w:rsid w:val="002C5E13"/>
    <w:rsid w:val="002C62BC"/>
    <w:rsid w:val="002E0EB8"/>
    <w:rsid w:val="002F3E58"/>
    <w:rsid w:val="0030542C"/>
    <w:rsid w:val="00311B7A"/>
    <w:rsid w:val="003126B6"/>
    <w:rsid w:val="00313D9C"/>
    <w:rsid w:val="00325215"/>
    <w:rsid w:val="0033339C"/>
    <w:rsid w:val="00335660"/>
    <w:rsid w:val="003B6D37"/>
    <w:rsid w:val="003C37EE"/>
    <w:rsid w:val="003C7E6D"/>
    <w:rsid w:val="004114B7"/>
    <w:rsid w:val="00414BD3"/>
    <w:rsid w:val="00424943"/>
    <w:rsid w:val="0042727E"/>
    <w:rsid w:val="0043175C"/>
    <w:rsid w:val="00437296"/>
    <w:rsid w:val="00444D85"/>
    <w:rsid w:val="00451590"/>
    <w:rsid w:val="00451871"/>
    <w:rsid w:val="004706DE"/>
    <w:rsid w:val="00472923"/>
    <w:rsid w:val="00486DCD"/>
    <w:rsid w:val="0049120C"/>
    <w:rsid w:val="004B0C3A"/>
    <w:rsid w:val="004C49A8"/>
    <w:rsid w:val="004C58D3"/>
    <w:rsid w:val="004D5788"/>
    <w:rsid w:val="004E3066"/>
    <w:rsid w:val="004E419C"/>
    <w:rsid w:val="004E74CD"/>
    <w:rsid w:val="00524EFD"/>
    <w:rsid w:val="00530DE0"/>
    <w:rsid w:val="00572067"/>
    <w:rsid w:val="005730D1"/>
    <w:rsid w:val="00573562"/>
    <w:rsid w:val="00590ECE"/>
    <w:rsid w:val="005C0E90"/>
    <w:rsid w:val="005D0C27"/>
    <w:rsid w:val="005D37CA"/>
    <w:rsid w:val="005F5714"/>
    <w:rsid w:val="005F7AE1"/>
    <w:rsid w:val="00611D03"/>
    <w:rsid w:val="00614A29"/>
    <w:rsid w:val="0061520C"/>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2EA0"/>
    <w:rsid w:val="008A6576"/>
    <w:rsid w:val="008B3CC5"/>
    <w:rsid w:val="008B52CD"/>
    <w:rsid w:val="008C7C4D"/>
    <w:rsid w:val="008D3C58"/>
    <w:rsid w:val="008E4261"/>
    <w:rsid w:val="008E70D4"/>
    <w:rsid w:val="008F4662"/>
    <w:rsid w:val="0090563F"/>
    <w:rsid w:val="00905D08"/>
    <w:rsid w:val="00925753"/>
    <w:rsid w:val="00937F8B"/>
    <w:rsid w:val="009425F4"/>
    <w:rsid w:val="00943BD8"/>
    <w:rsid w:val="00954411"/>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BE6099"/>
    <w:rsid w:val="00C005B2"/>
    <w:rsid w:val="00C1565C"/>
    <w:rsid w:val="00C21E0F"/>
    <w:rsid w:val="00C362CA"/>
    <w:rsid w:val="00C37A99"/>
    <w:rsid w:val="00C772C1"/>
    <w:rsid w:val="00C843CB"/>
    <w:rsid w:val="00C93D22"/>
    <w:rsid w:val="00CA7176"/>
    <w:rsid w:val="00CB51D7"/>
    <w:rsid w:val="00CC75B0"/>
    <w:rsid w:val="00CD2773"/>
    <w:rsid w:val="00CE01BA"/>
    <w:rsid w:val="00CE143B"/>
    <w:rsid w:val="00CE3A91"/>
    <w:rsid w:val="00D07DBA"/>
    <w:rsid w:val="00D16212"/>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15CF0"/>
    <w:rsid w:val="00F42D41"/>
    <w:rsid w:val="00F471F7"/>
    <w:rsid w:val="00F66032"/>
    <w:rsid w:val="00F83B96"/>
    <w:rsid w:val="00F8441D"/>
    <w:rsid w:val="00F87C1E"/>
    <w:rsid w:val="00F958C2"/>
    <w:rsid w:val="00FA740E"/>
    <w:rsid w:val="00FC06C7"/>
    <w:rsid w:val="00FD5DB4"/>
    <w:rsid w:val="00FE1724"/>
    <w:rsid w:val="00FE753C"/>
    <w:rsid w:val="00FF2346"/>
    <w:rsid w:val="069C1D8B"/>
    <w:rsid w:val="14211153"/>
    <w:rsid w:val="14C17EA0"/>
    <w:rsid w:val="1AA065BF"/>
    <w:rsid w:val="2F81777F"/>
    <w:rsid w:val="39DB1E48"/>
    <w:rsid w:val="486A3402"/>
    <w:rsid w:val="4EC10EB7"/>
    <w:rsid w:val="5E8463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otnote reference"/>
    <w:semiHidden/>
    <w:unhideWhenUsed/>
    <w:qFormat/>
    <w:uiPriority w:val="99"/>
    <w:rPr>
      <w:vertAlign w:val="superscript"/>
    </w:rPr>
  </w:style>
  <w:style w:type="character" w:customStyle="1" w:styleId="12">
    <w:name w:val="页眉 Char"/>
    <w:basedOn w:val="10"/>
    <w:link w:val="4"/>
    <w:qFormat/>
    <w:uiPriority w:val="99"/>
    <w:rPr>
      <w:rFonts w:ascii="Times New Roman" w:hAnsi="Times New Roman" w:eastAsia="宋体" w:cs="Times New Roman"/>
      <w:sz w:val="18"/>
      <w:szCs w:val="18"/>
    </w:rPr>
  </w:style>
  <w:style w:type="character" w:customStyle="1" w:styleId="13">
    <w:name w:val="页脚 Char"/>
    <w:basedOn w:val="10"/>
    <w:link w:val="3"/>
    <w:qFormat/>
    <w:uiPriority w:val="99"/>
    <w:rPr>
      <w:rFonts w:ascii="Times New Roman" w:hAnsi="Times New Roman" w:eastAsia="宋体" w:cs="Times New Roman"/>
      <w:sz w:val="18"/>
      <w:szCs w:val="18"/>
    </w:rPr>
  </w:style>
  <w:style w:type="character" w:customStyle="1" w:styleId="14">
    <w:name w:val="批注框文本 Char"/>
    <w:basedOn w:val="10"/>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6">
    <w:name w:val="脚注文本 Char"/>
    <w:basedOn w:val="10"/>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1890</Words>
  <Characters>10777</Characters>
  <Lines>89</Lines>
  <Paragraphs>25</Paragraphs>
  <TotalTime>121</TotalTime>
  <ScaleCrop>false</ScaleCrop>
  <LinksUpToDate>false</LinksUpToDate>
  <CharactersWithSpaces>12642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2019-02-19T07:06:00Z</cp:lastPrinted>
  <dcterms:modified xsi:type="dcterms:W3CDTF">2024-01-17T09:42:54Z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0C917038D28247A9AB79EF011DEB7DC0</vt:lpwstr>
  </property>
</Properties>
</file>