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ascii="方正小标宋简体" w:eastAsia="方正小标宋简体" w:cs="宋体"/>
          <w:color w:val="000000"/>
          <w:kern w:val="0"/>
          <w:sz w:val="44"/>
          <w:szCs w:val="44"/>
        </w:rPr>
      </w:pPr>
      <w:r>
        <w:rPr>
          <w:rFonts w:hint="eastAsia" w:ascii="方正小标宋简体" w:eastAsia="方正小标宋简体" w:cs="宋体"/>
          <w:b/>
          <w:bCs/>
          <w:color w:val="000000"/>
          <w:kern w:val="0"/>
          <w:sz w:val="44"/>
          <w:szCs w:val="44"/>
        </w:rPr>
        <w:t>廊坊市广阳区质量技术监督局</w:t>
      </w:r>
      <w:r>
        <w:rPr>
          <w:rFonts w:ascii="方正小标宋简体" w:eastAsia="方正小标宋简体" w:cs="宋体"/>
          <w:b/>
          <w:bCs/>
          <w:color w:val="000000"/>
          <w:kern w:val="0"/>
          <w:sz w:val="44"/>
          <w:szCs w:val="44"/>
        </w:rPr>
        <w:t>2018</w:t>
      </w:r>
      <w:r>
        <w:rPr>
          <w:rFonts w:hint="eastAsia" w:ascii="方正小标宋简体" w:eastAsia="方正小标宋简体" w:cs="宋体"/>
          <w:b/>
          <w:bCs/>
          <w:color w:val="000000"/>
          <w:kern w:val="0"/>
          <w:sz w:val="44"/>
          <w:szCs w:val="44"/>
        </w:rPr>
        <w:t>年部门预算信息公开</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w:t>
      </w:r>
      <w:bookmarkStart w:id="1" w:name="_GoBack"/>
      <w:bookmarkEnd w:id="1"/>
      <w:r>
        <w:rPr>
          <w:rFonts w:hint="eastAsia" w:ascii="仿宋_GB2312" w:eastAsia="仿宋_GB2312"/>
          <w:sz w:val="32"/>
          <w:szCs w:val="32"/>
        </w:rPr>
        <w:t>预算法》、《地方预决算公开操作规程》和《河北省省级预算公开办法》规定，现将</w:t>
      </w:r>
      <w:r>
        <w:rPr>
          <w:rFonts w:hint="eastAsia" w:ascii="仿宋_GB2312" w:eastAsia="仿宋_GB2312" w:cs="宋体"/>
          <w:color w:val="000000"/>
          <w:kern w:val="0"/>
          <w:sz w:val="32"/>
          <w:szCs w:val="32"/>
        </w:rPr>
        <w:t>廊坊市广阳区质量技术监督局</w:t>
      </w:r>
      <w:r>
        <w:rPr>
          <w:rFonts w:ascii="仿宋_GB2312" w:eastAsia="仿宋_GB2312"/>
          <w:sz w:val="32"/>
          <w:szCs w:val="32"/>
        </w:rPr>
        <w:t>2018</w:t>
      </w:r>
      <w:r>
        <w:rPr>
          <w:rFonts w:hint="eastAsia" w:ascii="仿宋_GB2312" w:eastAsia="仿宋_GB2312"/>
          <w:sz w:val="32"/>
          <w:szCs w:val="32"/>
        </w:rPr>
        <w:t>年部门预算公开如下：</w:t>
      </w:r>
    </w:p>
    <w:p>
      <w:pPr>
        <w:spacing w:line="570" w:lineRule="exact"/>
        <w:ind w:firstLine="643" w:firstLineChars="200"/>
        <w:rPr>
          <w:rFonts w:ascii="仿宋_GB2312" w:eastAsia="仿宋_GB2312" w:cs="宋体"/>
          <w:b/>
          <w:bCs/>
          <w:color w:val="000000"/>
          <w:kern w:val="0"/>
          <w:sz w:val="32"/>
          <w:szCs w:val="32"/>
        </w:rPr>
      </w:pPr>
      <w:r>
        <w:rPr>
          <w:rFonts w:hint="eastAsia" w:ascii="黑体" w:eastAsia="黑体" w:cs="宋体"/>
          <w:b/>
          <w:bCs/>
          <w:color w:val="000000"/>
          <w:kern w:val="0"/>
          <w:sz w:val="32"/>
          <w:szCs w:val="32"/>
        </w:rPr>
        <w:t>部门职责及机构设置情况</w:t>
      </w:r>
      <w:r>
        <w:rPr>
          <w:rFonts w:ascii="黑体" w:eastAsia="黑体" w:cs="宋体"/>
          <w:b/>
          <w:bCs/>
          <w:color w:val="000000"/>
          <w:kern w:val="0"/>
          <w:sz w:val="32"/>
          <w:szCs w:val="32"/>
        </w:rPr>
        <w:t xml:space="preserve">   </w:t>
      </w:r>
      <w:r>
        <w:rPr>
          <w:rFonts w:hint="eastAsia" w:ascii="仿宋_GB2312" w:eastAsia="仿宋_GB2312" w:cs="宋体"/>
          <w:kern w:val="0"/>
          <w:sz w:val="32"/>
          <w:szCs w:val="32"/>
        </w:rPr>
        <w:br w:type="textWrapping"/>
      </w:r>
      <w:r>
        <w:rPr>
          <w:rFonts w:hint="eastAsia" w:ascii="楷体_GB2312" w:eastAsia="楷体_GB2312" w:cs="宋体"/>
          <w:b/>
          <w:bCs/>
          <w:color w:val="000000"/>
          <w:kern w:val="0"/>
          <w:sz w:val="32"/>
          <w:szCs w:val="32"/>
        </w:rPr>
        <w:t>部门职责</w:t>
      </w:r>
      <w:r>
        <w:rPr>
          <w:rFonts w:hint="eastAsia" w:ascii="仿宋_GB2312" w:eastAsia="仿宋_GB2312" w:cs="宋体"/>
          <w:b/>
          <w:bCs/>
          <w:color w:val="000000"/>
          <w:kern w:val="0"/>
          <w:sz w:val="32"/>
          <w:szCs w:val="32"/>
        </w:rPr>
        <w:t>：</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（1）、负责拟订提高本辖区质量水平的发展规划及政策措施并组织实施，负责与质量技术监督有关的技术规范工作。</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（2）、负责本辖区内质量宏观管理工作，拟订并组织实施当地质量发展规划，推进名牌发展战略，承担本辖区产品质量诚信体系建设工作。</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3）、负责本辖区产品质量监督工作,组织开展本辖区内产品质量安全强制检验、监督抽查等工作，负责本辖区内工业产品生产许可证管理和纤维产品质量监督检验工作，监督管理产品质量仲裁检验、鉴定，管理机动车安全技术检验机构认定；组织开展产品质量安全专项整治工作，依法查处产品质量违法行为，按分工打击假冒伪劣违法活动。</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(4)、统一监督管理本辖区标准化工作，贯彻国家、省、市标准化工作的法律、法规、方针、政策，并制定本辖区的具体实施办法；制定本辖区标准化工作的规划、计划；指导本辖区有关行政主管部门的标准化工作；组织制定有关地方标准；在本辖区内确定实施标准并进行监督；管理企业产品标准备案，监督企业按标准组织生产；管理辖区内组织机构代码和商品条码工作。</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5）、负责统一管理本辖区计量工作，推行法定计量单位和国家计量制度，管理和监督地方计量标准和标准物质，依法管理计量器具，组织本地量值传递和比对工作，监督管理商品量、市场计量行为和计量仲裁检定。</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6）、负责统一监督管理和综合协调本辖区认证认可工作，依法对本辖区内验定和检查机构进行监督管理，对认证认可相关的社会中介服务机构实施资格认可和监督管理，协调和监督强制性认证和自愿性认证工作，引导企业按国际惯例进行各种认证。</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（7）、承担本辖区食品包装材料、容器、食品生产经营工具等食品相关产品生产加工的质量安全监管及市场准入有关工作；按规定权限组织调查处理相关质量安全事故。</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8）、承担综合管理本辖区锅炉、压力容器、压力管道、电梯、起重机械、客运索道、游乐设施、场（厂）内专用机动车辆等特种设备安全监察、监督工作的责任，监督检查高耗能特种设备节能标准的执行情况。 </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（9）、制定并组织实施本辖区质量技术监督事业发展、科技发展和技术机构建设规划，组织有关科研和技术引进工作。</w:t>
      </w:r>
    </w:p>
    <w:p>
      <w:pPr>
        <w:spacing w:line="570" w:lineRule="exact"/>
        <w:ind w:firstLine="640" w:firstLineChars="200"/>
        <w:rPr>
          <w:rFonts w:hint="eastAsia" w:ascii="仿宋_GB2312" w:eastAsia="仿宋_GB2312" w:cs="宋体"/>
          <w:kern w:val="0"/>
          <w:sz w:val="32"/>
          <w:szCs w:val="32"/>
        </w:rPr>
      </w:pPr>
      <w:r>
        <w:rPr>
          <w:rFonts w:hint="eastAsia" w:ascii="仿宋_GB2312" w:eastAsia="仿宋_GB2312"/>
          <w:sz w:val="32"/>
          <w:szCs w:val="32"/>
        </w:rPr>
        <w:t>（10）、承办区政府和市质量技术监督局交办的其他事项</w:t>
      </w:r>
      <w:r>
        <w:rPr>
          <w:rFonts w:hint="eastAsia" w:ascii="仿宋_GB2312" w:eastAsia="仿宋_GB2312" w:cs="宋体"/>
          <w:kern w:val="0"/>
          <w:sz w:val="32"/>
          <w:szCs w:val="32"/>
        </w:rPr>
        <w:t>。</w:t>
      </w:r>
    </w:p>
    <w:p>
      <w:pPr>
        <w:spacing w:line="570" w:lineRule="exact"/>
        <w:ind w:left="638" w:leftChars="304"/>
        <w:rPr>
          <w:rFonts w:ascii="仿宋_GB2312" w:eastAsia="仿宋_GB2312" w:cs="宋体"/>
          <w:b/>
          <w:bCs/>
          <w:color w:val="000000"/>
          <w:kern w:val="0"/>
          <w:sz w:val="32"/>
          <w:szCs w:val="32"/>
        </w:rPr>
      </w:pPr>
    </w:p>
    <w:p>
      <w:pPr>
        <w:spacing w:line="570" w:lineRule="exact"/>
        <w:ind w:left="638" w:leftChars="304"/>
        <w:rPr>
          <w:rFonts w:ascii="仿宋_GB2312" w:eastAsia="仿宋_GB2312"/>
          <w:sz w:val="32"/>
          <w:szCs w:val="32"/>
        </w:rPr>
      </w:pPr>
      <w:r>
        <w:rPr>
          <w:rFonts w:hint="eastAsia" w:ascii="楷体_GB2312" w:eastAsia="楷体_GB2312" w:cs="宋体"/>
          <w:b/>
          <w:bCs/>
          <w:color w:val="000000"/>
          <w:kern w:val="0"/>
          <w:sz w:val="32"/>
          <w:szCs w:val="32"/>
        </w:rPr>
        <w:t>机构设置</w:t>
      </w:r>
      <w:r>
        <w:rPr>
          <w:rFonts w:hint="eastAsia" w:ascii="仿宋_GB2312" w:eastAsia="仿宋_GB2312" w:cs="宋体"/>
          <w:b/>
          <w:bCs/>
          <w:color w:val="000000"/>
          <w:kern w:val="0"/>
          <w:sz w:val="32"/>
          <w:szCs w:val="32"/>
        </w:rPr>
        <w:t>：</w:t>
      </w:r>
    </w:p>
    <w:p>
      <w:pPr>
        <w:widowControl/>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部门机构设置情况</w:t>
      </w:r>
    </w:p>
    <w:tbl>
      <w:tblPr>
        <w:tblStyle w:val="4"/>
        <w:tblW w:w="12318" w:type="dxa"/>
        <w:tblCellSpacing w:w="0" w:type="dxa"/>
        <w:tblInd w:w="44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197"/>
        <w:gridCol w:w="2075"/>
        <w:gridCol w:w="1789"/>
        <w:gridCol w:w="425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83" w:hRule="atLeast"/>
          <w:tblHeader/>
          <w:tblCellSpacing w:w="0" w:type="dxa"/>
        </w:trPr>
        <w:tc>
          <w:tcPr>
            <w:tcW w:w="4197" w:type="dxa"/>
            <w:tcBorders>
              <w:top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单位名称</w:t>
            </w:r>
          </w:p>
        </w:tc>
        <w:tc>
          <w:tcPr>
            <w:tcW w:w="2075"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单位性质</w:t>
            </w:r>
          </w:p>
        </w:tc>
        <w:tc>
          <w:tcPr>
            <w:tcW w:w="1789"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单位规格</w:t>
            </w:r>
          </w:p>
        </w:tc>
        <w:tc>
          <w:tcPr>
            <w:tcW w:w="4257" w:type="dxa"/>
            <w:tcBorders>
              <w:top w:val="outset" w:color="auto" w:sz="6" w:space="0"/>
              <w:left w:val="outset" w:color="auto" w:sz="6" w:space="0"/>
              <w:bottom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trPr>
        <w:tc>
          <w:tcPr>
            <w:tcW w:w="4197" w:type="dxa"/>
            <w:tcBorders>
              <w:top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廊坊市广阳区质量技术监督局</w:t>
            </w:r>
          </w:p>
        </w:tc>
        <w:tc>
          <w:tcPr>
            <w:tcW w:w="2075"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行政单位</w:t>
            </w:r>
          </w:p>
        </w:tc>
        <w:tc>
          <w:tcPr>
            <w:tcW w:w="1789"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正科级</w:t>
            </w:r>
          </w:p>
        </w:tc>
        <w:tc>
          <w:tcPr>
            <w:tcW w:w="4257" w:type="dxa"/>
            <w:tcBorders>
              <w:top w:val="outset" w:color="auto" w:sz="6" w:space="0"/>
              <w:left w:val="outset" w:color="auto" w:sz="6" w:space="0"/>
              <w:bottom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财政拨款</w:t>
            </w:r>
          </w:p>
        </w:tc>
      </w:tr>
    </w:tbl>
    <w:p>
      <w:pPr>
        <w:widowControl/>
        <w:spacing w:line="570" w:lineRule="exact"/>
        <w:jc w:val="left"/>
        <w:rPr>
          <w:rFonts w:ascii="仿宋_GB2312" w:eastAsia="仿宋_GB2312" w:cs="宋体"/>
          <w:color w:val="000000"/>
          <w:kern w:val="0"/>
          <w:sz w:val="32"/>
          <w:szCs w:val="32"/>
        </w:rPr>
      </w:pPr>
      <w:r>
        <w:rPr>
          <w:rFonts w:ascii="宋体" w:hAnsi="宋体" w:eastAsia="黑体" w:cs="宋体"/>
          <w:color w:val="000000"/>
          <w:kern w:val="0"/>
          <w:sz w:val="32"/>
          <w:szCs w:val="32"/>
        </w:rPr>
        <w:t> </w:t>
      </w:r>
      <w:r>
        <w:rPr>
          <w:rFonts w:hint="eastAsia" w:ascii="黑体" w:eastAsia="黑体" w:cs="宋体"/>
          <w:b/>
          <w:bCs/>
          <w:color w:val="000000"/>
          <w:kern w:val="0"/>
          <w:sz w:val="32"/>
          <w:szCs w:val="32"/>
        </w:rPr>
        <w:t>二、部门预算安排的总体情况</w:t>
      </w:r>
      <w:r>
        <w:rPr>
          <w:rFonts w:ascii="黑体" w:eastAsia="黑体" w:cs="宋体"/>
          <w:color w:val="000000"/>
          <w:kern w:val="0"/>
          <w:sz w:val="32"/>
          <w:szCs w:val="32"/>
        </w:rPr>
        <w:br w:type="textWrapping"/>
      </w:r>
      <w:r>
        <w:rPr>
          <w:rFonts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r>
        <w:rPr>
          <w:rFonts w:hint="eastAsia" w:ascii="仿宋_GB2312" w:hAnsi="Times New Roman" w:eastAsia="仿宋_GB2312" w:cs="Times New Roman"/>
          <w:sz w:val="32"/>
          <w:szCs w:val="32"/>
        </w:rPr>
        <w:t>廊坊市</w:t>
      </w:r>
      <w:r>
        <w:rPr>
          <w:rFonts w:hint="eastAsia" w:ascii="仿宋_GB2312" w:eastAsia="仿宋_GB2312" w:cs="宋体"/>
          <w:color w:val="000000"/>
          <w:kern w:val="0"/>
          <w:sz w:val="32"/>
          <w:szCs w:val="32"/>
        </w:rPr>
        <w:t>广阳区</w:t>
      </w:r>
      <w:r>
        <w:rPr>
          <w:rFonts w:hint="eastAsia" w:ascii="仿宋_GB2312" w:eastAsia="仿宋_GB2312" w:cs="宋体"/>
          <w:color w:val="000000"/>
          <w:kern w:val="0"/>
          <w:sz w:val="32"/>
          <w:szCs w:val="32"/>
          <w:lang w:eastAsia="zh-CN"/>
        </w:rPr>
        <w:t>质量技术监督局</w:t>
      </w:r>
      <w:r>
        <w:rPr>
          <w:rFonts w:hint="eastAsia" w:ascii="仿宋_GB2312" w:hAnsi="Times New Roman" w:eastAsia="仿宋_GB2312" w:cs="Times New Roman"/>
          <w:sz w:val="32"/>
          <w:szCs w:val="32"/>
        </w:rPr>
        <w:t>机关及所属事业单位的收支包含在部门预算中</w:t>
      </w:r>
      <w:r>
        <w:rPr>
          <w:rFonts w:hint="eastAsia" w:ascii="仿宋_GB2312" w:hAnsi="Times New Roman" w:eastAsia="仿宋_GB2312" w:cs="Times New Roman"/>
          <w:sz w:val="32"/>
          <w:szCs w:val="32"/>
          <w:lang w:eastAsia="zh-CN"/>
        </w:rPr>
        <w:t>。</w:t>
      </w:r>
    </w:p>
    <w:p>
      <w:pPr>
        <w:widowControl/>
        <w:spacing w:line="570" w:lineRule="exact"/>
        <w:ind w:firstLine="643" w:firstLineChars="200"/>
        <w:jc w:val="left"/>
        <w:rPr>
          <w:rFonts w:ascii="仿宋_GB2312" w:eastAsia="仿宋_GB2312" w:cs="宋体"/>
          <w:color w:val="000000"/>
          <w:kern w:val="0"/>
          <w:sz w:val="32"/>
          <w:szCs w:val="32"/>
        </w:rPr>
      </w:pPr>
      <w:r>
        <w:rPr>
          <w:rFonts w:ascii="楷体_GB2312" w:eastAsia="楷体_GB2312" w:cs="宋体"/>
          <w:b/>
          <w:bCs/>
          <w:color w:val="000000"/>
          <w:kern w:val="0"/>
          <w:sz w:val="32"/>
          <w:szCs w:val="32"/>
        </w:rPr>
        <w:t>1</w:t>
      </w:r>
      <w:r>
        <w:rPr>
          <w:rFonts w:hint="eastAsia" w:ascii="楷体_GB2312" w:eastAsia="楷体_GB2312" w:cs="宋体"/>
          <w:b/>
          <w:bCs/>
          <w:color w:val="000000"/>
          <w:kern w:val="0"/>
          <w:sz w:val="32"/>
          <w:szCs w:val="32"/>
        </w:rPr>
        <w:t>、收入说明</w:t>
      </w:r>
    </w:p>
    <w:p>
      <w:pPr>
        <w:widowControl/>
        <w:spacing w:line="570" w:lineRule="exact"/>
        <w:ind w:firstLine="640" w:firstLineChars="200"/>
        <w:jc w:val="left"/>
        <w:rPr>
          <w:rFonts w:ascii="仿宋_GB2312" w:eastAsia="仿宋_GB2312" w:cs="宋体"/>
          <w:bCs/>
          <w:color w:val="000000"/>
          <w:kern w:val="0"/>
          <w:sz w:val="32"/>
          <w:szCs w:val="32"/>
        </w:rPr>
      </w:pPr>
      <w:r>
        <w:rPr>
          <w:rFonts w:ascii="仿宋_GB2312" w:eastAsia="仿宋_GB2312" w:cs="宋体"/>
          <w:color w:val="000000"/>
          <w:kern w:val="0"/>
          <w:sz w:val="32"/>
          <w:szCs w:val="32"/>
        </w:rPr>
        <w:t>2018</w:t>
      </w:r>
      <w:r>
        <w:rPr>
          <w:rFonts w:hint="eastAsia" w:ascii="仿宋_GB2312" w:eastAsia="仿宋_GB2312" w:cs="宋体"/>
          <w:color w:val="000000"/>
          <w:kern w:val="0"/>
          <w:sz w:val="32"/>
          <w:szCs w:val="32"/>
        </w:rPr>
        <w:t>年预算收入</w:t>
      </w:r>
      <w:r>
        <w:rPr>
          <w:rFonts w:ascii="仿宋_GB2312" w:eastAsia="仿宋_GB2312" w:cs="Times New Roman"/>
          <w:sz w:val="32"/>
          <w:szCs w:val="32"/>
        </w:rPr>
        <w:t>422.46</w:t>
      </w:r>
      <w:r>
        <w:rPr>
          <w:rFonts w:hint="eastAsia" w:ascii="仿宋_GB2312" w:eastAsia="仿宋_GB2312" w:cs="宋体"/>
          <w:color w:val="000000"/>
          <w:kern w:val="0"/>
          <w:sz w:val="32"/>
          <w:szCs w:val="32"/>
        </w:rPr>
        <w:t>万元，其中：一般公共预算收入</w:t>
      </w:r>
      <w:r>
        <w:rPr>
          <w:rFonts w:ascii="仿宋_GB2312" w:eastAsia="仿宋_GB2312" w:cs="Times New Roman"/>
          <w:sz w:val="32"/>
          <w:szCs w:val="32"/>
        </w:rPr>
        <w:t>422.46</w:t>
      </w:r>
      <w:r>
        <w:rPr>
          <w:rFonts w:hint="eastAsia" w:ascii="仿宋_GB2312" w:eastAsia="仿宋_GB2312" w:cs="宋体"/>
          <w:color w:val="000000"/>
          <w:kern w:val="0"/>
          <w:sz w:val="32"/>
          <w:szCs w:val="32"/>
        </w:rPr>
        <w:t>万元，政府性基金收入</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万元，事业收入</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万元，其他收入</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万元。</w:t>
      </w:r>
    </w:p>
    <w:p>
      <w:pPr>
        <w:widowControl/>
        <w:spacing w:line="570" w:lineRule="exact"/>
        <w:ind w:firstLine="643" w:firstLineChars="200"/>
        <w:jc w:val="left"/>
        <w:rPr>
          <w:rFonts w:ascii="仿宋_GB2312" w:eastAsia="仿宋_GB2312" w:cs="宋体"/>
          <w:color w:val="000000"/>
          <w:kern w:val="0"/>
          <w:sz w:val="32"/>
          <w:szCs w:val="32"/>
        </w:rPr>
      </w:pPr>
      <w:r>
        <w:rPr>
          <w:rFonts w:ascii="楷体_GB2312" w:eastAsia="楷体_GB2312" w:cs="宋体"/>
          <w:b/>
          <w:bCs/>
          <w:color w:val="000000"/>
          <w:kern w:val="0"/>
          <w:sz w:val="32"/>
          <w:szCs w:val="32"/>
        </w:rPr>
        <w:t>2</w:t>
      </w:r>
      <w:r>
        <w:rPr>
          <w:rFonts w:hint="eastAsia" w:ascii="楷体_GB2312" w:eastAsia="楷体_GB2312" w:cs="宋体"/>
          <w:b/>
          <w:bCs/>
          <w:color w:val="000000"/>
          <w:kern w:val="0"/>
          <w:sz w:val="32"/>
          <w:szCs w:val="32"/>
        </w:rPr>
        <w:t>、支出说明</w:t>
      </w:r>
    </w:p>
    <w:p>
      <w:pPr>
        <w:spacing w:line="570" w:lineRule="exact"/>
        <w:ind w:firstLine="640"/>
        <w:rPr>
          <w:rFonts w:ascii="仿宋_GB2312" w:eastAsia="仿宋_GB2312" w:cs="宋体"/>
          <w:color w:val="000000"/>
          <w:kern w:val="0"/>
          <w:sz w:val="32"/>
          <w:szCs w:val="32"/>
        </w:rPr>
      </w:pPr>
      <w:r>
        <w:rPr>
          <w:rFonts w:hint="eastAsia" w:ascii="仿宋_GB2312" w:eastAsia="仿宋_GB2312" w:cs="宋体"/>
          <w:color w:val="000000"/>
          <w:kern w:val="0"/>
          <w:sz w:val="32"/>
          <w:szCs w:val="32"/>
        </w:rPr>
        <w:t>收支预算总表支出栏、基本支出表、项目支出表按经济分类和支出功能分类科目编制，反映河北省</w:t>
      </w:r>
      <w:r>
        <w:rPr>
          <w:rFonts w:ascii="仿宋_GB2312" w:eastAsia="仿宋_GB2312" w:cs="宋体"/>
          <w:color w:val="000000"/>
          <w:kern w:val="0"/>
          <w:sz w:val="32"/>
          <w:szCs w:val="32"/>
        </w:rPr>
        <w:t>2018</w:t>
      </w:r>
      <w:r>
        <w:rPr>
          <w:rFonts w:hint="eastAsia" w:ascii="仿宋_GB2312" w:eastAsia="仿宋_GB2312" w:cs="宋体"/>
          <w:color w:val="000000"/>
          <w:kern w:val="0"/>
          <w:sz w:val="32"/>
          <w:szCs w:val="32"/>
        </w:rPr>
        <w:t>年度部门预算中支出预算的总体情况。</w:t>
      </w:r>
      <w:r>
        <w:rPr>
          <w:rFonts w:ascii="仿宋_GB2312" w:eastAsia="仿宋_GB2312" w:cs="宋体"/>
          <w:color w:val="000000"/>
          <w:kern w:val="0"/>
          <w:sz w:val="32"/>
          <w:szCs w:val="32"/>
        </w:rPr>
        <w:t>2018</w:t>
      </w:r>
      <w:r>
        <w:rPr>
          <w:rFonts w:hint="eastAsia" w:ascii="仿宋_GB2312" w:eastAsia="仿宋_GB2312" w:cs="宋体"/>
          <w:color w:val="000000"/>
          <w:kern w:val="0"/>
          <w:sz w:val="32"/>
          <w:szCs w:val="32"/>
        </w:rPr>
        <w:t>年支出预算</w:t>
      </w:r>
      <w:r>
        <w:rPr>
          <w:rFonts w:ascii="仿宋_GB2312" w:eastAsia="仿宋_GB2312" w:cs="宋体"/>
          <w:color w:val="000000"/>
          <w:kern w:val="0"/>
          <w:sz w:val="32"/>
          <w:szCs w:val="32"/>
        </w:rPr>
        <w:t>422.46</w:t>
      </w:r>
      <w:r>
        <w:rPr>
          <w:rFonts w:hint="eastAsia" w:ascii="仿宋_GB2312" w:eastAsia="仿宋_GB2312" w:cs="宋体"/>
          <w:color w:val="000000"/>
          <w:kern w:val="0"/>
          <w:sz w:val="32"/>
          <w:szCs w:val="32"/>
        </w:rPr>
        <w:t>万元，其中基本支出</w:t>
      </w:r>
      <w:r>
        <w:rPr>
          <w:rFonts w:ascii="仿宋_GB2312" w:eastAsia="仿宋_GB2312" w:cs="宋体"/>
          <w:color w:val="000000"/>
          <w:kern w:val="0"/>
          <w:sz w:val="32"/>
          <w:szCs w:val="32"/>
        </w:rPr>
        <w:t>396.14</w:t>
      </w:r>
      <w:r>
        <w:rPr>
          <w:rFonts w:hint="eastAsia" w:ascii="仿宋_GB2312" w:eastAsia="仿宋_GB2312" w:cs="宋体"/>
          <w:color w:val="000000"/>
          <w:kern w:val="0"/>
          <w:sz w:val="32"/>
          <w:szCs w:val="32"/>
        </w:rPr>
        <w:t>万元，包括人员经费</w:t>
      </w:r>
      <w:r>
        <w:rPr>
          <w:rFonts w:hint="eastAsia" w:ascii="仿宋_GB2312" w:eastAsia="仿宋_GB2312" w:cs="宋体"/>
          <w:color w:val="000000"/>
          <w:kern w:val="0"/>
          <w:sz w:val="32"/>
          <w:szCs w:val="32"/>
          <w:lang w:val="en-US" w:eastAsia="zh-CN"/>
        </w:rPr>
        <w:t>365.64万元</w:t>
      </w:r>
      <w:r>
        <w:rPr>
          <w:rFonts w:hint="eastAsia" w:ascii="仿宋_GB2312" w:eastAsia="仿宋_GB2312" w:cs="宋体"/>
          <w:color w:val="000000"/>
          <w:kern w:val="0"/>
          <w:sz w:val="32"/>
          <w:szCs w:val="32"/>
        </w:rPr>
        <w:t>和日常公用经费</w:t>
      </w:r>
      <w:r>
        <w:rPr>
          <w:rFonts w:hint="eastAsia" w:ascii="仿宋_GB2312" w:eastAsia="仿宋_GB2312" w:cs="宋体"/>
          <w:color w:val="000000"/>
          <w:kern w:val="0"/>
          <w:sz w:val="32"/>
          <w:szCs w:val="32"/>
          <w:lang w:val="en-US" w:eastAsia="zh-CN"/>
        </w:rPr>
        <w:t>30.50万元</w:t>
      </w:r>
      <w:r>
        <w:rPr>
          <w:rFonts w:hint="eastAsia" w:ascii="仿宋_GB2312" w:eastAsia="仿宋_GB2312" w:cs="宋体"/>
          <w:color w:val="000000"/>
          <w:kern w:val="0"/>
          <w:sz w:val="32"/>
          <w:szCs w:val="32"/>
        </w:rPr>
        <w:t>；项目支出</w:t>
      </w:r>
      <w:r>
        <w:rPr>
          <w:rFonts w:ascii="仿宋_GB2312" w:eastAsia="仿宋_GB2312" w:cs="宋体"/>
          <w:color w:val="000000"/>
          <w:kern w:val="0"/>
          <w:sz w:val="32"/>
          <w:szCs w:val="32"/>
        </w:rPr>
        <w:t>26.32</w:t>
      </w:r>
      <w:r>
        <w:rPr>
          <w:rFonts w:hint="eastAsia" w:ascii="仿宋_GB2312" w:eastAsia="仿宋_GB2312" w:cs="宋体"/>
          <w:color w:val="000000"/>
          <w:kern w:val="0"/>
          <w:sz w:val="32"/>
          <w:szCs w:val="32"/>
        </w:rPr>
        <w:t>万元，包括本级支出，主要为质量管理经费、质量强区经费、</w:t>
      </w:r>
      <w:r>
        <w:rPr>
          <w:rFonts w:ascii="仿宋_GB2312" w:eastAsia="仿宋_GB2312" w:cs="宋体"/>
          <w:color w:val="000000"/>
          <w:kern w:val="0"/>
          <w:sz w:val="32"/>
          <w:szCs w:val="32"/>
        </w:rPr>
        <w:t>2018</w:t>
      </w:r>
      <w:r>
        <w:rPr>
          <w:rFonts w:hint="eastAsia" w:ascii="仿宋_GB2312" w:eastAsia="仿宋_GB2312" w:cs="宋体"/>
          <w:color w:val="000000"/>
          <w:kern w:val="0"/>
          <w:sz w:val="32"/>
          <w:szCs w:val="32"/>
        </w:rPr>
        <w:t>年质量技术监督专项补助经费等。</w:t>
      </w:r>
    </w:p>
    <w:p>
      <w:pPr>
        <w:widowControl/>
        <w:spacing w:line="570" w:lineRule="exact"/>
        <w:ind w:firstLine="643" w:firstLineChars="200"/>
        <w:jc w:val="left"/>
        <w:rPr>
          <w:rFonts w:ascii="楷体_GB2312" w:eastAsia="楷体_GB2312" w:cs="宋体"/>
          <w:b/>
          <w:bCs/>
          <w:color w:val="000000"/>
          <w:kern w:val="0"/>
          <w:sz w:val="32"/>
          <w:szCs w:val="32"/>
        </w:rPr>
      </w:pPr>
      <w:r>
        <w:rPr>
          <w:rFonts w:ascii="楷体_GB2312" w:eastAsia="楷体_GB2312" w:cs="宋体"/>
          <w:b/>
          <w:bCs/>
          <w:color w:val="000000"/>
          <w:kern w:val="0"/>
          <w:sz w:val="32"/>
          <w:szCs w:val="32"/>
        </w:rPr>
        <w:t>3</w:t>
      </w:r>
      <w:r>
        <w:rPr>
          <w:rFonts w:hint="eastAsia" w:ascii="楷体_GB2312" w:eastAsia="楷体_GB2312" w:cs="宋体"/>
          <w:b/>
          <w:bCs/>
          <w:color w:val="000000"/>
          <w:kern w:val="0"/>
          <w:sz w:val="32"/>
          <w:szCs w:val="32"/>
        </w:rPr>
        <w:t>、比上年增减情况</w:t>
      </w:r>
    </w:p>
    <w:p>
      <w:pPr>
        <w:widowControl/>
        <w:spacing w:line="570" w:lineRule="exact"/>
        <w:ind w:firstLine="640" w:firstLineChars="200"/>
        <w:jc w:val="left"/>
        <w:rPr>
          <w:rFonts w:ascii="黑体" w:eastAsia="黑体" w:cs="宋体"/>
          <w:b/>
          <w:bCs/>
          <w:color w:val="000000"/>
          <w:kern w:val="0"/>
          <w:sz w:val="32"/>
          <w:szCs w:val="32"/>
        </w:rPr>
      </w:pPr>
      <w:r>
        <w:rPr>
          <w:rFonts w:ascii="仿宋_GB2312" w:eastAsia="仿宋_GB2312" w:cs="宋体"/>
          <w:color w:val="000000"/>
          <w:kern w:val="0"/>
          <w:sz w:val="32"/>
          <w:szCs w:val="32"/>
        </w:rPr>
        <w:t>2018</w:t>
      </w:r>
      <w:r>
        <w:rPr>
          <w:rFonts w:hint="eastAsia" w:ascii="仿宋_GB2312" w:eastAsia="仿宋_GB2312" w:cs="宋体"/>
          <w:color w:val="000000"/>
          <w:kern w:val="0"/>
          <w:sz w:val="32"/>
          <w:szCs w:val="32"/>
        </w:rPr>
        <w:t>年预算收支安排</w:t>
      </w:r>
      <w:r>
        <w:rPr>
          <w:rFonts w:ascii="仿宋_GB2312" w:eastAsia="仿宋_GB2312" w:cs="宋体"/>
          <w:color w:val="000000"/>
          <w:kern w:val="0"/>
          <w:sz w:val="32"/>
          <w:szCs w:val="32"/>
        </w:rPr>
        <w:t>422.46</w:t>
      </w:r>
      <w:r>
        <w:rPr>
          <w:rFonts w:hint="eastAsia" w:ascii="仿宋_GB2312" w:eastAsia="仿宋_GB2312" w:cs="宋体"/>
          <w:color w:val="000000"/>
          <w:kern w:val="0"/>
          <w:sz w:val="32"/>
          <w:szCs w:val="32"/>
        </w:rPr>
        <w:t>万元，较</w:t>
      </w:r>
      <w:r>
        <w:rPr>
          <w:rFonts w:ascii="仿宋_GB2312" w:eastAsia="仿宋_GB2312" w:cs="宋体"/>
          <w:color w:val="000000"/>
          <w:kern w:val="0"/>
          <w:sz w:val="32"/>
          <w:szCs w:val="32"/>
        </w:rPr>
        <w:t>2017</w:t>
      </w:r>
      <w:r>
        <w:rPr>
          <w:rFonts w:hint="eastAsia" w:ascii="仿宋_GB2312" w:eastAsia="仿宋_GB2312" w:cs="宋体"/>
          <w:color w:val="000000"/>
          <w:kern w:val="0"/>
          <w:sz w:val="32"/>
          <w:szCs w:val="32"/>
        </w:rPr>
        <w:t>年预算增加</w:t>
      </w:r>
      <w:r>
        <w:rPr>
          <w:rFonts w:ascii="仿宋_GB2312" w:eastAsia="仿宋_GB2312" w:cs="宋体"/>
          <w:color w:val="000000"/>
          <w:kern w:val="0"/>
          <w:sz w:val="32"/>
          <w:szCs w:val="32"/>
        </w:rPr>
        <w:t>53.71</w:t>
      </w:r>
      <w:r>
        <w:rPr>
          <w:rFonts w:hint="eastAsia" w:ascii="仿宋_GB2312" w:eastAsia="仿宋_GB2312" w:cs="宋体"/>
          <w:color w:val="000000"/>
          <w:kern w:val="0"/>
          <w:sz w:val="32"/>
          <w:szCs w:val="32"/>
        </w:rPr>
        <w:t>万元，其中：基本支出增加</w:t>
      </w:r>
      <w:r>
        <w:rPr>
          <w:rFonts w:ascii="仿宋_GB2312" w:eastAsia="仿宋_GB2312" w:cs="宋体"/>
          <w:color w:val="000000"/>
          <w:kern w:val="0"/>
          <w:sz w:val="32"/>
          <w:szCs w:val="32"/>
        </w:rPr>
        <w:t>50.27</w:t>
      </w:r>
      <w:r>
        <w:rPr>
          <w:rFonts w:hint="eastAsia" w:ascii="仿宋_GB2312" w:eastAsia="仿宋_GB2312" w:cs="宋体"/>
          <w:color w:val="000000"/>
          <w:kern w:val="0"/>
          <w:sz w:val="32"/>
          <w:szCs w:val="32"/>
        </w:rPr>
        <w:t>万元，主要为</w:t>
      </w:r>
      <w:r>
        <w:rPr>
          <w:rFonts w:hint="eastAsia" w:ascii="仿宋_GB2312" w:eastAsia="仿宋_GB2312" w:cs="Times New Roman"/>
          <w:sz w:val="32"/>
          <w:szCs w:val="32"/>
        </w:rPr>
        <w:t>增加人员经费支出</w:t>
      </w:r>
      <w:r>
        <w:rPr>
          <w:rFonts w:hint="eastAsia" w:ascii="仿宋_GB2312" w:eastAsia="仿宋_GB2312" w:cs="宋体"/>
          <w:color w:val="000000"/>
          <w:kern w:val="0"/>
          <w:sz w:val="32"/>
          <w:szCs w:val="32"/>
        </w:rPr>
        <w:t>；项目支出增加</w:t>
      </w:r>
      <w:r>
        <w:rPr>
          <w:rFonts w:ascii="仿宋_GB2312" w:eastAsia="仿宋_GB2312" w:cs="宋体"/>
          <w:color w:val="000000"/>
          <w:kern w:val="0"/>
          <w:sz w:val="32"/>
          <w:szCs w:val="32"/>
        </w:rPr>
        <w:t>3.44</w:t>
      </w:r>
      <w:r>
        <w:rPr>
          <w:rFonts w:hint="eastAsia" w:ascii="仿宋_GB2312" w:eastAsia="仿宋_GB2312" w:cs="宋体"/>
          <w:color w:val="000000"/>
          <w:kern w:val="0"/>
          <w:sz w:val="32"/>
          <w:szCs w:val="32"/>
        </w:rPr>
        <w:t>万元，主要增加质量强区项目支出。</w:t>
      </w:r>
      <w:r>
        <w:rPr>
          <w:rFonts w:ascii="仿宋_GB2312" w:eastAsia="仿宋_GB2312" w:cs="宋体"/>
          <w:color w:val="000000"/>
          <w:kern w:val="0"/>
          <w:sz w:val="32"/>
          <w:szCs w:val="32"/>
        </w:rPr>
        <w:br w:type="textWrapping"/>
      </w:r>
      <w:r>
        <w:rPr>
          <w:rFonts w:hint="eastAsia" w:ascii="黑体" w:eastAsia="黑体" w:cs="宋体"/>
          <w:b/>
          <w:bCs/>
          <w:color w:val="000000"/>
          <w:kern w:val="0"/>
          <w:sz w:val="32"/>
          <w:szCs w:val="32"/>
        </w:rPr>
        <w:t>三、机关运行经费安排情况</w:t>
      </w:r>
    </w:p>
    <w:p>
      <w:pPr>
        <w:widowControl/>
        <w:spacing w:line="570" w:lineRule="exact"/>
        <w:ind w:firstLine="640" w:firstLineChars="200"/>
        <w:jc w:val="left"/>
        <w:rPr>
          <w:rFonts w:ascii="仿宋_GB2312" w:eastAsia="仿宋_GB2312" w:cs="宋体"/>
          <w:color w:val="000000"/>
          <w:kern w:val="0"/>
          <w:sz w:val="32"/>
          <w:szCs w:val="32"/>
        </w:rPr>
      </w:pPr>
      <w:r>
        <w:rPr>
          <w:rFonts w:ascii="仿宋_GB2312" w:eastAsia="仿宋_GB2312" w:cs="宋体"/>
          <w:color w:val="000000"/>
          <w:kern w:val="0"/>
          <w:sz w:val="32"/>
          <w:szCs w:val="32"/>
        </w:rPr>
        <w:t>2018</w:t>
      </w:r>
      <w:r>
        <w:rPr>
          <w:rFonts w:hint="eastAsia" w:ascii="仿宋_GB2312" w:eastAsia="仿宋_GB2312" w:cs="宋体"/>
          <w:color w:val="000000"/>
          <w:kern w:val="0"/>
          <w:sz w:val="32"/>
          <w:szCs w:val="32"/>
        </w:rPr>
        <w:t>年预算安排我部门机关运行经费</w:t>
      </w:r>
      <w:r>
        <w:rPr>
          <w:rFonts w:ascii="仿宋_GB2312" w:eastAsia="仿宋_GB2312" w:cs="宋体"/>
          <w:color w:val="000000"/>
          <w:kern w:val="0"/>
          <w:sz w:val="32"/>
          <w:szCs w:val="32"/>
        </w:rPr>
        <w:t>1.26</w:t>
      </w:r>
      <w:r>
        <w:rPr>
          <w:rFonts w:hint="eastAsia" w:ascii="仿宋_GB2312" w:eastAsia="仿宋_GB2312" w:cs="宋体"/>
          <w:color w:val="000000"/>
          <w:kern w:val="0"/>
          <w:sz w:val="32"/>
          <w:szCs w:val="32"/>
        </w:rPr>
        <w:t>万元，其中办公经费</w:t>
      </w:r>
      <w:r>
        <w:rPr>
          <w:rFonts w:ascii="仿宋_GB2312" w:eastAsia="仿宋_GB2312" w:cs="宋体"/>
          <w:color w:val="000000"/>
          <w:kern w:val="0"/>
          <w:sz w:val="32"/>
          <w:szCs w:val="32"/>
        </w:rPr>
        <w:t>1.26</w:t>
      </w:r>
      <w:r>
        <w:rPr>
          <w:rFonts w:hint="eastAsia" w:ascii="仿宋_GB2312" w:eastAsia="仿宋_GB2312" w:cs="宋体"/>
          <w:color w:val="000000"/>
          <w:kern w:val="0"/>
          <w:sz w:val="32"/>
          <w:szCs w:val="32"/>
        </w:rPr>
        <w:t>万元，其他业务费</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万元。主要用于办公区的日常维修、办公用房物业管理费、</w:t>
      </w:r>
      <w:r>
        <w:rPr>
          <w:rFonts w:hint="eastAsia" w:ascii="仿宋_GB2312" w:eastAsia="仿宋_GB2312" w:cs="宋体"/>
          <w:kern w:val="0"/>
          <w:sz w:val="32"/>
          <w:szCs w:val="32"/>
          <w:lang w:val="zh-CN"/>
        </w:rPr>
        <w:t>公务用车运行维护费以及其他费用</w:t>
      </w:r>
      <w:r>
        <w:rPr>
          <w:rFonts w:hint="eastAsia" w:ascii="仿宋_GB2312" w:eastAsia="仿宋_GB2312" w:cs="宋体"/>
          <w:kern w:val="0"/>
          <w:sz w:val="32"/>
          <w:szCs w:val="32"/>
        </w:rPr>
        <w:t>等</w:t>
      </w:r>
      <w:r>
        <w:rPr>
          <w:rFonts w:hint="eastAsia" w:ascii="仿宋_GB2312" w:eastAsia="仿宋_GB2312" w:cs="宋体"/>
          <w:color w:val="000000"/>
          <w:kern w:val="0"/>
          <w:sz w:val="32"/>
          <w:szCs w:val="32"/>
        </w:rPr>
        <w:t>日常运行支出。</w:t>
      </w:r>
    </w:p>
    <w:p>
      <w:pPr>
        <w:widowControl/>
        <w:spacing w:line="570" w:lineRule="exact"/>
        <w:jc w:val="left"/>
        <w:rPr>
          <w:rFonts w:ascii="黑体" w:eastAsia="黑体" w:cs="宋体"/>
          <w:b/>
          <w:bCs/>
          <w:color w:val="000000"/>
          <w:kern w:val="0"/>
          <w:sz w:val="32"/>
          <w:szCs w:val="32"/>
        </w:rPr>
      </w:pPr>
      <w:r>
        <w:rPr>
          <w:rFonts w:hint="eastAsia" w:ascii="黑体" w:eastAsia="黑体" w:cs="宋体"/>
          <w:b/>
          <w:bCs/>
          <w:color w:val="000000"/>
          <w:kern w:val="0"/>
          <w:sz w:val="32"/>
          <w:szCs w:val="32"/>
        </w:rPr>
        <w:t>四、财政拨款“三公”经费预算情况及增减变化原因</w:t>
      </w:r>
    </w:p>
    <w:p>
      <w:pPr>
        <w:spacing w:line="570" w:lineRule="exact"/>
        <w:ind w:firstLine="720" w:firstLineChars="225"/>
        <w:rPr>
          <w:rFonts w:ascii="仿宋_GB2312" w:eastAsia="仿宋_GB2312"/>
          <w:sz w:val="32"/>
          <w:szCs w:val="32"/>
        </w:rPr>
      </w:pPr>
      <w:r>
        <w:rPr>
          <w:rFonts w:ascii="仿宋_GB2312" w:eastAsia="仿宋_GB2312" w:cs="宋体"/>
          <w:color w:val="000000"/>
          <w:kern w:val="0"/>
          <w:sz w:val="32"/>
          <w:szCs w:val="32"/>
        </w:rPr>
        <w:t>2018</w:t>
      </w:r>
      <w:r>
        <w:rPr>
          <w:rFonts w:hint="eastAsia" w:ascii="仿宋_GB2312" w:eastAsia="仿宋_GB2312" w:cs="宋体"/>
          <w:color w:val="000000"/>
          <w:kern w:val="0"/>
          <w:sz w:val="32"/>
          <w:szCs w:val="32"/>
        </w:rPr>
        <w:t>年，我部门“三公”经费预算安排</w:t>
      </w:r>
      <w:r>
        <w:rPr>
          <w:rFonts w:ascii="仿宋_GB2312" w:eastAsia="仿宋_GB2312" w:cs="宋体"/>
          <w:color w:val="000000"/>
          <w:kern w:val="0"/>
          <w:sz w:val="32"/>
          <w:szCs w:val="32"/>
        </w:rPr>
        <w:t>6.9</w:t>
      </w:r>
      <w:r>
        <w:rPr>
          <w:rFonts w:hint="eastAsia" w:ascii="仿宋_GB2312" w:eastAsia="仿宋_GB2312" w:cs="宋体"/>
          <w:color w:val="000000"/>
          <w:kern w:val="0"/>
          <w:sz w:val="32"/>
          <w:szCs w:val="32"/>
        </w:rPr>
        <w:t>万元，其中因公出国（境）费</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万元；公务用车购置及运维费</w:t>
      </w:r>
      <w:r>
        <w:rPr>
          <w:rFonts w:ascii="仿宋_GB2312" w:eastAsia="仿宋_GB2312" w:cs="宋体"/>
          <w:color w:val="000000"/>
          <w:kern w:val="0"/>
          <w:sz w:val="32"/>
          <w:szCs w:val="32"/>
        </w:rPr>
        <w:t>6.9</w:t>
      </w:r>
      <w:r>
        <w:rPr>
          <w:rFonts w:hint="eastAsia" w:ascii="仿宋_GB2312" w:eastAsia="仿宋_GB2312" w:cs="宋体"/>
          <w:color w:val="000000"/>
          <w:kern w:val="0"/>
          <w:sz w:val="32"/>
          <w:szCs w:val="32"/>
        </w:rPr>
        <w:t>万元（其中：公务用车购置费为</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万元，公务用车运行费为</w:t>
      </w:r>
      <w:r>
        <w:rPr>
          <w:rFonts w:ascii="仿宋_GB2312" w:eastAsia="仿宋_GB2312" w:cs="宋体"/>
          <w:color w:val="000000"/>
          <w:kern w:val="0"/>
          <w:sz w:val="32"/>
          <w:szCs w:val="32"/>
        </w:rPr>
        <w:t>6.9</w:t>
      </w:r>
      <w:r>
        <w:rPr>
          <w:rFonts w:hint="eastAsia" w:ascii="仿宋_GB2312" w:eastAsia="仿宋_GB2312" w:cs="宋体"/>
          <w:color w:val="000000"/>
          <w:kern w:val="0"/>
          <w:sz w:val="32"/>
          <w:szCs w:val="32"/>
        </w:rPr>
        <w:t>万元</w:t>
      </w:r>
      <w:r>
        <w:rPr>
          <w:rFonts w:ascii="仿宋_GB2312" w:eastAsia="仿宋_GB2312" w:cs="宋体"/>
          <w:color w:val="000000"/>
          <w:kern w:val="0"/>
          <w:sz w:val="32"/>
          <w:szCs w:val="32"/>
        </w:rPr>
        <w:t>)</w:t>
      </w:r>
      <w:r>
        <w:rPr>
          <w:rFonts w:hint="eastAsia" w:ascii="仿宋_GB2312" w:eastAsia="仿宋_GB2312" w:cs="宋体"/>
          <w:color w:val="000000"/>
          <w:kern w:val="0"/>
          <w:sz w:val="32"/>
          <w:szCs w:val="32"/>
        </w:rPr>
        <w:t>；公务接待费</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万元。</w:t>
      </w:r>
      <w:r>
        <w:rPr>
          <w:rFonts w:ascii="仿宋_GB2312" w:eastAsia="仿宋_GB2312" w:cs="宋体"/>
          <w:color w:val="000000"/>
          <w:kern w:val="0"/>
          <w:sz w:val="32"/>
          <w:szCs w:val="32"/>
        </w:rPr>
        <w:t>较2017</w:t>
      </w:r>
      <w:r>
        <w:rPr>
          <w:rFonts w:hint="eastAsia" w:ascii="仿宋_GB2312" w:eastAsia="仿宋_GB2312" w:cs="宋体"/>
          <w:color w:val="000000"/>
          <w:kern w:val="0"/>
          <w:sz w:val="32"/>
          <w:szCs w:val="32"/>
        </w:rPr>
        <w:t>年增加</w:t>
      </w:r>
      <w:r>
        <w:rPr>
          <w:rFonts w:ascii="仿宋_GB2312" w:eastAsia="仿宋_GB2312" w:cs="宋体"/>
          <w:color w:val="000000"/>
          <w:kern w:val="0"/>
          <w:sz w:val="32"/>
          <w:szCs w:val="32"/>
        </w:rPr>
        <w:t>6.9</w:t>
      </w:r>
      <w:r>
        <w:rPr>
          <w:rFonts w:hint="eastAsia" w:ascii="仿宋_GB2312" w:eastAsia="仿宋_GB2312" w:cs="宋体"/>
          <w:color w:val="000000"/>
          <w:kern w:val="0"/>
          <w:sz w:val="32"/>
          <w:szCs w:val="32"/>
        </w:rPr>
        <w:t>万元，主要原因是公车改革后实际保有公务车</w:t>
      </w:r>
      <w:r>
        <w:rPr>
          <w:rFonts w:ascii="仿宋_GB2312" w:eastAsia="仿宋_GB2312" w:cs="宋体"/>
          <w:color w:val="000000"/>
          <w:kern w:val="0"/>
          <w:sz w:val="32"/>
          <w:szCs w:val="32"/>
        </w:rPr>
        <w:t>3</w:t>
      </w:r>
      <w:r>
        <w:rPr>
          <w:rFonts w:hint="eastAsia" w:ascii="仿宋_GB2312" w:eastAsia="仿宋_GB2312" w:cs="宋体"/>
          <w:color w:val="000000"/>
          <w:kern w:val="0"/>
          <w:sz w:val="32"/>
          <w:szCs w:val="32"/>
        </w:rPr>
        <w:t>辆，产生车辆运行维护费。</w:t>
      </w:r>
      <w:r>
        <w:rPr>
          <w:rFonts w:ascii="仿宋_GB2312" w:eastAsia="仿宋_GB2312" w:cs="宋体"/>
          <w:color w:val="000000"/>
          <w:kern w:val="0"/>
          <w:sz w:val="32"/>
          <w:szCs w:val="32"/>
        </w:rPr>
        <w:br w:type="textWrapping"/>
      </w:r>
      <w:r>
        <w:rPr>
          <w:rFonts w:hint="eastAsia" w:ascii="黑体" w:eastAsia="黑体" w:cs="宋体"/>
          <w:b/>
          <w:bCs/>
          <w:color w:val="000000"/>
          <w:kern w:val="0"/>
          <w:sz w:val="32"/>
          <w:szCs w:val="32"/>
        </w:rPr>
        <w:t>五、绩效预算信息</w:t>
      </w:r>
      <w:r>
        <w:rPr>
          <w:rFonts w:ascii="黑体" w:eastAsia="黑体" w:cs="宋体"/>
          <w:color w:val="000000"/>
          <w:kern w:val="0"/>
          <w:sz w:val="32"/>
          <w:szCs w:val="32"/>
        </w:rPr>
        <w:br w:type="textWrapping"/>
      </w:r>
      <w:r>
        <w:rPr>
          <w:rFonts w:ascii="黑体" w:eastAsia="黑体" w:cs="宋体"/>
          <w:color w:val="000000"/>
          <w:kern w:val="0"/>
          <w:sz w:val="32"/>
          <w:szCs w:val="32"/>
        </w:rPr>
        <w:t xml:space="preserve">    </w:t>
      </w:r>
      <w:r>
        <w:rPr>
          <w:rFonts w:hint="eastAsia" w:ascii="楷体_GB2312" w:eastAsia="楷体_GB2312" w:cs="宋体"/>
          <w:b/>
          <w:bCs/>
          <w:color w:val="000000"/>
          <w:kern w:val="0"/>
          <w:sz w:val="32"/>
          <w:szCs w:val="32"/>
        </w:rPr>
        <w:t>总体绩效目标</w:t>
      </w:r>
      <w:r>
        <w:rPr>
          <w:rFonts w:hint="eastAsia" w:ascii="仿宋_GB2312" w:eastAsia="仿宋_GB2312" w:cs="宋体"/>
          <w:b/>
          <w:bCs/>
          <w:color w:val="000000"/>
          <w:kern w:val="0"/>
          <w:sz w:val="32"/>
          <w:szCs w:val="32"/>
        </w:rPr>
        <w:t>：</w:t>
      </w:r>
      <w:r>
        <w:rPr>
          <w:rFonts w:ascii="仿宋_GB2312" w:eastAsia="仿宋_GB2312" w:cs="宋体"/>
          <w:color w:val="000000"/>
          <w:kern w:val="0"/>
          <w:sz w:val="32"/>
          <w:szCs w:val="32"/>
        </w:rPr>
        <w:br w:type="textWrapping"/>
      </w:r>
      <w:r>
        <w:rPr>
          <w:rFonts w:ascii="仿宋_GB2312" w:eastAsia="仿宋_GB2312" w:cs="宋体"/>
          <w:color w:val="000000"/>
          <w:kern w:val="0"/>
          <w:sz w:val="32"/>
          <w:szCs w:val="32"/>
        </w:rPr>
        <w:t xml:space="preserve">    </w:t>
      </w:r>
      <w:r>
        <w:rPr>
          <w:rFonts w:ascii="仿宋_GB2312" w:eastAsia="仿宋_GB2312"/>
          <w:sz w:val="32"/>
          <w:szCs w:val="32"/>
        </w:rPr>
        <w:t>1</w:t>
      </w:r>
      <w:r>
        <w:rPr>
          <w:rFonts w:hint="eastAsia" w:ascii="仿宋_GB2312" w:eastAsia="仿宋_GB2312"/>
          <w:sz w:val="32"/>
          <w:szCs w:val="32"/>
        </w:rPr>
        <w:t>、质量管理：推动当地政府积极开展质量兴区工作；建立完善企业质量信用档案数据库；推动民营企业积极参加“五个一”质量提升活动；督促辖区名优企业设立首席质量官；按照家用汽车“三包”规定及时做好争议处理工作。做好市政府质量奖推荐申报工作；按时完成名优品牌等质量奖项的培育推荐工作；定期开展质量状况分析工作并及时向当地政府和市局报告。强化获证食品相关产品企业日常监管，确保企业能够持续保持生产许可的要求；及时发现和查处违法案件；对监督检查中发现的问题和隐患要及时予以消除，全年不发生因食品相关产品质量问题导致的重大食品质量安全事故。</w:t>
      </w:r>
    </w:p>
    <w:p>
      <w:pPr>
        <w:spacing w:line="570" w:lineRule="exact"/>
        <w:ind w:firstLine="56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标准化管理：积极引导企事业单位参与国家标准、行业标准和地方标准的制修订；开展采用国家标准和国外先进标准的认可和采标标志的使用；完成农业标准化示范区、服务标准化试点和标准化良好行为试点建设任务；鼓励和支持民营企业参与标准化工作；加强开展环境保护、节能减排相关标准化工作。加强标准制修订和实施工作，积极参与标准化活动，成立标准化工作综合协调机构，发挥好标准化示范试点作用，推进标准化工作上新台阶。</w:t>
      </w:r>
    </w:p>
    <w:p>
      <w:pPr>
        <w:spacing w:line="570" w:lineRule="exact"/>
        <w:ind w:firstLine="56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计量管理：统一管理本辖区计量工作，推行法定计量单位和国家计量制度，管理和监督地方计量标准和标准物质，依法管理计量器具，组织本地量值传递和比对工作，监督管理商品量、市场计量行为和计量仲裁检定。</w:t>
      </w:r>
    </w:p>
    <w:p>
      <w:pPr>
        <w:spacing w:line="570" w:lineRule="exact"/>
        <w:ind w:firstLine="56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、质量监督：制定区本级监督抽查工作计划，建立监督抽查工作责任制，及时公开抽查结果；全面完成后处理工作，及时按照要求汇总上报后处理信息，后处理完成率达到</w:t>
      </w:r>
      <w:r>
        <w:rPr>
          <w:rFonts w:ascii="仿宋_GB2312" w:eastAsia="仿宋_GB2312"/>
          <w:sz w:val="32"/>
          <w:szCs w:val="32"/>
        </w:rPr>
        <w:t>100%</w:t>
      </w:r>
      <w:r>
        <w:rPr>
          <w:rFonts w:hint="eastAsia" w:ascii="仿宋_GB2312" w:eastAsia="仿宋_GB2312"/>
          <w:sz w:val="32"/>
          <w:szCs w:val="32"/>
        </w:rPr>
        <w:t>；按照全省（市）联动监督抽查工作方案，组织本辖区的联动监督抽查工作。深化生产许可制度改革，强化后续监管。建立获证企业动态管理台账，底数清楚；对获证企业组织开展年度自查和抽查，制定自查工作方案，对应自查企业实施全覆盖；对获证企业进行专项检查和资质清查，发现问题及时解决处理并反馈信息；对获证企业实施分类监管。</w:t>
      </w:r>
    </w:p>
    <w:p>
      <w:pPr>
        <w:spacing w:line="570" w:lineRule="exact"/>
        <w:ind w:firstLine="56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特种设备安全监察：抓好使用环节特种设备安全管理，特别是公众聚集场所特种设备，落实特种设备使用单位主体责任，加强现场安全监督检查，特别是督促使用单位搞好隐患排查整改，及时消除事故隐患，预防特种设备事故发生。积极建议政府将特种设备安全工作纳入全区安全生产目标管理和考核工作，落实各管理部门责任，建立安全监管联络机制；建立基层特种设备安全员队伍。</w:t>
      </w:r>
    </w:p>
    <w:p>
      <w:pPr>
        <w:spacing w:line="570" w:lineRule="exact"/>
        <w:ind w:firstLine="56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打假办案：加大区域性产品整治提升工作力度，着力解决突出问题，有效防范区域性质量安全事件。严格按要求开展“双打”、“质检利剑”等专项执法行动，不断提高专项行动的有效性。加大执法办案工作力度，严厉打击质量违法行为。</w:t>
      </w:r>
    </w:p>
    <w:p>
      <w:pPr>
        <w:spacing w:line="570" w:lineRule="exact"/>
        <w:ind w:left="319" w:leftChars="152" w:firstLine="321" w:firstLineChars="100"/>
        <w:rPr>
          <w:rFonts w:ascii="仿宋_GB2312" w:eastAsia="仿宋_GB2312" w:cs="宋体"/>
          <w:color w:val="000000"/>
          <w:kern w:val="0"/>
          <w:sz w:val="32"/>
          <w:szCs w:val="32"/>
        </w:rPr>
      </w:pPr>
      <w:r>
        <w:rPr>
          <w:rFonts w:hint="eastAsia" w:ascii="楷体_GB2312" w:eastAsia="楷体_GB2312" w:cs="宋体"/>
          <w:b/>
          <w:bCs/>
          <w:color w:val="000000"/>
          <w:kern w:val="0"/>
          <w:sz w:val="32"/>
          <w:szCs w:val="32"/>
        </w:rPr>
        <w:t>职责分类绩效目标</w:t>
      </w:r>
      <w:r>
        <w:rPr>
          <w:rFonts w:hint="eastAsia" w:ascii="仿宋_GB2312" w:eastAsia="仿宋_GB2312" w:cs="宋体"/>
          <w:b/>
          <w:bCs/>
          <w:color w:val="000000"/>
          <w:kern w:val="0"/>
          <w:sz w:val="32"/>
          <w:szCs w:val="32"/>
        </w:rPr>
        <w:t>：</w:t>
      </w:r>
    </w:p>
    <w:p>
      <w:pPr>
        <w:spacing w:line="570" w:lineRule="exact"/>
        <w:ind w:firstLine="640" w:firstLineChars="200"/>
        <w:rPr>
          <w:rFonts w:ascii="仿宋_GB2312" w:eastAsia="仿宋_GB2312" w:cs="宋体"/>
          <w:color w:val="000000"/>
          <w:kern w:val="0"/>
          <w:sz w:val="32"/>
          <w:szCs w:val="32"/>
        </w:rPr>
      </w:pPr>
      <w:r>
        <w:rPr>
          <w:rFonts w:ascii="仿宋_GB2312" w:eastAsia="仿宋_GB2312"/>
          <w:sz w:val="32"/>
          <w:szCs w:val="32"/>
        </w:rPr>
        <w:t>1</w:t>
      </w:r>
      <w:r>
        <w:rPr>
          <w:rFonts w:hint="eastAsia" w:ascii="仿宋_GB2312" w:eastAsia="仿宋_GB2312"/>
          <w:sz w:val="32"/>
          <w:szCs w:val="32"/>
        </w:rPr>
        <w:t>、负责拟订提高本辖区质量水平的发展规划及政策措施并组织实施，负责与质量技术监督有关的技术规范工作。</w:t>
      </w:r>
    </w:p>
    <w:p>
      <w:pPr>
        <w:spacing w:line="570" w:lineRule="exact"/>
        <w:ind w:firstLine="56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、负责本辖区内质量宏观管理工作，拟订并组织实施当地质量发展规划，推进名牌发展战略，承担本辖区产品质量诚信体系建设工作。</w:t>
      </w:r>
    </w:p>
    <w:p>
      <w:pPr>
        <w:spacing w:line="570" w:lineRule="exact"/>
        <w:ind w:firstLine="56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、负责本辖区产品质量监督工作</w:t>
      </w:r>
      <w:r>
        <w:rPr>
          <w:rFonts w:ascii="仿宋_GB2312" w:eastAsia="仿宋_GB2312"/>
          <w:sz w:val="32"/>
          <w:szCs w:val="32"/>
        </w:rPr>
        <w:t>,</w:t>
      </w:r>
      <w:r>
        <w:rPr>
          <w:rFonts w:hint="eastAsia" w:ascii="仿宋_GB2312" w:eastAsia="仿宋_GB2312"/>
          <w:sz w:val="32"/>
          <w:szCs w:val="32"/>
        </w:rPr>
        <w:t>组织开展本辖区内产品质量安全强制检验、监督抽查等工作，负责本辖区内工业产品生产许可证管理和纤维产品质量监督检验工作，监督管理产品质量仲裁检验、鉴定，管理机动车安全技术检验机构认定；组织开展产品质量安全专项整治工作，依法查处产品质量违法行为，按分工打击假冒伪劣违法活动。</w:t>
      </w:r>
    </w:p>
    <w:p>
      <w:pPr>
        <w:spacing w:line="570" w:lineRule="exact"/>
        <w:ind w:firstLine="56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统一监督管理本辖区标准化工作，贯彻国家、省、市标准化工作的法律、法规、方针、政策，并制定本辖区的具体实施办法；制定本辖区标准化工作的规划、计划；指导本辖区有关行政主管部门的标准化工作；组织制定有关地方标准；在本辖区内确定实施标准并进行监督；管理企业产品标准备案，监督企业按标准组织生产；管理辖区内组织机构代码和商品条码工作。</w:t>
      </w:r>
    </w:p>
    <w:p>
      <w:pPr>
        <w:spacing w:line="570" w:lineRule="exact"/>
        <w:ind w:firstLine="56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、负责统一管理本辖区计量工作，推行法定计量单位和国家计量制度，管理和监督地方计量标准和标准物质，依法管理计量器具，组织本地量值传递和比对工作，监督管理商品量、市场计量行为和计量仲裁检定。</w:t>
      </w:r>
    </w:p>
    <w:p>
      <w:pPr>
        <w:spacing w:line="570" w:lineRule="exact"/>
        <w:ind w:firstLine="56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负责统一监督管理和综合协调本辖区认证认可工作，依法对本辖区内验定和检查机构进行监督管理，对认证认可相关的社会中介服务机构实施资格认可和监督管理，协调和监督强制性认证和自愿性认证工作，引导企业按国际惯例进行各种认证。</w:t>
      </w:r>
    </w:p>
    <w:p>
      <w:pPr>
        <w:spacing w:line="570" w:lineRule="exact"/>
        <w:ind w:firstLine="56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、承担本辖区食品包装材料、容器、食品生产经营工具等食品相关产品生产加工的质量安全监管及市场准入有关工作；按规定权限组织调查处理相关质量安全事故。</w:t>
      </w:r>
    </w:p>
    <w:p>
      <w:pPr>
        <w:spacing w:line="570" w:lineRule="exact"/>
        <w:ind w:firstLine="56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、承担综合管理本辖区锅炉、压力容器、压力管道、电梯、起重机械、客运索道、游乐设施、场（厂）内专用机动车辆等特种设备安全监察、监督工作的责任，监督检查高耗能特种设备节能标准的执行情况。</w:t>
      </w:r>
      <w:r>
        <w:rPr>
          <w:rFonts w:ascii="仿宋_GB2312" w:eastAsia="仿宋_GB2312"/>
          <w:sz w:val="32"/>
          <w:szCs w:val="32"/>
        </w:rPr>
        <w:t xml:space="preserve"> </w:t>
      </w:r>
    </w:p>
    <w:p>
      <w:pPr>
        <w:spacing w:line="570" w:lineRule="exact"/>
        <w:ind w:firstLine="56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、制定并组织实施本辖区质量技术监督事业发展、科技发展和技术机构建设规划，组织有关科研和技术引进工作。</w:t>
      </w:r>
    </w:p>
    <w:p>
      <w:pPr>
        <w:spacing w:line="570" w:lineRule="exact"/>
        <w:ind w:firstLine="56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、承办区政府和市质量技术监督局交办的其他事项。</w:t>
      </w:r>
    </w:p>
    <w:p>
      <w:pPr>
        <w:widowControl/>
        <w:spacing w:line="570" w:lineRule="exact"/>
        <w:jc w:val="left"/>
        <w:rPr>
          <w:rFonts w:ascii="仿宋_GB2312" w:eastAsia="仿宋_GB2312" w:cs="宋体"/>
          <w:color w:val="000000"/>
          <w:kern w:val="0"/>
          <w:sz w:val="32"/>
          <w:szCs w:val="32"/>
        </w:rPr>
      </w:pPr>
    </w:p>
    <w:p>
      <w:pPr>
        <w:widowControl/>
        <w:spacing w:line="570" w:lineRule="exact"/>
        <w:jc w:val="left"/>
        <w:rPr>
          <w:rFonts w:ascii="仿宋_GB2312" w:eastAsia="仿宋_GB2312" w:cs="宋体"/>
          <w:color w:val="000000"/>
          <w:kern w:val="0"/>
          <w:sz w:val="32"/>
          <w:szCs w:val="32"/>
        </w:rPr>
      </w:pPr>
      <w:r>
        <w:rPr>
          <w:rFonts w:ascii="宋体" w:hAnsi="宋体" w:eastAsia="仿宋_GB2312" w:cs="宋体"/>
          <w:color w:val="000000"/>
          <w:kern w:val="0"/>
          <w:sz w:val="32"/>
          <w:szCs w:val="32"/>
        </w:rPr>
        <w:t> </w:t>
      </w:r>
    </w:p>
    <w:p>
      <w:pPr>
        <w:spacing w:line="570" w:lineRule="exact"/>
        <w:jc w:val="center"/>
        <w:outlineLvl w:val="0"/>
        <w:rPr>
          <w:rFonts w:ascii="方正小标宋_GBK" w:eastAsia="方正小标宋_GBK"/>
          <w:sz w:val="32"/>
        </w:rPr>
      </w:pPr>
      <w:bookmarkStart w:id="0" w:name="_Toc505069675"/>
      <w:r>
        <w:rPr>
          <w:rFonts w:hint="eastAsia" w:ascii="方正小标宋_GBK" w:eastAsia="方正小标宋_GBK"/>
          <w:sz w:val="32"/>
        </w:rPr>
        <w:t>部门职责</w:t>
      </w:r>
      <w:r>
        <w:rPr>
          <w:rFonts w:ascii="方正小标宋_GBK" w:eastAsia="方正小标宋_GBK"/>
          <w:sz w:val="32"/>
        </w:rPr>
        <w:t>-</w:t>
      </w:r>
      <w:r>
        <w:rPr>
          <w:rFonts w:hint="eastAsia" w:ascii="方正小标宋_GBK" w:eastAsia="方正小标宋_GBK"/>
          <w:sz w:val="32"/>
        </w:rPr>
        <w:t>工作活动绩效目标</w:t>
      </w:r>
      <w:bookmarkEnd w:id="0"/>
    </w:p>
    <w:tbl>
      <w:tblPr>
        <w:tblStyle w:val="4"/>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570" w:lineRule="exact"/>
              <w:jc w:val="left"/>
              <w:rPr>
                <w:rFonts w:ascii="方正小标宋_GBK" w:eastAsia="方正小标宋_GBK"/>
                <w:sz w:val="24"/>
              </w:rPr>
            </w:pPr>
            <w:r>
              <w:rPr>
                <w:rFonts w:ascii="方正小标宋_GBK" w:eastAsia="方正小标宋_GBK"/>
                <w:sz w:val="24"/>
              </w:rPr>
              <w:t>243</w:t>
            </w:r>
            <w:r>
              <w:rPr>
                <w:rFonts w:hint="eastAsia" w:ascii="方正小标宋_GBK" w:eastAsia="方正小标宋_GBK"/>
                <w:sz w:val="24"/>
              </w:rPr>
              <w:t>廊坊市广阳区质量技术监督局</w:t>
            </w:r>
          </w:p>
        </w:tc>
        <w:tc>
          <w:tcPr>
            <w:tcW w:w="2948" w:type="dxa"/>
            <w:gridSpan w:val="4"/>
            <w:tcBorders>
              <w:top w:val="single" w:color="FFFFFF" w:sz="6" w:space="0"/>
              <w:left w:val="single" w:color="FFFFFF" w:sz="6" w:space="0"/>
              <w:right w:val="single" w:color="FFFFFF" w:sz="6" w:space="0"/>
            </w:tcBorders>
            <w:vAlign w:val="center"/>
          </w:tcPr>
          <w:p>
            <w:pPr>
              <w:spacing w:line="57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41" w:type="dxa"/>
            <w:vMerge w:val="restart"/>
            <w:vAlign w:val="center"/>
          </w:tcPr>
          <w:p>
            <w:pPr>
              <w:spacing w:line="57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57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57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57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pPr>
              <w:spacing w:line="57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57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Merge w:val="continue"/>
            <w:vAlign w:val="center"/>
          </w:tcPr>
          <w:p/>
        </w:tc>
        <w:tc>
          <w:tcPr>
            <w:tcW w:w="737" w:type="dxa"/>
            <w:vAlign w:val="center"/>
          </w:tcPr>
          <w:p>
            <w:pPr>
              <w:spacing w:line="570" w:lineRule="exact"/>
              <w:jc w:val="center"/>
              <w:rPr>
                <w:rFonts w:ascii="方正书宋_GBK" w:eastAsia="方正书宋_GBK"/>
                <w:b/>
              </w:rPr>
            </w:pPr>
            <w:r>
              <w:rPr>
                <w:rFonts w:hint="eastAsia" w:ascii="方正书宋_GBK" w:eastAsia="方正书宋_GBK"/>
                <w:b/>
              </w:rPr>
              <w:t>优</w:t>
            </w:r>
          </w:p>
        </w:tc>
        <w:tc>
          <w:tcPr>
            <w:tcW w:w="737" w:type="dxa"/>
            <w:vAlign w:val="center"/>
          </w:tcPr>
          <w:p>
            <w:pPr>
              <w:spacing w:line="570" w:lineRule="exact"/>
              <w:jc w:val="center"/>
              <w:rPr>
                <w:rFonts w:ascii="方正书宋_GBK" w:eastAsia="方正书宋_GBK"/>
                <w:b/>
              </w:rPr>
            </w:pPr>
            <w:r>
              <w:rPr>
                <w:rFonts w:hint="eastAsia" w:ascii="方正书宋_GBK" w:eastAsia="方正书宋_GBK"/>
                <w:b/>
              </w:rPr>
              <w:t>良</w:t>
            </w:r>
          </w:p>
        </w:tc>
        <w:tc>
          <w:tcPr>
            <w:tcW w:w="737" w:type="dxa"/>
            <w:vAlign w:val="center"/>
          </w:tcPr>
          <w:p>
            <w:pPr>
              <w:spacing w:line="57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57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570" w:lineRule="exact"/>
              <w:jc w:val="left"/>
              <w:rPr>
                <w:rFonts w:ascii="方正书宋_GBK" w:eastAsia="方正书宋_GBK"/>
                <w:b/>
              </w:rPr>
            </w:pPr>
            <w:r>
              <w:rPr>
                <w:rFonts w:hint="eastAsia" w:ascii="方正书宋_GBK" w:eastAsia="方正书宋_GBK"/>
                <w:b/>
              </w:rPr>
              <w:t>一、质量技术监督管理</w:t>
            </w:r>
          </w:p>
        </w:tc>
        <w:tc>
          <w:tcPr>
            <w:tcW w:w="1276" w:type="dxa"/>
            <w:vAlign w:val="center"/>
          </w:tcPr>
          <w:p>
            <w:pPr>
              <w:spacing w:line="570" w:lineRule="exact"/>
              <w:jc w:val="left"/>
              <w:rPr>
                <w:rFonts w:ascii="方正书宋_GBK" w:eastAsia="方正书宋_GBK"/>
              </w:rPr>
            </w:pPr>
            <w:r>
              <w:rPr>
                <w:rFonts w:ascii="方正书宋_GBK" w:eastAsia="方正书宋_GBK"/>
              </w:rPr>
              <w:t>26.32</w:t>
            </w:r>
          </w:p>
        </w:tc>
        <w:tc>
          <w:tcPr>
            <w:tcW w:w="2976" w:type="dxa"/>
            <w:vAlign w:val="center"/>
          </w:tcPr>
          <w:p>
            <w:pPr>
              <w:spacing w:line="570" w:lineRule="exact"/>
              <w:jc w:val="left"/>
              <w:rPr>
                <w:rFonts w:ascii="方正书宋_GBK" w:eastAsia="方正书宋_GBK"/>
              </w:rPr>
            </w:pPr>
            <w:r>
              <w:rPr>
                <w:rFonts w:hint="eastAsia" w:ascii="方正书宋_GBK" w:eastAsia="方正书宋_GBK"/>
              </w:rPr>
              <w:t>全区质量监督、产品质量安全监督、标准化、计量、认证认可、特种设备及食品相关产品质量监督管理等。</w:t>
            </w:r>
          </w:p>
        </w:tc>
        <w:tc>
          <w:tcPr>
            <w:tcW w:w="2976" w:type="dxa"/>
            <w:vAlign w:val="center"/>
          </w:tcPr>
          <w:p>
            <w:pPr>
              <w:spacing w:line="570" w:lineRule="exact"/>
              <w:jc w:val="left"/>
              <w:rPr>
                <w:rFonts w:ascii="方正书宋_GBK" w:eastAsia="方正书宋_GBK"/>
              </w:rPr>
            </w:pPr>
            <w:r>
              <w:rPr>
                <w:rFonts w:hint="eastAsia" w:ascii="方正书宋_GBK" w:eastAsia="方正书宋_GBK"/>
              </w:rPr>
              <w:t>提高质量管理水平，提升产品质量。</w:t>
            </w:r>
          </w:p>
        </w:tc>
        <w:tc>
          <w:tcPr>
            <w:tcW w:w="1417" w:type="dxa"/>
            <w:vAlign w:val="center"/>
          </w:tcPr>
          <w:p>
            <w:pPr>
              <w:spacing w:line="570" w:lineRule="exact"/>
              <w:jc w:val="left"/>
              <w:rPr>
                <w:rFonts w:ascii="方正书宋_GBK" w:eastAsia="方正书宋_GBK"/>
              </w:rPr>
            </w:pPr>
          </w:p>
        </w:tc>
        <w:tc>
          <w:tcPr>
            <w:tcW w:w="737" w:type="dxa"/>
            <w:vAlign w:val="center"/>
          </w:tcPr>
          <w:p>
            <w:pPr>
              <w:spacing w:line="570" w:lineRule="exact"/>
              <w:jc w:val="center"/>
              <w:rPr>
                <w:rFonts w:ascii="方正书宋_GBK" w:eastAsia="方正书宋_GBK"/>
              </w:rPr>
            </w:pPr>
          </w:p>
        </w:tc>
        <w:tc>
          <w:tcPr>
            <w:tcW w:w="737" w:type="dxa"/>
            <w:vAlign w:val="center"/>
          </w:tcPr>
          <w:p>
            <w:pPr>
              <w:spacing w:line="570" w:lineRule="exact"/>
              <w:jc w:val="center"/>
              <w:rPr>
                <w:rFonts w:ascii="方正书宋_GBK" w:eastAsia="方正书宋_GBK"/>
              </w:rPr>
            </w:pPr>
          </w:p>
        </w:tc>
        <w:tc>
          <w:tcPr>
            <w:tcW w:w="737" w:type="dxa"/>
            <w:vAlign w:val="center"/>
          </w:tcPr>
          <w:p>
            <w:pPr>
              <w:spacing w:line="570" w:lineRule="exact"/>
              <w:jc w:val="center"/>
              <w:rPr>
                <w:rFonts w:ascii="方正书宋_GBK" w:eastAsia="方正书宋_GBK"/>
              </w:rPr>
            </w:pPr>
          </w:p>
        </w:tc>
        <w:tc>
          <w:tcPr>
            <w:tcW w:w="737" w:type="dxa"/>
            <w:vAlign w:val="center"/>
          </w:tcPr>
          <w:p>
            <w:pPr>
              <w:spacing w:line="57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vAlign w:val="center"/>
          </w:tcPr>
          <w:p>
            <w:pPr>
              <w:spacing w:line="57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、质量管理</w:t>
            </w:r>
          </w:p>
        </w:tc>
        <w:tc>
          <w:tcPr>
            <w:tcW w:w="1276" w:type="dxa"/>
            <w:vMerge w:val="restart"/>
            <w:vAlign w:val="center"/>
          </w:tcPr>
          <w:p>
            <w:pPr>
              <w:spacing w:line="570" w:lineRule="exact"/>
              <w:jc w:val="left"/>
              <w:rPr>
                <w:rFonts w:ascii="方正书宋_GBK" w:eastAsia="方正书宋_GBK"/>
              </w:rPr>
            </w:pPr>
            <w:r>
              <w:rPr>
                <w:rFonts w:ascii="方正书宋_GBK" w:eastAsia="方正书宋_GBK"/>
              </w:rPr>
              <w:t>4.00</w:t>
            </w:r>
          </w:p>
        </w:tc>
        <w:tc>
          <w:tcPr>
            <w:tcW w:w="2976" w:type="dxa"/>
            <w:vMerge w:val="restart"/>
            <w:vAlign w:val="center"/>
          </w:tcPr>
          <w:p>
            <w:pPr>
              <w:spacing w:line="570" w:lineRule="exact"/>
              <w:jc w:val="left"/>
              <w:rPr>
                <w:rFonts w:ascii="方正书宋_GBK" w:eastAsia="方正书宋_GBK"/>
              </w:rPr>
            </w:pPr>
            <w:r>
              <w:rPr>
                <w:rFonts w:hint="eastAsia" w:ascii="方正书宋_GBK" w:eastAsia="方正书宋_GBK"/>
              </w:rPr>
              <w:t>负责本辖区内质量宏观管理工作，拟订并组织实施当地质量发展规划，推进名牌发展战略，承担本辖区产品质量诚信体系建设工作。</w:t>
            </w:r>
          </w:p>
        </w:tc>
        <w:tc>
          <w:tcPr>
            <w:tcW w:w="2976" w:type="dxa"/>
            <w:vMerge w:val="restart"/>
            <w:vAlign w:val="center"/>
          </w:tcPr>
          <w:p>
            <w:pPr>
              <w:spacing w:line="570" w:lineRule="exact"/>
              <w:jc w:val="left"/>
              <w:rPr>
                <w:rFonts w:ascii="方正书宋_GBK" w:eastAsia="方正书宋_GBK"/>
              </w:rPr>
            </w:pPr>
            <w:r>
              <w:rPr>
                <w:rFonts w:hint="eastAsia" w:ascii="方正书宋_GBK" w:eastAsia="方正书宋_GBK"/>
              </w:rPr>
              <w:t>推动当地政府积极开展质量兴区工作；建立完善企业质量信用档案数据库；推动质量提升活动；督促辖区名优企业设立首席质量官；按照家用汽车“三包”规定及时做好争议处理工作。做好市政府质量奖推荐申报工作；按时完成名优品牌等质量奖项的培育推荐工作；定期开展质量状况分析工作并及时向当地政府和市局报告。</w:t>
            </w:r>
          </w:p>
        </w:tc>
        <w:tc>
          <w:tcPr>
            <w:tcW w:w="1417" w:type="dxa"/>
            <w:vAlign w:val="center"/>
          </w:tcPr>
          <w:p>
            <w:pPr>
              <w:spacing w:line="570" w:lineRule="exact"/>
              <w:jc w:val="left"/>
              <w:rPr>
                <w:rFonts w:ascii="方正书宋_GBK" w:eastAsia="方正书宋_GBK"/>
              </w:rPr>
            </w:pPr>
            <w:r>
              <w:rPr>
                <w:rFonts w:hint="eastAsia" w:ascii="方正书宋_GBK" w:eastAsia="方正书宋_GBK"/>
              </w:rPr>
              <w:t>申报廊坊市政府质量奖数量</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80.00%</w:t>
            </w:r>
          </w:p>
        </w:tc>
        <w:tc>
          <w:tcPr>
            <w:tcW w:w="737" w:type="dxa"/>
            <w:vAlign w:val="center"/>
          </w:tcPr>
          <w:p>
            <w:pPr>
              <w:spacing w:line="570" w:lineRule="exact"/>
              <w:jc w:val="center"/>
              <w:rPr>
                <w:rFonts w:ascii="方正书宋_GBK" w:eastAsia="方正书宋_GBK"/>
              </w:rPr>
            </w:pPr>
            <w:r>
              <w:rPr>
                <w:rFonts w:ascii="方正书宋_GBK" w:eastAsia="方正书宋_GBK"/>
              </w:rPr>
              <w:t>60.00%</w:t>
            </w:r>
          </w:p>
        </w:tc>
        <w:tc>
          <w:tcPr>
            <w:tcW w:w="737" w:type="dxa"/>
            <w:vAlign w:val="center"/>
          </w:tcPr>
          <w:p>
            <w:pPr>
              <w:spacing w:line="57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ascii="方正书宋_GBK" w:eastAsia="方正书宋_GBK"/>
              </w:rPr>
            </w:pPr>
            <w:r>
              <w:rPr>
                <w:rFonts w:hint="eastAsia" w:ascii="方正书宋_GBK" w:eastAsia="方正书宋_GBK"/>
              </w:rPr>
              <w:t>名优名牌企业培育数量</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80.00%</w:t>
            </w:r>
          </w:p>
        </w:tc>
        <w:tc>
          <w:tcPr>
            <w:tcW w:w="737" w:type="dxa"/>
            <w:vAlign w:val="center"/>
          </w:tcPr>
          <w:p>
            <w:pPr>
              <w:spacing w:line="570" w:lineRule="exact"/>
              <w:jc w:val="center"/>
              <w:rPr>
                <w:rFonts w:ascii="方正书宋_GBK" w:eastAsia="方正书宋_GBK"/>
              </w:rPr>
            </w:pPr>
            <w:r>
              <w:rPr>
                <w:rFonts w:ascii="方正书宋_GBK" w:eastAsia="方正书宋_GBK"/>
              </w:rPr>
              <w:t>60.00%</w:t>
            </w:r>
          </w:p>
        </w:tc>
        <w:tc>
          <w:tcPr>
            <w:tcW w:w="737" w:type="dxa"/>
            <w:vAlign w:val="center"/>
          </w:tcPr>
          <w:p>
            <w:pPr>
              <w:spacing w:line="57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ascii="方正书宋_GBK" w:eastAsia="方正书宋_GBK"/>
              </w:rPr>
            </w:pPr>
            <w:r>
              <w:rPr>
                <w:rFonts w:hint="eastAsia" w:ascii="方正书宋_GBK" w:eastAsia="方正书宋_GBK"/>
              </w:rPr>
              <w:t>企业质量信用档案录入率</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570" w:lineRule="exact"/>
              <w:jc w:val="center"/>
              <w:rPr>
                <w:rFonts w:ascii="方正书宋_GBK" w:eastAsia="方正书宋_GBK"/>
              </w:rPr>
            </w:pPr>
            <w:r>
              <w:rPr>
                <w:rFonts w:ascii="方正书宋_GBK" w:eastAsia="方正书宋_GBK"/>
              </w:rPr>
              <w:t>80%</w:t>
            </w:r>
            <w:r>
              <w:rPr>
                <w:rFonts w:hint="eastAsia" w:ascii="方正书宋_GBK" w:eastAsia="方正书宋_GBK"/>
              </w:rPr>
              <w:t>以上</w:t>
            </w:r>
          </w:p>
        </w:tc>
        <w:tc>
          <w:tcPr>
            <w:tcW w:w="737" w:type="dxa"/>
            <w:vAlign w:val="center"/>
          </w:tcPr>
          <w:p>
            <w:pPr>
              <w:spacing w:line="57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ascii="方正书宋_GBK" w:eastAsia="方正书宋_GBK"/>
              </w:rPr>
            </w:pPr>
            <w:r>
              <w:rPr>
                <w:rFonts w:hint="eastAsia" w:ascii="方正书宋_GBK" w:eastAsia="方正书宋_GBK"/>
              </w:rPr>
              <w:t>家用汽车“三包”争议申诉处理率</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570" w:lineRule="exact"/>
              <w:jc w:val="center"/>
              <w:rPr>
                <w:rFonts w:ascii="方正书宋_GBK" w:eastAsia="方正书宋_GBK"/>
              </w:rPr>
            </w:pPr>
            <w:r>
              <w:rPr>
                <w:rFonts w:ascii="方正书宋_GBK" w:eastAsia="方正书宋_GBK"/>
              </w:rPr>
              <w:t>80%</w:t>
            </w:r>
            <w:r>
              <w:rPr>
                <w:rFonts w:hint="eastAsia" w:ascii="方正书宋_GBK" w:eastAsia="方正书宋_GBK"/>
              </w:rPr>
              <w:t>以上</w:t>
            </w:r>
          </w:p>
        </w:tc>
        <w:tc>
          <w:tcPr>
            <w:tcW w:w="737" w:type="dxa"/>
            <w:vAlign w:val="center"/>
          </w:tcPr>
          <w:p>
            <w:pPr>
              <w:spacing w:line="57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vAlign w:val="center"/>
          </w:tcPr>
          <w:p>
            <w:pPr>
              <w:spacing w:line="57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、标准化管理</w:t>
            </w:r>
          </w:p>
        </w:tc>
        <w:tc>
          <w:tcPr>
            <w:tcW w:w="1276" w:type="dxa"/>
            <w:vMerge w:val="restart"/>
            <w:vAlign w:val="center"/>
          </w:tcPr>
          <w:p>
            <w:pPr>
              <w:spacing w:line="570" w:lineRule="exact"/>
              <w:jc w:val="left"/>
              <w:rPr>
                <w:rFonts w:ascii="方正书宋_GBK" w:eastAsia="方正书宋_GBK"/>
              </w:rPr>
            </w:pPr>
            <w:r>
              <w:rPr>
                <w:rFonts w:ascii="方正书宋_GBK" w:eastAsia="方正书宋_GBK"/>
              </w:rPr>
              <w:t>10.00</w:t>
            </w:r>
          </w:p>
        </w:tc>
        <w:tc>
          <w:tcPr>
            <w:tcW w:w="2976" w:type="dxa"/>
            <w:vMerge w:val="restart"/>
            <w:vAlign w:val="center"/>
          </w:tcPr>
          <w:p>
            <w:pPr>
              <w:spacing w:line="570" w:lineRule="exact"/>
              <w:jc w:val="left"/>
              <w:rPr>
                <w:rFonts w:ascii="方正书宋_GBK" w:eastAsia="方正书宋_GBK"/>
              </w:rPr>
            </w:pPr>
            <w:r>
              <w:rPr>
                <w:rFonts w:hint="eastAsia" w:ascii="方正书宋_GBK" w:eastAsia="方正书宋_GBK"/>
              </w:rPr>
              <w:t>统一监督管理本辖区标准化工作，贯彻国家、省、市标准化工作的法律、法规、方针、政策，并制定本辖区的具体实施办法；制定本辖区标准化工作的规划、计划；指导本辖区有关行政主管部门的标准化工作；组织制定有关地方标准；在本辖区内确定实施标准并进行监督；管理企业产品标准备案，监督企业按标准组织生产；管理辖区内组织机构代码和商品条码工作。</w:t>
            </w:r>
          </w:p>
        </w:tc>
        <w:tc>
          <w:tcPr>
            <w:tcW w:w="2976" w:type="dxa"/>
            <w:vMerge w:val="restart"/>
            <w:vAlign w:val="center"/>
          </w:tcPr>
          <w:p>
            <w:pPr>
              <w:spacing w:line="570" w:lineRule="exact"/>
              <w:jc w:val="left"/>
              <w:rPr>
                <w:rFonts w:ascii="方正书宋_GBK" w:eastAsia="方正书宋_GBK"/>
              </w:rPr>
            </w:pPr>
            <w:r>
              <w:rPr>
                <w:rFonts w:hint="eastAsia" w:ascii="方正书宋_GBK" w:eastAsia="方正书宋_GBK"/>
              </w:rPr>
              <w:t>加强标准制修订和实施工作，积极参与标准化活动，成立标准化工作综合协调机构，发挥好标准化示范试点作用，推进标准化工作上新台阶。</w:t>
            </w:r>
          </w:p>
        </w:tc>
        <w:tc>
          <w:tcPr>
            <w:tcW w:w="1417" w:type="dxa"/>
            <w:vAlign w:val="center"/>
          </w:tcPr>
          <w:p>
            <w:pPr>
              <w:spacing w:line="570" w:lineRule="exact"/>
              <w:jc w:val="left"/>
              <w:rPr>
                <w:rFonts w:ascii="方正书宋_GBK" w:eastAsia="方正书宋_GBK"/>
              </w:rPr>
            </w:pPr>
            <w:r>
              <w:rPr>
                <w:rFonts w:hint="eastAsia" w:ascii="方正书宋_GBK" w:eastAsia="方正书宋_GBK"/>
              </w:rPr>
              <w:t>省级工业标准化良好行为企业创建数量</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80.00%</w:t>
            </w:r>
          </w:p>
        </w:tc>
        <w:tc>
          <w:tcPr>
            <w:tcW w:w="737" w:type="dxa"/>
            <w:vAlign w:val="center"/>
          </w:tcPr>
          <w:p>
            <w:pPr>
              <w:spacing w:line="570" w:lineRule="exact"/>
              <w:jc w:val="center"/>
              <w:rPr>
                <w:rFonts w:ascii="方正书宋_GBK" w:eastAsia="方正书宋_GBK"/>
              </w:rPr>
            </w:pPr>
            <w:r>
              <w:rPr>
                <w:rFonts w:ascii="方正书宋_GBK" w:eastAsia="方正书宋_GBK"/>
              </w:rPr>
              <w:t>60.00%</w:t>
            </w:r>
          </w:p>
        </w:tc>
        <w:tc>
          <w:tcPr>
            <w:tcW w:w="737" w:type="dxa"/>
            <w:vAlign w:val="center"/>
          </w:tcPr>
          <w:p>
            <w:pPr>
              <w:spacing w:line="57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ascii="方正书宋_GBK" w:eastAsia="方正书宋_GBK"/>
              </w:rPr>
            </w:pPr>
            <w:r>
              <w:rPr>
                <w:rFonts w:hint="eastAsia" w:ascii="方正书宋_GBK" w:eastAsia="方正书宋_GBK"/>
              </w:rPr>
              <w:t>省级服务业标准化试点创建数量</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80.00%</w:t>
            </w:r>
          </w:p>
        </w:tc>
        <w:tc>
          <w:tcPr>
            <w:tcW w:w="737" w:type="dxa"/>
            <w:vAlign w:val="center"/>
          </w:tcPr>
          <w:p>
            <w:pPr>
              <w:spacing w:line="570" w:lineRule="exact"/>
              <w:jc w:val="center"/>
              <w:rPr>
                <w:rFonts w:ascii="方正书宋_GBK" w:eastAsia="方正书宋_GBK"/>
              </w:rPr>
            </w:pPr>
            <w:r>
              <w:rPr>
                <w:rFonts w:ascii="方正书宋_GBK" w:eastAsia="方正书宋_GBK"/>
              </w:rPr>
              <w:t>60.00%</w:t>
            </w:r>
          </w:p>
        </w:tc>
        <w:tc>
          <w:tcPr>
            <w:tcW w:w="737" w:type="dxa"/>
            <w:vAlign w:val="center"/>
          </w:tcPr>
          <w:p>
            <w:pPr>
              <w:spacing w:line="57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ascii="方正书宋_GBK" w:eastAsia="方正书宋_GBK"/>
              </w:rPr>
            </w:pPr>
            <w:r>
              <w:rPr>
                <w:rFonts w:hint="eastAsia" w:ascii="方正书宋_GBK" w:eastAsia="方正书宋_GBK"/>
              </w:rPr>
              <w:t>地方标准制修订数量</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80.00%</w:t>
            </w:r>
          </w:p>
        </w:tc>
        <w:tc>
          <w:tcPr>
            <w:tcW w:w="737" w:type="dxa"/>
            <w:vAlign w:val="center"/>
          </w:tcPr>
          <w:p>
            <w:pPr>
              <w:spacing w:line="570" w:lineRule="exact"/>
              <w:jc w:val="center"/>
              <w:rPr>
                <w:rFonts w:ascii="方正书宋_GBK" w:eastAsia="方正书宋_GBK"/>
              </w:rPr>
            </w:pPr>
            <w:r>
              <w:rPr>
                <w:rFonts w:ascii="方正书宋_GBK" w:eastAsia="方正书宋_GBK"/>
              </w:rPr>
              <w:t>60.00%</w:t>
            </w:r>
          </w:p>
        </w:tc>
        <w:tc>
          <w:tcPr>
            <w:tcW w:w="737" w:type="dxa"/>
            <w:vAlign w:val="center"/>
          </w:tcPr>
          <w:p>
            <w:pPr>
              <w:spacing w:line="57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vAlign w:val="center"/>
          </w:tcPr>
          <w:p>
            <w:pPr>
              <w:spacing w:line="57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、计量管理</w:t>
            </w:r>
          </w:p>
        </w:tc>
        <w:tc>
          <w:tcPr>
            <w:tcW w:w="1276" w:type="dxa"/>
            <w:vMerge w:val="restart"/>
            <w:vAlign w:val="center"/>
          </w:tcPr>
          <w:p>
            <w:pPr>
              <w:spacing w:line="570" w:lineRule="exact"/>
              <w:jc w:val="left"/>
              <w:rPr>
                <w:rFonts w:ascii="方正书宋_GBK" w:eastAsia="方正书宋_GBK"/>
              </w:rPr>
            </w:pPr>
          </w:p>
        </w:tc>
        <w:tc>
          <w:tcPr>
            <w:tcW w:w="2976" w:type="dxa"/>
            <w:vMerge w:val="restart"/>
            <w:vAlign w:val="center"/>
          </w:tcPr>
          <w:p>
            <w:pPr>
              <w:spacing w:line="570" w:lineRule="exact"/>
              <w:jc w:val="left"/>
              <w:rPr>
                <w:rFonts w:ascii="方正书宋_GBK" w:eastAsia="方正书宋_GBK"/>
              </w:rPr>
            </w:pPr>
            <w:r>
              <w:rPr>
                <w:rFonts w:hint="eastAsia" w:ascii="方正书宋_GBK" w:eastAsia="方正书宋_GBK"/>
              </w:rPr>
              <w:t>负责统一管理本辖区计量工作，推行法定计量单位和国家计量制度，管理和监督地方计量标准和标准物质，依法管理计量器具，组织本地量值传递和比对工作，监督管理商品量、市场计量行为和计量仲裁检定。</w:t>
            </w:r>
          </w:p>
        </w:tc>
        <w:tc>
          <w:tcPr>
            <w:tcW w:w="2976" w:type="dxa"/>
            <w:vMerge w:val="restart"/>
            <w:vAlign w:val="center"/>
          </w:tcPr>
          <w:p>
            <w:pPr>
              <w:spacing w:line="570" w:lineRule="exact"/>
              <w:jc w:val="left"/>
              <w:rPr>
                <w:rFonts w:ascii="方正书宋_GBK" w:eastAsia="方正书宋_GBK"/>
              </w:rPr>
            </w:pPr>
            <w:r>
              <w:rPr>
                <w:rFonts w:hint="eastAsia" w:ascii="方正书宋_GBK" w:eastAsia="方正书宋_GBK"/>
              </w:rPr>
              <w:t>严格落实计量发展规划</w:t>
            </w:r>
            <w:r>
              <w:rPr>
                <w:rFonts w:ascii="方正书宋_GBK" w:eastAsia="方正书宋_GBK"/>
              </w:rPr>
              <w:t>(2013—2020</w:t>
            </w:r>
            <w:r>
              <w:rPr>
                <w:rFonts w:hint="eastAsia" w:ascii="方正书宋_GBK" w:eastAsia="方正书宋_GBK"/>
              </w:rPr>
              <w:t>年</w:t>
            </w:r>
            <w:r>
              <w:rPr>
                <w:rFonts w:ascii="方正书宋_GBK" w:eastAsia="方正书宋_GBK"/>
              </w:rPr>
              <w:t>),</w:t>
            </w:r>
            <w:r>
              <w:rPr>
                <w:rFonts w:hint="eastAsia" w:ascii="方正书宋_GBK" w:eastAsia="方正书宋_GBK"/>
              </w:rPr>
              <w:t>提升服务经济、保障民生能力。推动政府出台支持计量发展的政策措施、落实相关资金；加强量传溯源体系建设；完成能源计量审查及在线采集目标任务；落实“计量惠民生，诚信促和谐”双十工程三年目标任务。组织实施省、市、区统一部署的各项计量监督检查及管理活动；全面加强计量宣传统计工作。</w:t>
            </w:r>
          </w:p>
        </w:tc>
        <w:tc>
          <w:tcPr>
            <w:tcW w:w="1417" w:type="dxa"/>
            <w:vAlign w:val="center"/>
          </w:tcPr>
          <w:p>
            <w:pPr>
              <w:spacing w:line="570" w:lineRule="exact"/>
              <w:jc w:val="left"/>
              <w:rPr>
                <w:rFonts w:ascii="方正书宋_GBK" w:eastAsia="方正书宋_GBK"/>
              </w:rPr>
            </w:pPr>
            <w:r>
              <w:rPr>
                <w:rFonts w:hint="eastAsia" w:ascii="方正书宋_GBK" w:eastAsia="方正书宋_GBK"/>
              </w:rPr>
              <w:t>加强计量器具制造企业监管，获证企业档案完善率</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90.00%</w:t>
            </w:r>
          </w:p>
        </w:tc>
        <w:tc>
          <w:tcPr>
            <w:tcW w:w="737" w:type="dxa"/>
            <w:vAlign w:val="center"/>
          </w:tcPr>
          <w:p>
            <w:pPr>
              <w:spacing w:line="570" w:lineRule="exact"/>
              <w:jc w:val="center"/>
              <w:rPr>
                <w:rFonts w:ascii="方正书宋_GBK" w:eastAsia="方正书宋_GBK"/>
              </w:rPr>
            </w:pPr>
            <w:r>
              <w:rPr>
                <w:rFonts w:ascii="方正书宋_GBK" w:eastAsia="方正书宋_GBK"/>
              </w:rPr>
              <w:t>80.00%</w:t>
            </w:r>
          </w:p>
        </w:tc>
        <w:tc>
          <w:tcPr>
            <w:tcW w:w="737" w:type="dxa"/>
            <w:vAlign w:val="center"/>
          </w:tcPr>
          <w:p>
            <w:pPr>
              <w:spacing w:line="57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ascii="方正书宋_GBK" w:eastAsia="方正书宋_GBK"/>
              </w:rPr>
            </w:pPr>
            <w:r>
              <w:rPr>
                <w:rFonts w:hint="eastAsia" w:ascii="方正书宋_GBK" w:eastAsia="方正书宋_GBK"/>
              </w:rPr>
              <w:t>深化工业与能源计量审查及在线采集完成率</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80%</w:t>
            </w:r>
            <w:r>
              <w:rPr>
                <w:rFonts w:hint="eastAsia" w:ascii="方正书宋_GBK" w:eastAsia="方正书宋_GBK"/>
              </w:rPr>
              <w:t>以上</w:t>
            </w:r>
          </w:p>
        </w:tc>
        <w:tc>
          <w:tcPr>
            <w:tcW w:w="737" w:type="dxa"/>
            <w:vAlign w:val="center"/>
          </w:tcPr>
          <w:p>
            <w:pPr>
              <w:spacing w:line="570" w:lineRule="exact"/>
              <w:jc w:val="center"/>
              <w:rPr>
                <w:rFonts w:ascii="方正书宋_GBK" w:eastAsia="方正书宋_GBK"/>
              </w:rPr>
            </w:pPr>
            <w:r>
              <w:rPr>
                <w:rFonts w:ascii="方正书宋_GBK" w:eastAsia="方正书宋_GBK"/>
              </w:rPr>
              <w:t>60%</w:t>
            </w:r>
            <w:r>
              <w:rPr>
                <w:rFonts w:hint="eastAsia" w:ascii="方正书宋_GBK" w:eastAsia="方正书宋_GBK"/>
              </w:rPr>
              <w:t>以上</w:t>
            </w:r>
          </w:p>
        </w:tc>
        <w:tc>
          <w:tcPr>
            <w:tcW w:w="737" w:type="dxa"/>
            <w:vAlign w:val="center"/>
          </w:tcPr>
          <w:p>
            <w:pPr>
              <w:spacing w:line="57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ascii="方正书宋_GBK" w:eastAsia="方正书宋_GBK"/>
              </w:rPr>
            </w:pPr>
            <w:r>
              <w:rPr>
                <w:rFonts w:hint="eastAsia" w:ascii="方正书宋_GBK" w:eastAsia="方正书宋_GBK"/>
              </w:rPr>
              <w:t>计量惠民、定量包装及计量专项检查完成率</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90.00%</w:t>
            </w:r>
          </w:p>
        </w:tc>
        <w:tc>
          <w:tcPr>
            <w:tcW w:w="737" w:type="dxa"/>
            <w:vAlign w:val="center"/>
          </w:tcPr>
          <w:p>
            <w:pPr>
              <w:spacing w:line="570" w:lineRule="exact"/>
              <w:jc w:val="center"/>
              <w:rPr>
                <w:rFonts w:ascii="方正书宋_GBK" w:eastAsia="方正书宋_GBK"/>
              </w:rPr>
            </w:pPr>
            <w:r>
              <w:rPr>
                <w:rFonts w:ascii="方正书宋_GBK" w:eastAsia="方正书宋_GBK"/>
              </w:rPr>
              <w:t>80.00%</w:t>
            </w:r>
          </w:p>
        </w:tc>
        <w:tc>
          <w:tcPr>
            <w:tcW w:w="737" w:type="dxa"/>
            <w:vAlign w:val="center"/>
          </w:tcPr>
          <w:p>
            <w:pPr>
              <w:spacing w:line="57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vAlign w:val="center"/>
          </w:tcPr>
          <w:p>
            <w:pPr>
              <w:spacing w:line="570" w:lineRule="exact"/>
              <w:jc w:val="left"/>
              <w:rPr>
                <w:rFonts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、质量监督</w:t>
            </w:r>
          </w:p>
        </w:tc>
        <w:tc>
          <w:tcPr>
            <w:tcW w:w="1276" w:type="dxa"/>
            <w:vMerge w:val="restart"/>
            <w:vAlign w:val="center"/>
          </w:tcPr>
          <w:p>
            <w:pPr>
              <w:spacing w:line="570" w:lineRule="exact"/>
              <w:jc w:val="left"/>
              <w:rPr>
                <w:rFonts w:ascii="方正书宋_GBK" w:eastAsia="方正书宋_GBK"/>
              </w:rPr>
            </w:pPr>
            <w:r>
              <w:rPr>
                <w:rFonts w:ascii="方正书宋_GBK" w:eastAsia="方正书宋_GBK"/>
              </w:rPr>
              <w:t>12.32</w:t>
            </w:r>
          </w:p>
        </w:tc>
        <w:tc>
          <w:tcPr>
            <w:tcW w:w="2976" w:type="dxa"/>
            <w:vMerge w:val="restart"/>
            <w:vAlign w:val="center"/>
          </w:tcPr>
          <w:p>
            <w:pPr>
              <w:spacing w:line="570" w:lineRule="exact"/>
              <w:jc w:val="left"/>
              <w:rPr>
                <w:rFonts w:ascii="方正书宋_GBK" w:eastAsia="方正书宋_GBK"/>
              </w:rPr>
            </w:pPr>
            <w:r>
              <w:rPr>
                <w:rFonts w:hint="eastAsia" w:ascii="方正书宋_GBK" w:eastAsia="方正书宋_GBK"/>
              </w:rPr>
              <w:t>负责拟定本辖区重点监督的产品目录和产品质量安全监督的工作制度并组织实施；承担产品质量区级监督抽查工作和不合格产品后处理工作；承担工业产品生产许可证管理、产品质量安全强制检验工作；指导和协调本辖区产品质量的行业、专业性监督；管理机动车安全技术检验机构资格；认定监督管理产品质量检验机构及仲裁检验、鉴定。</w:t>
            </w:r>
          </w:p>
        </w:tc>
        <w:tc>
          <w:tcPr>
            <w:tcW w:w="2976" w:type="dxa"/>
            <w:vMerge w:val="restart"/>
            <w:vAlign w:val="center"/>
          </w:tcPr>
          <w:p>
            <w:pPr>
              <w:spacing w:line="570" w:lineRule="exact"/>
              <w:jc w:val="left"/>
              <w:rPr>
                <w:rFonts w:ascii="方正书宋_GBK" w:eastAsia="方正书宋_GBK"/>
              </w:rPr>
            </w:pPr>
            <w:r>
              <w:rPr>
                <w:rFonts w:hint="eastAsia" w:ascii="方正书宋_GBK" w:eastAsia="方正书宋_GBK"/>
              </w:rPr>
              <w:t>制定区本级监督抽查工作计划，建立监督抽查工作责任制，及时公开抽查结果；全面完成后处理工作，及时按照要求汇总上报后处理信息，后处理完成率达到</w:t>
            </w:r>
            <w:r>
              <w:rPr>
                <w:rFonts w:ascii="方正书宋_GBK" w:eastAsia="方正书宋_GBK"/>
              </w:rPr>
              <w:t>100%</w:t>
            </w:r>
            <w:r>
              <w:rPr>
                <w:rFonts w:hint="eastAsia" w:ascii="方正书宋_GBK" w:eastAsia="方正书宋_GBK"/>
              </w:rPr>
              <w:t>；按照全省（市）联动监督抽查工作方案，组织本辖区的联动监督抽查工作。</w:t>
            </w:r>
          </w:p>
        </w:tc>
        <w:tc>
          <w:tcPr>
            <w:tcW w:w="1417" w:type="dxa"/>
            <w:vAlign w:val="center"/>
          </w:tcPr>
          <w:p>
            <w:pPr>
              <w:spacing w:line="570" w:lineRule="exact"/>
              <w:jc w:val="left"/>
              <w:rPr>
                <w:rFonts w:ascii="方正书宋_GBK" w:eastAsia="方正书宋_GBK"/>
              </w:rPr>
            </w:pPr>
            <w:r>
              <w:rPr>
                <w:rFonts w:hint="eastAsia" w:ascii="方正书宋_GBK" w:eastAsia="方正书宋_GBK"/>
              </w:rPr>
              <w:t>强制性认证企业监督检查比率</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570" w:lineRule="exact"/>
              <w:jc w:val="center"/>
              <w:rPr>
                <w:rFonts w:ascii="方正书宋_GBK" w:eastAsia="方正书宋_GBK"/>
              </w:rPr>
            </w:pPr>
            <w:r>
              <w:rPr>
                <w:rFonts w:ascii="方正书宋_GBK" w:eastAsia="方正书宋_GBK"/>
              </w:rPr>
              <w:t>80%</w:t>
            </w:r>
            <w:r>
              <w:rPr>
                <w:rFonts w:hint="eastAsia" w:ascii="方正书宋_GBK" w:eastAsia="方正书宋_GBK"/>
              </w:rPr>
              <w:t>以上</w:t>
            </w:r>
          </w:p>
        </w:tc>
        <w:tc>
          <w:tcPr>
            <w:tcW w:w="737" w:type="dxa"/>
            <w:vAlign w:val="center"/>
          </w:tcPr>
          <w:p>
            <w:pPr>
              <w:spacing w:line="57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ascii="方正书宋_GBK" w:eastAsia="方正书宋_GBK"/>
              </w:rPr>
            </w:pPr>
            <w:r>
              <w:rPr>
                <w:rFonts w:hint="eastAsia" w:ascii="方正书宋_GBK" w:eastAsia="方正书宋_GBK"/>
              </w:rPr>
              <w:t>获证企业监督检查比率</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570" w:lineRule="exact"/>
              <w:jc w:val="center"/>
              <w:rPr>
                <w:rFonts w:ascii="方正书宋_GBK" w:eastAsia="方正书宋_GBK"/>
              </w:rPr>
            </w:pPr>
            <w:r>
              <w:rPr>
                <w:rFonts w:ascii="方正书宋_GBK" w:eastAsia="方正书宋_GBK"/>
              </w:rPr>
              <w:t>80%</w:t>
            </w:r>
            <w:r>
              <w:rPr>
                <w:rFonts w:hint="eastAsia" w:ascii="方正书宋_GBK" w:eastAsia="方正书宋_GBK"/>
              </w:rPr>
              <w:t>以上</w:t>
            </w:r>
          </w:p>
        </w:tc>
        <w:tc>
          <w:tcPr>
            <w:tcW w:w="737" w:type="dxa"/>
            <w:vAlign w:val="center"/>
          </w:tcPr>
          <w:p>
            <w:pPr>
              <w:spacing w:line="57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ascii="方正书宋_GBK" w:eastAsia="方正书宋_GBK"/>
              </w:rPr>
            </w:pPr>
            <w:r>
              <w:rPr>
                <w:rFonts w:hint="eastAsia" w:ascii="方正书宋_GBK" w:eastAsia="方正书宋_GBK"/>
              </w:rPr>
              <w:t>工业产品许可证获证企业日常监督检查率</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570" w:lineRule="exact"/>
              <w:jc w:val="center"/>
              <w:rPr>
                <w:rFonts w:ascii="方正书宋_GBK" w:eastAsia="方正书宋_GBK"/>
              </w:rPr>
            </w:pPr>
            <w:r>
              <w:rPr>
                <w:rFonts w:ascii="方正书宋_GBK" w:eastAsia="方正书宋_GBK"/>
              </w:rPr>
              <w:t>80%</w:t>
            </w:r>
            <w:r>
              <w:rPr>
                <w:rFonts w:hint="eastAsia" w:ascii="方正书宋_GBK" w:eastAsia="方正书宋_GBK"/>
              </w:rPr>
              <w:t>以上</w:t>
            </w:r>
          </w:p>
        </w:tc>
        <w:tc>
          <w:tcPr>
            <w:tcW w:w="737" w:type="dxa"/>
            <w:vAlign w:val="center"/>
          </w:tcPr>
          <w:p>
            <w:pPr>
              <w:spacing w:line="57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ascii="方正书宋_GBK" w:eastAsia="方正书宋_GBK"/>
              </w:rPr>
            </w:pPr>
            <w:r>
              <w:rPr>
                <w:rFonts w:hint="eastAsia" w:ascii="方正书宋_GBK" w:eastAsia="方正书宋_GBK"/>
              </w:rPr>
              <w:t>用煤大户定期抽检完成率</w:t>
            </w:r>
          </w:p>
        </w:tc>
        <w:tc>
          <w:tcPr>
            <w:tcW w:w="737" w:type="dxa"/>
            <w:vAlign w:val="center"/>
          </w:tcPr>
          <w:p>
            <w:pPr>
              <w:spacing w:line="57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570" w:lineRule="exact"/>
              <w:jc w:val="center"/>
              <w:rPr>
                <w:rFonts w:ascii="方正书宋_GBK" w:eastAsia="方正书宋_GBK"/>
              </w:rPr>
            </w:pPr>
            <w:r>
              <w:rPr>
                <w:rFonts w:ascii="方正书宋_GBK" w:eastAsia="方正书宋_GBK"/>
              </w:rPr>
              <w:t>80%</w:t>
            </w:r>
            <w:r>
              <w:rPr>
                <w:rFonts w:hint="eastAsia" w:ascii="方正书宋_GBK" w:eastAsia="方正书宋_GBK"/>
              </w:rPr>
              <w:t>以上</w:t>
            </w:r>
          </w:p>
        </w:tc>
        <w:tc>
          <w:tcPr>
            <w:tcW w:w="737" w:type="dxa"/>
            <w:vAlign w:val="center"/>
          </w:tcPr>
          <w:p>
            <w:pPr>
              <w:spacing w:line="570" w:lineRule="exact"/>
              <w:jc w:val="center"/>
              <w:rPr>
                <w:rFonts w:ascii="方正书宋_GBK" w:eastAsia="方正书宋_GBK"/>
              </w:rPr>
            </w:pPr>
            <w:r>
              <w:rPr>
                <w:rFonts w:ascii="方正书宋_GBK" w:eastAsia="方正书宋_GBK"/>
              </w:rPr>
              <w:t>70%</w:t>
            </w:r>
            <w:r>
              <w:rPr>
                <w:rFonts w:hint="eastAsia" w:ascii="方正书宋_GBK" w:eastAsia="方正书宋_GBK"/>
              </w:rPr>
              <w:t>以上</w:t>
            </w:r>
          </w:p>
        </w:tc>
        <w:tc>
          <w:tcPr>
            <w:tcW w:w="737" w:type="dxa"/>
            <w:vAlign w:val="center"/>
          </w:tcPr>
          <w:p>
            <w:pPr>
              <w:spacing w:line="57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ascii="方正书宋_GBK" w:eastAsia="方正书宋_GBK"/>
              </w:rPr>
            </w:pPr>
            <w:r>
              <w:rPr>
                <w:rFonts w:hint="eastAsia" w:ascii="方正书宋_GBK" w:eastAsia="方正书宋_GBK"/>
              </w:rPr>
              <w:t>不合格企业后处理完成率</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570" w:lineRule="exact"/>
              <w:jc w:val="center"/>
              <w:rPr>
                <w:rFonts w:ascii="方正书宋_GBK" w:eastAsia="方正书宋_GBK"/>
              </w:rPr>
            </w:pPr>
            <w:r>
              <w:rPr>
                <w:rFonts w:ascii="方正书宋_GBK" w:eastAsia="方正书宋_GBK"/>
              </w:rPr>
              <w:t>80%</w:t>
            </w:r>
            <w:r>
              <w:rPr>
                <w:rFonts w:hint="eastAsia" w:ascii="方正书宋_GBK" w:eastAsia="方正书宋_GBK"/>
              </w:rPr>
              <w:t>以上</w:t>
            </w:r>
          </w:p>
        </w:tc>
        <w:tc>
          <w:tcPr>
            <w:tcW w:w="737" w:type="dxa"/>
            <w:vAlign w:val="center"/>
          </w:tcPr>
          <w:p>
            <w:pPr>
              <w:spacing w:line="57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vAlign w:val="center"/>
          </w:tcPr>
          <w:p>
            <w:pPr>
              <w:spacing w:line="570" w:lineRule="exact"/>
              <w:jc w:val="left"/>
              <w:rPr>
                <w:rFonts w:ascii="方正书宋_GBK" w:eastAsia="方正书宋_GBK"/>
                <w:b/>
              </w:rPr>
            </w:pPr>
            <w:r>
              <w:rPr>
                <w:rFonts w:hint="eastAsia" w:ascii="方正书宋_GBK" w:eastAsia="方正书宋_GBK"/>
                <w:b/>
              </w:rPr>
              <w:t>　　</w:t>
            </w:r>
            <w:r>
              <w:rPr>
                <w:rFonts w:ascii="方正书宋_GBK" w:eastAsia="方正书宋_GBK"/>
                <w:b/>
              </w:rPr>
              <w:t>5</w:t>
            </w:r>
            <w:r>
              <w:rPr>
                <w:rFonts w:hint="eastAsia" w:ascii="方正书宋_GBK" w:eastAsia="方正书宋_GBK"/>
                <w:b/>
              </w:rPr>
              <w:t>、特种设备安全监察</w:t>
            </w:r>
          </w:p>
        </w:tc>
        <w:tc>
          <w:tcPr>
            <w:tcW w:w="1276" w:type="dxa"/>
            <w:vMerge w:val="restart"/>
            <w:vAlign w:val="center"/>
          </w:tcPr>
          <w:p>
            <w:pPr>
              <w:spacing w:line="570" w:lineRule="exact"/>
              <w:jc w:val="left"/>
              <w:rPr>
                <w:rFonts w:ascii="方正书宋_GBK" w:eastAsia="方正书宋_GBK"/>
              </w:rPr>
            </w:pPr>
          </w:p>
        </w:tc>
        <w:tc>
          <w:tcPr>
            <w:tcW w:w="2976" w:type="dxa"/>
            <w:vMerge w:val="restart"/>
            <w:vAlign w:val="center"/>
          </w:tcPr>
          <w:p>
            <w:pPr>
              <w:spacing w:line="570" w:lineRule="exact"/>
              <w:jc w:val="left"/>
              <w:rPr>
                <w:rFonts w:ascii="方正书宋_GBK" w:eastAsia="方正书宋_GBK"/>
              </w:rPr>
            </w:pPr>
            <w:r>
              <w:rPr>
                <w:rFonts w:hint="eastAsia" w:ascii="方正书宋_GBK" w:eastAsia="方正书宋_GBK"/>
              </w:rPr>
              <w:t>承担综合管理本辖区锅炉、压力容器、压力管道、电梯、起重机械、客运索道、游乐设施、场（厂）内专用机动车辆等特种设备安全监察、监督工作的责任，监督检查高耗能特种设备节能标准的执行情况。</w:t>
            </w:r>
          </w:p>
        </w:tc>
        <w:tc>
          <w:tcPr>
            <w:tcW w:w="2976" w:type="dxa"/>
            <w:vMerge w:val="restart"/>
            <w:vAlign w:val="center"/>
          </w:tcPr>
          <w:p>
            <w:pPr>
              <w:spacing w:line="570" w:lineRule="exact"/>
              <w:jc w:val="left"/>
              <w:rPr>
                <w:rFonts w:ascii="方正书宋_GBK" w:eastAsia="方正书宋_GBK"/>
              </w:rPr>
            </w:pPr>
            <w:r>
              <w:rPr>
                <w:rFonts w:hint="eastAsia" w:ascii="方正书宋_GBK" w:eastAsia="方正书宋_GBK"/>
              </w:rPr>
              <w:t>抓好使用环节特种设备安全管理，特别是公众聚集场所特种设备，落实特种设备使用单位主体责任，加强现场安全监督检查，特别是督促使用单位搞好隐患排查整改，及时消除事故隐患，预防特种设备事故发生。积极建议政府将特种设备安全工作纳入全区安全生产目标管理和考核工作，落实各管理部门责任，建立安全监管联络机制；建立基层特种设备安全员队伍。</w:t>
            </w:r>
          </w:p>
        </w:tc>
        <w:tc>
          <w:tcPr>
            <w:tcW w:w="1417" w:type="dxa"/>
            <w:vAlign w:val="center"/>
          </w:tcPr>
          <w:p>
            <w:pPr>
              <w:spacing w:line="570" w:lineRule="exact"/>
              <w:jc w:val="left"/>
              <w:rPr>
                <w:rFonts w:ascii="方正书宋_GBK" w:eastAsia="方正书宋_GBK"/>
              </w:rPr>
            </w:pPr>
            <w:r>
              <w:rPr>
                <w:rFonts w:hint="eastAsia" w:ascii="方正书宋_GBK" w:eastAsia="方正书宋_GBK"/>
              </w:rPr>
              <w:t>气瓶和移动式压力容器充装站现场监督检查率</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95%</w:t>
            </w:r>
            <w:r>
              <w:rPr>
                <w:rFonts w:hint="eastAsia" w:ascii="方正书宋_GBK" w:eastAsia="方正书宋_GBK"/>
              </w:rPr>
              <w:t>以上</w:t>
            </w:r>
          </w:p>
        </w:tc>
        <w:tc>
          <w:tcPr>
            <w:tcW w:w="737" w:type="dxa"/>
            <w:vAlign w:val="center"/>
          </w:tcPr>
          <w:p>
            <w:pPr>
              <w:spacing w:line="57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57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ascii="方正书宋_GBK" w:eastAsia="方正书宋_GBK"/>
              </w:rPr>
            </w:pPr>
            <w:r>
              <w:rPr>
                <w:rFonts w:hint="eastAsia" w:ascii="方正书宋_GBK" w:eastAsia="方正书宋_GBK"/>
              </w:rPr>
              <w:t>重点设备定期检验率</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95%</w:t>
            </w:r>
            <w:r>
              <w:rPr>
                <w:rFonts w:hint="eastAsia" w:ascii="方正书宋_GBK" w:eastAsia="方正书宋_GBK"/>
              </w:rPr>
              <w:t>以上</w:t>
            </w:r>
          </w:p>
        </w:tc>
        <w:tc>
          <w:tcPr>
            <w:tcW w:w="737" w:type="dxa"/>
            <w:vAlign w:val="center"/>
          </w:tcPr>
          <w:p>
            <w:pPr>
              <w:spacing w:line="57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57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ascii="方正书宋_GBK" w:eastAsia="方正书宋_GBK"/>
              </w:rPr>
            </w:pPr>
            <w:r>
              <w:rPr>
                <w:rFonts w:hint="eastAsia" w:ascii="方正书宋_GBK" w:eastAsia="方正书宋_GBK"/>
              </w:rPr>
              <w:t>重点特种设备现场监督检查率</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98.00%</w:t>
            </w:r>
          </w:p>
        </w:tc>
        <w:tc>
          <w:tcPr>
            <w:tcW w:w="737" w:type="dxa"/>
            <w:vAlign w:val="center"/>
          </w:tcPr>
          <w:p>
            <w:pPr>
              <w:spacing w:line="570" w:lineRule="exact"/>
              <w:jc w:val="center"/>
              <w:rPr>
                <w:rFonts w:ascii="方正书宋_GBK" w:eastAsia="方正书宋_GBK"/>
              </w:rPr>
            </w:pPr>
            <w:r>
              <w:rPr>
                <w:rFonts w:ascii="方正书宋_GBK" w:eastAsia="方正书宋_GBK"/>
              </w:rPr>
              <w:t>96.00%</w:t>
            </w:r>
          </w:p>
        </w:tc>
        <w:tc>
          <w:tcPr>
            <w:tcW w:w="737" w:type="dxa"/>
            <w:vAlign w:val="center"/>
          </w:tcPr>
          <w:p>
            <w:pPr>
              <w:spacing w:line="570" w:lineRule="exact"/>
              <w:jc w:val="center"/>
              <w:rPr>
                <w:rFonts w:ascii="方正书宋_GBK" w:eastAsia="方正书宋_GBK"/>
              </w:rPr>
            </w:pPr>
            <w:r>
              <w:rPr>
                <w:rFonts w:ascii="方正书宋_GBK" w:eastAsia="方正书宋_GBK"/>
              </w:rPr>
              <w:t>95%</w:t>
            </w:r>
            <w:r>
              <w:rPr>
                <w:rFonts w:hint="eastAsia" w:ascii="方正书宋_GBK" w:eastAsia="方正书宋_GBK"/>
              </w:rPr>
              <w:t>及以下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570" w:lineRule="exact"/>
              <w:jc w:val="left"/>
              <w:rPr>
                <w:rFonts w:ascii="方正书宋_GBK" w:eastAsia="方正书宋_GBK"/>
                <w:b/>
              </w:rPr>
            </w:pPr>
            <w:r>
              <w:rPr>
                <w:rFonts w:hint="eastAsia" w:ascii="方正书宋_GBK" w:eastAsia="方正书宋_GBK"/>
                <w:b/>
              </w:rPr>
              <w:t>二、质量技术监督行政执法</w:t>
            </w:r>
          </w:p>
        </w:tc>
        <w:tc>
          <w:tcPr>
            <w:tcW w:w="1276" w:type="dxa"/>
            <w:vAlign w:val="center"/>
          </w:tcPr>
          <w:p>
            <w:pPr>
              <w:spacing w:line="570" w:lineRule="exact"/>
              <w:jc w:val="left"/>
              <w:rPr>
                <w:rFonts w:ascii="方正书宋_GBK" w:eastAsia="方正书宋_GBK"/>
              </w:rPr>
            </w:pPr>
          </w:p>
        </w:tc>
        <w:tc>
          <w:tcPr>
            <w:tcW w:w="2976" w:type="dxa"/>
            <w:vAlign w:val="center"/>
          </w:tcPr>
          <w:p>
            <w:pPr>
              <w:spacing w:line="570" w:lineRule="exact"/>
              <w:jc w:val="left"/>
              <w:rPr>
                <w:rFonts w:ascii="方正书宋_GBK" w:eastAsia="方正书宋_GBK"/>
              </w:rPr>
            </w:pPr>
            <w:r>
              <w:rPr>
                <w:rFonts w:hint="eastAsia" w:ascii="方正书宋_GBK" w:eastAsia="方正书宋_GBK"/>
              </w:rPr>
              <w:t>主要承担质量技术监督执法打假有关的各项工作。</w:t>
            </w:r>
          </w:p>
        </w:tc>
        <w:tc>
          <w:tcPr>
            <w:tcW w:w="2976" w:type="dxa"/>
            <w:vAlign w:val="center"/>
          </w:tcPr>
          <w:p>
            <w:pPr>
              <w:spacing w:line="570" w:lineRule="exact"/>
              <w:jc w:val="left"/>
              <w:rPr>
                <w:rFonts w:ascii="方正书宋_GBK" w:eastAsia="方正书宋_GBK"/>
              </w:rPr>
            </w:pPr>
            <w:r>
              <w:rPr>
                <w:rFonts w:hint="eastAsia" w:ascii="方正书宋_GBK" w:eastAsia="方正书宋_GBK"/>
              </w:rPr>
              <w:t>加大执法力度，规范执法行为。</w:t>
            </w:r>
          </w:p>
        </w:tc>
        <w:tc>
          <w:tcPr>
            <w:tcW w:w="1417" w:type="dxa"/>
            <w:vAlign w:val="center"/>
          </w:tcPr>
          <w:p>
            <w:pPr>
              <w:spacing w:line="570" w:lineRule="exact"/>
              <w:jc w:val="left"/>
              <w:rPr>
                <w:rFonts w:ascii="方正书宋_GBK" w:eastAsia="方正书宋_GBK"/>
              </w:rPr>
            </w:pPr>
          </w:p>
        </w:tc>
        <w:tc>
          <w:tcPr>
            <w:tcW w:w="737" w:type="dxa"/>
            <w:vAlign w:val="center"/>
          </w:tcPr>
          <w:p>
            <w:pPr>
              <w:spacing w:line="570" w:lineRule="exact"/>
              <w:jc w:val="center"/>
              <w:rPr>
                <w:rFonts w:ascii="方正书宋_GBK" w:eastAsia="方正书宋_GBK"/>
              </w:rPr>
            </w:pPr>
          </w:p>
        </w:tc>
        <w:tc>
          <w:tcPr>
            <w:tcW w:w="737" w:type="dxa"/>
            <w:vAlign w:val="center"/>
          </w:tcPr>
          <w:p>
            <w:pPr>
              <w:spacing w:line="570" w:lineRule="exact"/>
              <w:jc w:val="center"/>
              <w:rPr>
                <w:rFonts w:ascii="方正书宋_GBK" w:eastAsia="方正书宋_GBK"/>
              </w:rPr>
            </w:pPr>
          </w:p>
        </w:tc>
        <w:tc>
          <w:tcPr>
            <w:tcW w:w="737" w:type="dxa"/>
            <w:vAlign w:val="center"/>
          </w:tcPr>
          <w:p>
            <w:pPr>
              <w:spacing w:line="570" w:lineRule="exact"/>
              <w:jc w:val="center"/>
              <w:rPr>
                <w:rFonts w:ascii="方正书宋_GBK" w:eastAsia="方正书宋_GBK"/>
              </w:rPr>
            </w:pPr>
          </w:p>
        </w:tc>
        <w:tc>
          <w:tcPr>
            <w:tcW w:w="737" w:type="dxa"/>
            <w:vAlign w:val="center"/>
          </w:tcPr>
          <w:p>
            <w:pPr>
              <w:spacing w:line="57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vAlign w:val="center"/>
          </w:tcPr>
          <w:p>
            <w:pPr>
              <w:spacing w:line="57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、打假办案</w:t>
            </w:r>
          </w:p>
        </w:tc>
        <w:tc>
          <w:tcPr>
            <w:tcW w:w="1276" w:type="dxa"/>
            <w:vMerge w:val="restart"/>
            <w:vAlign w:val="center"/>
          </w:tcPr>
          <w:p>
            <w:pPr>
              <w:spacing w:line="570" w:lineRule="exact"/>
              <w:jc w:val="left"/>
              <w:rPr>
                <w:rFonts w:ascii="方正书宋_GBK" w:eastAsia="方正书宋_GBK"/>
              </w:rPr>
            </w:pPr>
          </w:p>
        </w:tc>
        <w:tc>
          <w:tcPr>
            <w:tcW w:w="2976" w:type="dxa"/>
            <w:vMerge w:val="restart"/>
            <w:vAlign w:val="center"/>
          </w:tcPr>
          <w:p>
            <w:pPr>
              <w:spacing w:line="570" w:lineRule="exact"/>
              <w:jc w:val="left"/>
              <w:rPr>
                <w:rFonts w:ascii="方正书宋_GBK" w:eastAsia="方正书宋_GBK"/>
              </w:rPr>
            </w:pPr>
            <w:r>
              <w:rPr>
                <w:rFonts w:hint="eastAsia" w:ascii="方正书宋_GBK" w:eastAsia="方正书宋_GBK"/>
              </w:rPr>
              <w:t>组织协调依法查处本辖区生产和经销假冒伪劣商品活动中的质量、标准违法行为和流通领域中的计量违法行为；组织本辖区日常行政执法工作；承担本辖区打击生产和经销假冒伪劣商品违法行为的日常协调工作；调查处理重大和跨区域的生产、流通领域质量技术违法案件；参加周边地区质量技术监督部门执法办案的协调联动。开展区域产品整治和提升工作；负责全区的质量技术监督投诉、申诉和举报工作。</w:t>
            </w:r>
          </w:p>
        </w:tc>
        <w:tc>
          <w:tcPr>
            <w:tcW w:w="2976" w:type="dxa"/>
            <w:vMerge w:val="restart"/>
            <w:vAlign w:val="center"/>
          </w:tcPr>
          <w:p>
            <w:pPr>
              <w:spacing w:line="570" w:lineRule="exact"/>
              <w:jc w:val="left"/>
              <w:rPr>
                <w:rFonts w:ascii="方正书宋_GBK" w:eastAsia="方正书宋_GBK"/>
              </w:rPr>
            </w:pPr>
            <w:r>
              <w:rPr>
                <w:rFonts w:hint="eastAsia" w:ascii="方正书宋_GBK" w:eastAsia="方正书宋_GBK"/>
              </w:rPr>
              <w:t>配合省市局加强汽车召回监督及缺陷产品召回监督工作</w:t>
            </w:r>
          </w:p>
        </w:tc>
        <w:tc>
          <w:tcPr>
            <w:tcW w:w="1417" w:type="dxa"/>
            <w:vAlign w:val="center"/>
          </w:tcPr>
          <w:p>
            <w:pPr>
              <w:spacing w:line="570" w:lineRule="exact"/>
              <w:jc w:val="left"/>
              <w:rPr>
                <w:rFonts w:ascii="方正书宋_GBK" w:eastAsia="方正书宋_GBK"/>
              </w:rPr>
            </w:pPr>
            <w:r>
              <w:rPr>
                <w:rFonts w:hint="eastAsia" w:ascii="方正书宋_GBK" w:eastAsia="方正书宋_GBK"/>
              </w:rPr>
              <w:t>专项执法案件办结率</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570" w:lineRule="exact"/>
              <w:jc w:val="center"/>
              <w:rPr>
                <w:rFonts w:ascii="方正书宋_GBK" w:eastAsia="方正书宋_GBK"/>
              </w:rPr>
            </w:pPr>
            <w:r>
              <w:rPr>
                <w:rFonts w:ascii="方正书宋_GBK" w:eastAsia="方正书宋_GBK"/>
              </w:rPr>
              <w:t>80%</w:t>
            </w:r>
            <w:r>
              <w:rPr>
                <w:rFonts w:hint="eastAsia" w:ascii="方正书宋_GBK" w:eastAsia="方正书宋_GBK"/>
              </w:rPr>
              <w:t>以上</w:t>
            </w:r>
          </w:p>
        </w:tc>
        <w:tc>
          <w:tcPr>
            <w:tcW w:w="737" w:type="dxa"/>
            <w:vAlign w:val="center"/>
          </w:tcPr>
          <w:p>
            <w:pPr>
              <w:spacing w:line="57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ascii="方正书宋_GBK" w:eastAsia="方正书宋_GBK"/>
              </w:rPr>
            </w:pPr>
            <w:r>
              <w:rPr>
                <w:rFonts w:hint="eastAsia" w:ascii="方正书宋_GBK" w:eastAsia="方正书宋_GBK"/>
              </w:rPr>
              <w:t>质量技术监督投诉案件办结率</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570" w:lineRule="exact"/>
              <w:jc w:val="center"/>
              <w:rPr>
                <w:rFonts w:ascii="方正书宋_GBK" w:eastAsia="方正书宋_GBK"/>
              </w:rPr>
            </w:pPr>
            <w:r>
              <w:rPr>
                <w:rFonts w:ascii="方正书宋_GBK" w:eastAsia="方正书宋_GBK"/>
              </w:rPr>
              <w:t>80%</w:t>
            </w:r>
            <w:r>
              <w:rPr>
                <w:rFonts w:hint="eastAsia" w:ascii="方正书宋_GBK" w:eastAsia="方正书宋_GBK"/>
              </w:rPr>
              <w:t>以上</w:t>
            </w:r>
          </w:p>
        </w:tc>
        <w:tc>
          <w:tcPr>
            <w:tcW w:w="737" w:type="dxa"/>
            <w:vAlign w:val="center"/>
          </w:tcPr>
          <w:p>
            <w:pPr>
              <w:spacing w:line="57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ascii="方正书宋_GBK" w:eastAsia="方正书宋_GBK"/>
              </w:rPr>
            </w:pPr>
            <w:r>
              <w:rPr>
                <w:rFonts w:hint="eastAsia" w:ascii="方正书宋_GBK" w:eastAsia="方正书宋_GBK"/>
              </w:rPr>
              <w:t>产品召回率</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570" w:lineRule="exact"/>
              <w:jc w:val="center"/>
              <w:rPr>
                <w:rFonts w:ascii="方正书宋_GBK" w:eastAsia="方正书宋_GBK"/>
              </w:rPr>
            </w:pPr>
            <w:r>
              <w:rPr>
                <w:rFonts w:ascii="方正书宋_GBK" w:eastAsia="方正书宋_GBK"/>
              </w:rPr>
              <w:t>80%</w:t>
            </w:r>
            <w:r>
              <w:rPr>
                <w:rFonts w:hint="eastAsia" w:ascii="方正书宋_GBK" w:eastAsia="方正书宋_GBK"/>
              </w:rPr>
              <w:t>以上</w:t>
            </w:r>
          </w:p>
        </w:tc>
        <w:tc>
          <w:tcPr>
            <w:tcW w:w="737" w:type="dxa"/>
            <w:vAlign w:val="center"/>
          </w:tcPr>
          <w:p>
            <w:pPr>
              <w:spacing w:line="57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570" w:lineRule="exact"/>
              <w:jc w:val="left"/>
              <w:rPr>
                <w:rFonts w:ascii="方正书宋_GBK" w:eastAsia="方正书宋_GBK"/>
                <w:b/>
              </w:rPr>
            </w:pPr>
            <w:r>
              <w:rPr>
                <w:rFonts w:hint="eastAsia" w:ascii="方正书宋_GBK" w:eastAsia="方正书宋_GBK"/>
                <w:b/>
              </w:rPr>
              <w:t>三、质监政务管理</w:t>
            </w:r>
          </w:p>
        </w:tc>
        <w:tc>
          <w:tcPr>
            <w:tcW w:w="1276" w:type="dxa"/>
            <w:vAlign w:val="center"/>
          </w:tcPr>
          <w:p>
            <w:pPr>
              <w:spacing w:line="570" w:lineRule="exact"/>
              <w:jc w:val="left"/>
              <w:rPr>
                <w:rFonts w:ascii="方正书宋_GBK" w:eastAsia="方正书宋_GBK"/>
              </w:rPr>
            </w:pPr>
          </w:p>
        </w:tc>
        <w:tc>
          <w:tcPr>
            <w:tcW w:w="2976" w:type="dxa"/>
            <w:vAlign w:val="center"/>
          </w:tcPr>
          <w:p>
            <w:pPr>
              <w:spacing w:line="570" w:lineRule="exact"/>
              <w:jc w:val="left"/>
              <w:rPr>
                <w:rFonts w:ascii="方正书宋_GBK" w:eastAsia="方正书宋_GBK"/>
              </w:rPr>
            </w:pPr>
            <w:r>
              <w:rPr>
                <w:rFonts w:hint="eastAsia" w:ascii="方正书宋_GBK" w:eastAsia="方正书宋_GBK"/>
              </w:rPr>
              <w:t>主要包括质量技术监督法规建设、综合管理、人事、离退休干部、党建、计财、内审、监察、宣传、会议、培训、调研等工作</w:t>
            </w:r>
          </w:p>
        </w:tc>
        <w:tc>
          <w:tcPr>
            <w:tcW w:w="2976" w:type="dxa"/>
            <w:vAlign w:val="center"/>
          </w:tcPr>
          <w:p>
            <w:pPr>
              <w:spacing w:line="570" w:lineRule="exact"/>
              <w:jc w:val="left"/>
              <w:rPr>
                <w:rFonts w:ascii="方正书宋_GBK" w:eastAsia="方正书宋_GBK"/>
              </w:rPr>
            </w:pPr>
            <w:r>
              <w:rPr>
                <w:rFonts w:hint="eastAsia" w:ascii="方正书宋_GBK" w:eastAsia="方正书宋_GBK"/>
              </w:rPr>
              <w:t>提高综合保障管理能力。</w:t>
            </w:r>
          </w:p>
        </w:tc>
        <w:tc>
          <w:tcPr>
            <w:tcW w:w="1417" w:type="dxa"/>
            <w:vAlign w:val="center"/>
          </w:tcPr>
          <w:p>
            <w:pPr>
              <w:spacing w:line="570" w:lineRule="exact"/>
              <w:jc w:val="left"/>
              <w:rPr>
                <w:rFonts w:ascii="方正书宋_GBK" w:eastAsia="方正书宋_GBK"/>
              </w:rPr>
            </w:pPr>
          </w:p>
        </w:tc>
        <w:tc>
          <w:tcPr>
            <w:tcW w:w="737" w:type="dxa"/>
            <w:vAlign w:val="center"/>
          </w:tcPr>
          <w:p>
            <w:pPr>
              <w:spacing w:line="570" w:lineRule="exact"/>
              <w:jc w:val="center"/>
              <w:rPr>
                <w:rFonts w:ascii="方正书宋_GBK" w:eastAsia="方正书宋_GBK"/>
              </w:rPr>
            </w:pPr>
          </w:p>
        </w:tc>
        <w:tc>
          <w:tcPr>
            <w:tcW w:w="737" w:type="dxa"/>
            <w:vAlign w:val="center"/>
          </w:tcPr>
          <w:p>
            <w:pPr>
              <w:spacing w:line="570" w:lineRule="exact"/>
              <w:jc w:val="center"/>
              <w:rPr>
                <w:rFonts w:ascii="方正书宋_GBK" w:eastAsia="方正书宋_GBK"/>
              </w:rPr>
            </w:pPr>
          </w:p>
        </w:tc>
        <w:tc>
          <w:tcPr>
            <w:tcW w:w="737" w:type="dxa"/>
            <w:vAlign w:val="center"/>
          </w:tcPr>
          <w:p>
            <w:pPr>
              <w:spacing w:line="570" w:lineRule="exact"/>
              <w:jc w:val="center"/>
              <w:rPr>
                <w:rFonts w:ascii="方正书宋_GBK" w:eastAsia="方正书宋_GBK"/>
              </w:rPr>
            </w:pPr>
          </w:p>
        </w:tc>
        <w:tc>
          <w:tcPr>
            <w:tcW w:w="737" w:type="dxa"/>
            <w:vAlign w:val="center"/>
          </w:tcPr>
          <w:p>
            <w:pPr>
              <w:spacing w:line="57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vAlign w:val="center"/>
          </w:tcPr>
          <w:p>
            <w:pPr>
              <w:spacing w:line="57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、综合业务管理</w:t>
            </w:r>
          </w:p>
        </w:tc>
        <w:tc>
          <w:tcPr>
            <w:tcW w:w="1276" w:type="dxa"/>
            <w:vMerge w:val="restart"/>
            <w:vAlign w:val="center"/>
          </w:tcPr>
          <w:p>
            <w:pPr>
              <w:spacing w:line="570" w:lineRule="exact"/>
              <w:jc w:val="left"/>
              <w:rPr>
                <w:rFonts w:ascii="方正书宋_GBK" w:eastAsia="方正书宋_GBK"/>
              </w:rPr>
            </w:pPr>
          </w:p>
        </w:tc>
        <w:tc>
          <w:tcPr>
            <w:tcW w:w="2976" w:type="dxa"/>
            <w:vMerge w:val="restart"/>
            <w:vAlign w:val="center"/>
          </w:tcPr>
          <w:p>
            <w:pPr>
              <w:spacing w:line="570" w:lineRule="exact"/>
              <w:jc w:val="left"/>
              <w:rPr>
                <w:rFonts w:ascii="方正书宋_GBK" w:eastAsia="方正书宋_GBK"/>
              </w:rPr>
            </w:pPr>
            <w:r>
              <w:rPr>
                <w:rFonts w:hint="eastAsia" w:ascii="方正书宋_GBK" w:eastAsia="方正书宋_GBK"/>
              </w:rPr>
              <w:t>开展纪检监察、计财内审宣传、专项会议、培训、调研、行政许可、执法装备、信息化等工作。</w:t>
            </w:r>
          </w:p>
        </w:tc>
        <w:tc>
          <w:tcPr>
            <w:tcW w:w="2976" w:type="dxa"/>
            <w:vMerge w:val="restart"/>
            <w:vAlign w:val="center"/>
          </w:tcPr>
          <w:p>
            <w:pPr>
              <w:spacing w:line="570" w:lineRule="exact"/>
              <w:jc w:val="left"/>
              <w:rPr>
                <w:rFonts w:ascii="方正书宋_GBK" w:eastAsia="方正书宋_GBK"/>
              </w:rPr>
            </w:pPr>
            <w:r>
              <w:rPr>
                <w:rFonts w:hint="eastAsia" w:ascii="方正书宋_GBK" w:eastAsia="方正书宋_GBK"/>
              </w:rPr>
              <w:t>提升保障能力及管理水平，做好后勤保障工作。</w:t>
            </w:r>
          </w:p>
        </w:tc>
        <w:tc>
          <w:tcPr>
            <w:tcW w:w="1417" w:type="dxa"/>
            <w:vAlign w:val="center"/>
          </w:tcPr>
          <w:p>
            <w:pPr>
              <w:spacing w:line="570" w:lineRule="exact"/>
              <w:jc w:val="left"/>
              <w:rPr>
                <w:rFonts w:ascii="方正书宋_GBK" w:eastAsia="方正书宋_GBK"/>
              </w:rPr>
            </w:pPr>
            <w:r>
              <w:rPr>
                <w:rFonts w:hint="eastAsia" w:ascii="方正书宋_GBK" w:eastAsia="方正书宋_GBK"/>
              </w:rPr>
              <w:t>法规及执法业务工作完成率</w:t>
            </w:r>
          </w:p>
        </w:tc>
        <w:tc>
          <w:tcPr>
            <w:tcW w:w="737" w:type="dxa"/>
            <w:vAlign w:val="center"/>
          </w:tcPr>
          <w:p>
            <w:pPr>
              <w:spacing w:line="57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570" w:lineRule="exact"/>
              <w:jc w:val="center"/>
              <w:rPr>
                <w:rFonts w:ascii="方正书宋_GBK" w:eastAsia="方正书宋_GBK"/>
              </w:rPr>
            </w:pPr>
            <w:r>
              <w:rPr>
                <w:rFonts w:ascii="方正书宋_GBK" w:eastAsia="方正书宋_GBK"/>
              </w:rPr>
              <w:t>80%</w:t>
            </w:r>
            <w:r>
              <w:rPr>
                <w:rFonts w:hint="eastAsia" w:ascii="方正书宋_GBK" w:eastAsia="方正书宋_GBK"/>
              </w:rPr>
              <w:t>以上</w:t>
            </w:r>
          </w:p>
        </w:tc>
        <w:tc>
          <w:tcPr>
            <w:tcW w:w="737" w:type="dxa"/>
            <w:vAlign w:val="center"/>
          </w:tcPr>
          <w:p>
            <w:pPr>
              <w:spacing w:line="570" w:lineRule="exact"/>
              <w:jc w:val="center"/>
              <w:rPr>
                <w:rFonts w:ascii="方正书宋_GBK" w:eastAsia="方正书宋_GBK"/>
              </w:rPr>
            </w:pPr>
            <w:r>
              <w:rPr>
                <w:rFonts w:ascii="方正书宋_GBK" w:eastAsia="方正书宋_GBK"/>
              </w:rPr>
              <w:t>70%</w:t>
            </w:r>
            <w:r>
              <w:rPr>
                <w:rFonts w:hint="eastAsia" w:ascii="方正书宋_GBK" w:eastAsia="方正书宋_GBK"/>
              </w:rPr>
              <w:t>以上</w:t>
            </w:r>
          </w:p>
        </w:tc>
        <w:tc>
          <w:tcPr>
            <w:tcW w:w="737" w:type="dxa"/>
            <w:vAlign w:val="center"/>
          </w:tcPr>
          <w:p>
            <w:pPr>
              <w:spacing w:line="57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ascii="方正书宋_GBK" w:eastAsia="方正书宋_GBK"/>
              </w:rPr>
            </w:pPr>
            <w:r>
              <w:rPr>
                <w:rFonts w:hint="eastAsia" w:ascii="方正书宋_GBK" w:eastAsia="方正书宋_GBK"/>
              </w:rPr>
              <w:t>综合业务工作完成率</w:t>
            </w:r>
          </w:p>
        </w:tc>
        <w:tc>
          <w:tcPr>
            <w:tcW w:w="737" w:type="dxa"/>
            <w:vAlign w:val="center"/>
          </w:tcPr>
          <w:p>
            <w:pPr>
              <w:spacing w:line="57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570" w:lineRule="exact"/>
              <w:jc w:val="center"/>
              <w:rPr>
                <w:rFonts w:ascii="方正书宋_GBK" w:eastAsia="方正书宋_GBK"/>
              </w:rPr>
            </w:pPr>
            <w:r>
              <w:rPr>
                <w:rFonts w:ascii="方正书宋_GBK" w:eastAsia="方正书宋_GBK"/>
              </w:rPr>
              <w:t>80%</w:t>
            </w:r>
            <w:r>
              <w:rPr>
                <w:rFonts w:hint="eastAsia" w:ascii="方正书宋_GBK" w:eastAsia="方正书宋_GBK"/>
              </w:rPr>
              <w:t>以上</w:t>
            </w:r>
          </w:p>
        </w:tc>
        <w:tc>
          <w:tcPr>
            <w:tcW w:w="737" w:type="dxa"/>
            <w:vAlign w:val="center"/>
          </w:tcPr>
          <w:p>
            <w:pPr>
              <w:spacing w:line="570" w:lineRule="exact"/>
              <w:jc w:val="center"/>
              <w:rPr>
                <w:rFonts w:ascii="方正书宋_GBK" w:eastAsia="方正书宋_GBK"/>
              </w:rPr>
            </w:pPr>
            <w:r>
              <w:rPr>
                <w:rFonts w:ascii="方正书宋_GBK" w:eastAsia="方正书宋_GBK"/>
              </w:rPr>
              <w:t>70%</w:t>
            </w:r>
            <w:r>
              <w:rPr>
                <w:rFonts w:hint="eastAsia" w:ascii="方正书宋_GBK" w:eastAsia="方正书宋_GBK"/>
              </w:rPr>
              <w:t>以上</w:t>
            </w:r>
          </w:p>
        </w:tc>
        <w:tc>
          <w:tcPr>
            <w:tcW w:w="737" w:type="dxa"/>
            <w:vAlign w:val="center"/>
          </w:tcPr>
          <w:p>
            <w:pPr>
              <w:spacing w:line="57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ascii="方正书宋_GBK" w:eastAsia="方正书宋_GBK"/>
              </w:rPr>
            </w:pPr>
            <w:r>
              <w:rPr>
                <w:rFonts w:hint="eastAsia" w:ascii="方正书宋_GBK" w:eastAsia="方正书宋_GBK"/>
              </w:rPr>
              <w:t>日常后勤事务工作完成率</w:t>
            </w:r>
          </w:p>
        </w:tc>
        <w:tc>
          <w:tcPr>
            <w:tcW w:w="737" w:type="dxa"/>
            <w:vAlign w:val="center"/>
          </w:tcPr>
          <w:p>
            <w:pPr>
              <w:spacing w:line="57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570" w:lineRule="exact"/>
              <w:jc w:val="center"/>
              <w:rPr>
                <w:rFonts w:ascii="方正书宋_GBK" w:eastAsia="方正书宋_GBK"/>
              </w:rPr>
            </w:pPr>
            <w:r>
              <w:rPr>
                <w:rFonts w:ascii="方正书宋_GBK" w:eastAsia="方正书宋_GBK"/>
              </w:rPr>
              <w:t>80%</w:t>
            </w:r>
            <w:r>
              <w:rPr>
                <w:rFonts w:hint="eastAsia" w:ascii="方正书宋_GBK" w:eastAsia="方正书宋_GBK"/>
              </w:rPr>
              <w:t>以上</w:t>
            </w:r>
          </w:p>
        </w:tc>
        <w:tc>
          <w:tcPr>
            <w:tcW w:w="737" w:type="dxa"/>
            <w:vAlign w:val="center"/>
          </w:tcPr>
          <w:p>
            <w:pPr>
              <w:spacing w:line="570" w:lineRule="exact"/>
              <w:jc w:val="center"/>
              <w:rPr>
                <w:rFonts w:ascii="方正书宋_GBK" w:eastAsia="方正书宋_GBK"/>
              </w:rPr>
            </w:pPr>
            <w:r>
              <w:rPr>
                <w:rFonts w:ascii="方正书宋_GBK" w:eastAsia="方正书宋_GBK"/>
              </w:rPr>
              <w:t>70%</w:t>
            </w:r>
            <w:r>
              <w:rPr>
                <w:rFonts w:hint="eastAsia" w:ascii="方正书宋_GBK" w:eastAsia="方正书宋_GBK"/>
              </w:rPr>
              <w:t>以上</w:t>
            </w:r>
          </w:p>
        </w:tc>
        <w:tc>
          <w:tcPr>
            <w:tcW w:w="737" w:type="dxa"/>
            <w:vAlign w:val="center"/>
          </w:tcPr>
          <w:p>
            <w:pPr>
              <w:spacing w:line="57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bl>
    <w:p>
      <w:pPr>
        <w:spacing w:line="570" w:lineRule="exact"/>
        <w:jc w:val="left"/>
        <w:outlineLvl w:val="0"/>
        <w:sectPr>
          <w:pgSz w:w="16839" w:h="11907" w:orient="landscape"/>
          <w:pgMar w:top="1020" w:right="1361" w:bottom="1020" w:left="1361" w:header="851" w:footer="992" w:gutter="0"/>
          <w:cols w:space="720" w:num="1"/>
          <w:docGrid w:type="lines" w:linePitch="312" w:charSpace="0"/>
        </w:sectPr>
      </w:pPr>
    </w:p>
    <w:p>
      <w:pPr>
        <w:widowControl/>
        <w:spacing w:line="570" w:lineRule="exact"/>
        <w:jc w:val="left"/>
        <w:rPr>
          <w:rFonts w:ascii="宋体" w:hAnsi="宋体" w:eastAsia="仿宋_GB2312" w:cs="宋体"/>
          <w:color w:val="000000"/>
          <w:kern w:val="0"/>
          <w:sz w:val="32"/>
          <w:szCs w:val="32"/>
        </w:rPr>
      </w:pPr>
      <w:r>
        <w:rPr>
          <w:rFonts w:ascii="宋体" w:hAnsi="宋体" w:eastAsia="仿宋_GB2312" w:cs="宋体"/>
          <w:color w:val="000000"/>
          <w:kern w:val="0"/>
          <w:sz w:val="32"/>
          <w:szCs w:val="32"/>
        </w:rPr>
        <w:t> </w:t>
      </w:r>
    </w:p>
    <w:p>
      <w:pPr>
        <w:spacing w:line="570" w:lineRule="exact"/>
        <w:outlineLvl w:val="0"/>
        <w:rPr>
          <w:rFonts w:ascii="仿宋_GB2312" w:eastAsia="仿宋_GB2312" w:cs="宋体"/>
          <w:color w:val="000000"/>
          <w:kern w:val="0"/>
          <w:sz w:val="32"/>
          <w:szCs w:val="32"/>
        </w:rPr>
      </w:pPr>
      <w:r>
        <w:rPr>
          <w:rFonts w:hint="eastAsia" w:ascii="黑体" w:eastAsia="黑体" w:cs="宋体"/>
          <w:b/>
          <w:bCs/>
          <w:color w:val="000000"/>
          <w:kern w:val="0"/>
          <w:sz w:val="32"/>
          <w:szCs w:val="32"/>
        </w:rPr>
        <w:t>六、政府采购预算情况</w:t>
      </w:r>
      <w:r>
        <w:rPr>
          <w:rFonts w:ascii="黑体" w:eastAsia="黑体" w:cs="宋体"/>
          <w:color w:val="000000"/>
          <w:kern w:val="0"/>
          <w:sz w:val="32"/>
          <w:szCs w:val="32"/>
        </w:rPr>
        <w:br w:type="textWrapping"/>
      </w:r>
      <w:r>
        <w:rPr>
          <w:rFonts w:ascii="宋体" w:hAnsi="宋体" w:eastAsia="仿宋_GB2312" w:cs="宋体"/>
          <w:color w:val="000000"/>
          <w:kern w:val="0"/>
          <w:sz w:val="32"/>
          <w:szCs w:val="32"/>
        </w:rPr>
        <w:t xml:space="preserve">   </w:t>
      </w:r>
      <w:r>
        <w:rPr>
          <w:rFonts w:ascii="仿宋_GB2312" w:eastAsia="仿宋_GB2312" w:cs="宋体"/>
          <w:color w:val="000000"/>
          <w:kern w:val="0"/>
          <w:sz w:val="32"/>
          <w:szCs w:val="32"/>
        </w:rPr>
        <w:t>2018</w:t>
      </w:r>
      <w:r>
        <w:rPr>
          <w:rFonts w:hint="eastAsia" w:ascii="仿宋_GB2312" w:eastAsia="仿宋_GB2312" w:cs="宋体"/>
          <w:color w:val="000000"/>
          <w:kern w:val="0"/>
          <w:sz w:val="32"/>
          <w:szCs w:val="32"/>
        </w:rPr>
        <w:t>年，我部门无安排政府采购预算。</w:t>
      </w:r>
    </w:p>
    <w:p>
      <w:pPr>
        <w:spacing w:line="570" w:lineRule="exact"/>
        <w:jc w:val="center"/>
        <w:outlineLvl w:val="0"/>
        <w:rPr>
          <w:rFonts w:ascii="仿宋_GB2312" w:eastAsia="仿宋_GB2312" w:cs="Times New Roman"/>
          <w:sz w:val="28"/>
          <w:szCs w:val="28"/>
        </w:rPr>
      </w:pPr>
      <w:r>
        <w:rPr>
          <w:rFonts w:hint="eastAsia" w:ascii="仿宋_GB2312" w:eastAsia="仿宋_GB2312" w:cs="Times New Roman"/>
          <w:sz w:val="28"/>
          <w:szCs w:val="28"/>
        </w:rPr>
        <w:t>部门政府采购预算</w:t>
      </w:r>
    </w:p>
    <w:tbl>
      <w:tblPr>
        <w:tblStyle w:val="4"/>
        <w:tblW w:w="137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1"/>
        <w:gridCol w:w="1013"/>
        <w:gridCol w:w="834"/>
        <w:gridCol w:w="1327"/>
        <w:gridCol w:w="834"/>
        <w:gridCol w:w="834"/>
        <w:gridCol w:w="856"/>
        <w:gridCol w:w="853"/>
        <w:gridCol w:w="853"/>
        <w:gridCol w:w="853"/>
        <w:gridCol w:w="776"/>
        <w:gridCol w:w="837"/>
        <w:gridCol w:w="837"/>
        <w:gridCol w:w="7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969" w:type="dxa"/>
            <w:gridSpan w:val="7"/>
            <w:tcBorders>
              <w:top w:val="single" w:color="FFFFFF" w:sz="6" w:space="0"/>
              <w:left w:val="single" w:color="FFFFFF" w:sz="6" w:space="0"/>
              <w:right w:val="single" w:color="FFFFFF" w:sz="6" w:space="0"/>
            </w:tcBorders>
            <w:vAlign w:val="center"/>
          </w:tcPr>
          <w:p>
            <w:pPr>
              <w:spacing w:line="570" w:lineRule="exact"/>
              <w:jc w:val="left"/>
              <w:rPr>
                <w:rFonts w:ascii="仿宋_GB2312" w:eastAsia="仿宋_GB2312" w:cs="Times New Roman"/>
                <w:sz w:val="28"/>
                <w:szCs w:val="28"/>
              </w:rPr>
            </w:pPr>
            <w:r>
              <w:rPr>
                <w:rFonts w:hint="eastAsia" w:ascii="仿宋_GB2312" w:eastAsia="仿宋_GB2312" w:cs="Times New Roman"/>
                <w:sz w:val="28"/>
                <w:szCs w:val="28"/>
                <w:lang w:val="en-US" w:eastAsia="zh-CN"/>
              </w:rPr>
              <w:t>243</w:t>
            </w:r>
            <w:r>
              <w:rPr>
                <w:rFonts w:hint="eastAsia" w:ascii="仿宋_GB2312" w:eastAsia="仿宋_GB2312" w:cs="Times New Roman"/>
                <w:sz w:val="28"/>
                <w:szCs w:val="28"/>
              </w:rPr>
              <w:t>廊坊市广阳区质量技术监督局</w:t>
            </w:r>
          </w:p>
        </w:tc>
        <w:tc>
          <w:tcPr>
            <w:tcW w:w="5796" w:type="dxa"/>
            <w:gridSpan w:val="7"/>
            <w:tcBorders>
              <w:top w:val="single" w:color="FFFFFF" w:sz="6" w:space="0"/>
              <w:left w:val="single" w:color="FFFFFF" w:sz="6" w:space="0"/>
              <w:right w:val="single" w:color="FFFFFF" w:sz="6" w:space="0"/>
            </w:tcBorders>
            <w:vAlign w:val="center"/>
          </w:tcPr>
          <w:p>
            <w:pPr>
              <w:spacing w:line="570" w:lineRule="exact"/>
              <w:jc w:val="right"/>
              <w:rPr>
                <w:rFonts w:ascii="仿宋_GB2312" w:eastAsia="仿宋_GB2312" w:cs="Times New Roman"/>
                <w:sz w:val="28"/>
                <w:szCs w:val="28"/>
              </w:rPr>
            </w:pPr>
            <w:r>
              <w:rPr>
                <w:rFonts w:hint="eastAsia" w:ascii="仿宋_GB2312" w:eastAsia="仿宋_GB2312" w:cs="Times New Roman"/>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284" w:type="dxa"/>
            <w:gridSpan w:val="2"/>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政府采购项目来源</w:t>
            </w:r>
          </w:p>
        </w:tc>
        <w:tc>
          <w:tcPr>
            <w:tcW w:w="834" w:type="dxa"/>
            <w:vMerge w:val="restart"/>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采购物品名称</w:t>
            </w:r>
          </w:p>
        </w:tc>
        <w:tc>
          <w:tcPr>
            <w:tcW w:w="1327" w:type="dxa"/>
            <w:vMerge w:val="restart"/>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政府采购目录序号</w:t>
            </w:r>
          </w:p>
        </w:tc>
        <w:tc>
          <w:tcPr>
            <w:tcW w:w="834" w:type="dxa"/>
            <w:vMerge w:val="restart"/>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数量</w:t>
            </w:r>
            <w:r>
              <w:rPr>
                <w:rFonts w:ascii="仿宋_GB2312" w:eastAsia="仿宋_GB2312" w:cs="Times New Roman"/>
                <w:b/>
                <w:sz w:val="28"/>
                <w:szCs w:val="28"/>
              </w:rPr>
              <w:t xml:space="preserve">  </w:t>
            </w:r>
            <w:r>
              <w:rPr>
                <w:rFonts w:hint="eastAsia" w:ascii="仿宋_GB2312" w:eastAsia="仿宋_GB2312" w:cs="Times New Roman"/>
                <w:b/>
                <w:sz w:val="28"/>
                <w:szCs w:val="28"/>
              </w:rPr>
              <w:t>单位</w:t>
            </w:r>
          </w:p>
        </w:tc>
        <w:tc>
          <w:tcPr>
            <w:tcW w:w="834" w:type="dxa"/>
            <w:vMerge w:val="restart"/>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数量</w:t>
            </w:r>
          </w:p>
        </w:tc>
        <w:tc>
          <w:tcPr>
            <w:tcW w:w="856" w:type="dxa"/>
            <w:vMerge w:val="restart"/>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单价</w:t>
            </w:r>
          </w:p>
        </w:tc>
        <w:tc>
          <w:tcPr>
            <w:tcW w:w="5796" w:type="dxa"/>
            <w:gridSpan w:val="7"/>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71" w:type="dxa"/>
            <w:vMerge w:val="restart"/>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项目名称</w:t>
            </w:r>
          </w:p>
        </w:tc>
        <w:tc>
          <w:tcPr>
            <w:tcW w:w="1013" w:type="dxa"/>
            <w:vMerge w:val="restart"/>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预算资金</w:t>
            </w:r>
          </w:p>
        </w:tc>
        <w:tc>
          <w:tcPr>
            <w:tcW w:w="834" w:type="dxa"/>
            <w:vMerge w:val="continue"/>
            <w:vAlign w:val="center"/>
          </w:tcPr>
          <w:p/>
        </w:tc>
        <w:tc>
          <w:tcPr>
            <w:tcW w:w="1327" w:type="dxa"/>
            <w:vMerge w:val="continue"/>
            <w:vAlign w:val="center"/>
          </w:tcPr>
          <w:p/>
        </w:tc>
        <w:tc>
          <w:tcPr>
            <w:tcW w:w="834" w:type="dxa"/>
            <w:vMerge w:val="continue"/>
            <w:vAlign w:val="center"/>
          </w:tcPr>
          <w:p/>
        </w:tc>
        <w:tc>
          <w:tcPr>
            <w:tcW w:w="834" w:type="dxa"/>
            <w:vMerge w:val="continue"/>
            <w:vAlign w:val="center"/>
          </w:tcPr>
          <w:p/>
        </w:tc>
        <w:tc>
          <w:tcPr>
            <w:tcW w:w="856" w:type="dxa"/>
            <w:vMerge w:val="continue"/>
            <w:vAlign w:val="center"/>
          </w:tcPr>
          <w:p/>
        </w:tc>
        <w:tc>
          <w:tcPr>
            <w:tcW w:w="853" w:type="dxa"/>
            <w:vMerge w:val="restart"/>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总计</w:t>
            </w:r>
          </w:p>
        </w:tc>
        <w:tc>
          <w:tcPr>
            <w:tcW w:w="4156" w:type="dxa"/>
            <w:gridSpan w:val="5"/>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当年部门预算安排资金</w:t>
            </w:r>
          </w:p>
        </w:tc>
        <w:tc>
          <w:tcPr>
            <w:tcW w:w="787" w:type="dxa"/>
            <w:vMerge w:val="restart"/>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271" w:type="dxa"/>
            <w:vMerge w:val="continue"/>
            <w:vAlign w:val="center"/>
          </w:tcPr>
          <w:p/>
        </w:tc>
        <w:tc>
          <w:tcPr>
            <w:tcW w:w="1013" w:type="dxa"/>
            <w:vMerge w:val="continue"/>
            <w:vAlign w:val="center"/>
          </w:tcPr>
          <w:p/>
        </w:tc>
        <w:tc>
          <w:tcPr>
            <w:tcW w:w="834" w:type="dxa"/>
            <w:vMerge w:val="continue"/>
            <w:vAlign w:val="center"/>
          </w:tcPr>
          <w:p/>
        </w:tc>
        <w:tc>
          <w:tcPr>
            <w:tcW w:w="1327" w:type="dxa"/>
            <w:vMerge w:val="continue"/>
            <w:vAlign w:val="center"/>
          </w:tcPr>
          <w:p/>
        </w:tc>
        <w:tc>
          <w:tcPr>
            <w:tcW w:w="834" w:type="dxa"/>
            <w:vMerge w:val="continue"/>
            <w:vAlign w:val="center"/>
          </w:tcPr>
          <w:p/>
        </w:tc>
        <w:tc>
          <w:tcPr>
            <w:tcW w:w="834" w:type="dxa"/>
            <w:vMerge w:val="continue"/>
            <w:vAlign w:val="center"/>
          </w:tcPr>
          <w:p/>
        </w:tc>
        <w:tc>
          <w:tcPr>
            <w:tcW w:w="856" w:type="dxa"/>
            <w:vMerge w:val="continue"/>
            <w:vAlign w:val="center"/>
          </w:tcPr>
          <w:p/>
        </w:tc>
        <w:tc>
          <w:tcPr>
            <w:tcW w:w="853" w:type="dxa"/>
            <w:vMerge w:val="continue"/>
            <w:vAlign w:val="center"/>
          </w:tcPr>
          <w:p/>
        </w:tc>
        <w:tc>
          <w:tcPr>
            <w:tcW w:w="853" w:type="dxa"/>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合计</w:t>
            </w:r>
          </w:p>
        </w:tc>
        <w:tc>
          <w:tcPr>
            <w:tcW w:w="853" w:type="dxa"/>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一般公共预算拨款</w:t>
            </w:r>
          </w:p>
        </w:tc>
        <w:tc>
          <w:tcPr>
            <w:tcW w:w="776" w:type="dxa"/>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基金预算拨款</w:t>
            </w:r>
          </w:p>
        </w:tc>
        <w:tc>
          <w:tcPr>
            <w:tcW w:w="837" w:type="dxa"/>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财政专户核拨</w:t>
            </w:r>
          </w:p>
        </w:tc>
        <w:tc>
          <w:tcPr>
            <w:tcW w:w="837" w:type="dxa"/>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其他来源收入</w:t>
            </w:r>
          </w:p>
        </w:tc>
        <w:tc>
          <w:tcPr>
            <w:tcW w:w="787" w:type="dxa"/>
            <w:vMerge w:val="continue"/>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1" w:type="dxa"/>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合　计</w:t>
            </w:r>
          </w:p>
        </w:tc>
        <w:tc>
          <w:tcPr>
            <w:tcW w:w="1013" w:type="dxa"/>
            <w:vAlign w:val="center"/>
          </w:tcPr>
          <w:p>
            <w:pPr>
              <w:spacing w:line="570" w:lineRule="exact"/>
              <w:jc w:val="center"/>
              <w:rPr>
                <w:rFonts w:ascii="仿宋_GB2312" w:eastAsia="仿宋_GB2312" w:cs="Times New Roman"/>
                <w:b/>
                <w:sz w:val="28"/>
                <w:szCs w:val="28"/>
              </w:rPr>
            </w:pPr>
          </w:p>
        </w:tc>
        <w:tc>
          <w:tcPr>
            <w:tcW w:w="834" w:type="dxa"/>
            <w:vAlign w:val="center"/>
          </w:tcPr>
          <w:p>
            <w:pPr>
              <w:spacing w:line="570" w:lineRule="exact"/>
              <w:jc w:val="center"/>
              <w:rPr>
                <w:rFonts w:ascii="仿宋_GB2312" w:eastAsia="仿宋_GB2312" w:cs="Times New Roman"/>
                <w:b/>
                <w:sz w:val="28"/>
                <w:szCs w:val="28"/>
              </w:rPr>
            </w:pPr>
          </w:p>
        </w:tc>
        <w:tc>
          <w:tcPr>
            <w:tcW w:w="1327" w:type="dxa"/>
            <w:vAlign w:val="center"/>
          </w:tcPr>
          <w:p>
            <w:pPr>
              <w:spacing w:line="570" w:lineRule="exact"/>
              <w:jc w:val="center"/>
              <w:rPr>
                <w:rFonts w:ascii="仿宋_GB2312" w:eastAsia="仿宋_GB2312" w:cs="Times New Roman"/>
                <w:b/>
                <w:sz w:val="28"/>
                <w:szCs w:val="28"/>
              </w:rPr>
            </w:pPr>
          </w:p>
        </w:tc>
        <w:tc>
          <w:tcPr>
            <w:tcW w:w="834" w:type="dxa"/>
            <w:vAlign w:val="center"/>
          </w:tcPr>
          <w:p>
            <w:pPr>
              <w:spacing w:line="570" w:lineRule="exact"/>
              <w:jc w:val="center"/>
              <w:rPr>
                <w:rFonts w:ascii="仿宋_GB2312" w:eastAsia="仿宋_GB2312" w:cs="Times New Roman"/>
                <w:b/>
                <w:sz w:val="28"/>
                <w:szCs w:val="28"/>
              </w:rPr>
            </w:pPr>
          </w:p>
        </w:tc>
        <w:tc>
          <w:tcPr>
            <w:tcW w:w="834" w:type="dxa"/>
            <w:vAlign w:val="center"/>
          </w:tcPr>
          <w:p>
            <w:pPr>
              <w:spacing w:line="570" w:lineRule="exact"/>
              <w:jc w:val="center"/>
              <w:rPr>
                <w:rFonts w:ascii="仿宋_GB2312" w:eastAsia="仿宋_GB2312" w:cs="Times New Roman"/>
                <w:b/>
                <w:sz w:val="28"/>
                <w:szCs w:val="28"/>
              </w:rPr>
            </w:pPr>
          </w:p>
        </w:tc>
        <w:tc>
          <w:tcPr>
            <w:tcW w:w="856" w:type="dxa"/>
            <w:vAlign w:val="center"/>
          </w:tcPr>
          <w:p>
            <w:pPr>
              <w:spacing w:line="570" w:lineRule="exact"/>
              <w:jc w:val="center"/>
              <w:rPr>
                <w:rFonts w:ascii="仿宋_GB2312" w:eastAsia="仿宋_GB2312" w:cs="Times New Roman"/>
                <w:b/>
                <w:sz w:val="28"/>
                <w:szCs w:val="28"/>
              </w:rPr>
            </w:pPr>
          </w:p>
        </w:tc>
        <w:tc>
          <w:tcPr>
            <w:tcW w:w="853" w:type="dxa"/>
            <w:vAlign w:val="center"/>
          </w:tcPr>
          <w:p>
            <w:pPr>
              <w:spacing w:line="570" w:lineRule="exact"/>
              <w:jc w:val="center"/>
              <w:rPr>
                <w:rFonts w:ascii="仿宋_GB2312" w:eastAsia="仿宋_GB2312" w:cs="Times New Roman"/>
                <w:b/>
                <w:sz w:val="28"/>
                <w:szCs w:val="28"/>
              </w:rPr>
            </w:pPr>
          </w:p>
        </w:tc>
        <w:tc>
          <w:tcPr>
            <w:tcW w:w="853" w:type="dxa"/>
            <w:vAlign w:val="center"/>
          </w:tcPr>
          <w:p>
            <w:pPr>
              <w:spacing w:line="570" w:lineRule="exact"/>
              <w:jc w:val="center"/>
              <w:rPr>
                <w:rFonts w:ascii="仿宋_GB2312" w:eastAsia="仿宋_GB2312" w:cs="Times New Roman"/>
                <w:b/>
                <w:sz w:val="28"/>
                <w:szCs w:val="28"/>
              </w:rPr>
            </w:pPr>
          </w:p>
        </w:tc>
        <w:tc>
          <w:tcPr>
            <w:tcW w:w="853" w:type="dxa"/>
            <w:vAlign w:val="center"/>
          </w:tcPr>
          <w:p>
            <w:pPr>
              <w:spacing w:line="570" w:lineRule="exact"/>
              <w:jc w:val="center"/>
              <w:rPr>
                <w:rFonts w:ascii="仿宋_GB2312" w:eastAsia="仿宋_GB2312" w:cs="Times New Roman"/>
                <w:b/>
                <w:sz w:val="28"/>
                <w:szCs w:val="28"/>
              </w:rPr>
            </w:pPr>
          </w:p>
        </w:tc>
        <w:tc>
          <w:tcPr>
            <w:tcW w:w="776" w:type="dxa"/>
            <w:vAlign w:val="center"/>
          </w:tcPr>
          <w:p>
            <w:pPr>
              <w:spacing w:line="570" w:lineRule="exact"/>
              <w:jc w:val="center"/>
              <w:rPr>
                <w:rFonts w:ascii="仿宋_GB2312" w:eastAsia="仿宋_GB2312" w:cs="Times New Roman"/>
                <w:b/>
                <w:sz w:val="28"/>
                <w:szCs w:val="28"/>
              </w:rPr>
            </w:pPr>
          </w:p>
        </w:tc>
        <w:tc>
          <w:tcPr>
            <w:tcW w:w="837" w:type="dxa"/>
            <w:vAlign w:val="center"/>
          </w:tcPr>
          <w:p>
            <w:pPr>
              <w:spacing w:line="570" w:lineRule="exact"/>
              <w:jc w:val="center"/>
              <w:rPr>
                <w:rFonts w:ascii="仿宋_GB2312" w:eastAsia="仿宋_GB2312" w:cs="Times New Roman"/>
                <w:b/>
                <w:sz w:val="28"/>
                <w:szCs w:val="28"/>
              </w:rPr>
            </w:pPr>
          </w:p>
        </w:tc>
        <w:tc>
          <w:tcPr>
            <w:tcW w:w="837" w:type="dxa"/>
            <w:vAlign w:val="center"/>
          </w:tcPr>
          <w:p>
            <w:pPr>
              <w:spacing w:line="570" w:lineRule="exact"/>
              <w:jc w:val="center"/>
              <w:rPr>
                <w:rFonts w:ascii="仿宋_GB2312" w:eastAsia="仿宋_GB2312" w:cs="Times New Roman"/>
                <w:b/>
                <w:sz w:val="28"/>
                <w:szCs w:val="28"/>
              </w:rPr>
            </w:pPr>
          </w:p>
        </w:tc>
        <w:tc>
          <w:tcPr>
            <w:tcW w:w="787" w:type="dxa"/>
            <w:vAlign w:val="center"/>
          </w:tcPr>
          <w:p>
            <w:pPr>
              <w:spacing w:line="57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1" w:type="dxa"/>
            <w:vAlign w:val="center"/>
          </w:tcPr>
          <w:p>
            <w:pPr>
              <w:spacing w:line="570" w:lineRule="exact"/>
              <w:jc w:val="center"/>
              <w:rPr>
                <w:rFonts w:ascii="仿宋_GB2312" w:eastAsia="仿宋_GB2312" w:cs="Times New Roman"/>
                <w:b/>
                <w:sz w:val="28"/>
                <w:szCs w:val="28"/>
              </w:rPr>
            </w:pPr>
          </w:p>
        </w:tc>
        <w:tc>
          <w:tcPr>
            <w:tcW w:w="1013" w:type="dxa"/>
            <w:vAlign w:val="center"/>
          </w:tcPr>
          <w:p>
            <w:pPr>
              <w:spacing w:line="570" w:lineRule="exact"/>
              <w:jc w:val="center"/>
              <w:rPr>
                <w:rFonts w:ascii="仿宋_GB2312" w:eastAsia="仿宋_GB2312" w:cs="Times New Roman"/>
                <w:b/>
                <w:sz w:val="28"/>
                <w:szCs w:val="28"/>
              </w:rPr>
            </w:pPr>
          </w:p>
        </w:tc>
        <w:tc>
          <w:tcPr>
            <w:tcW w:w="834" w:type="dxa"/>
            <w:vAlign w:val="center"/>
          </w:tcPr>
          <w:p>
            <w:pPr>
              <w:spacing w:line="570" w:lineRule="exact"/>
              <w:jc w:val="center"/>
              <w:rPr>
                <w:rFonts w:ascii="仿宋_GB2312" w:eastAsia="仿宋_GB2312" w:cs="Times New Roman"/>
                <w:b/>
                <w:sz w:val="28"/>
                <w:szCs w:val="28"/>
              </w:rPr>
            </w:pPr>
          </w:p>
        </w:tc>
        <w:tc>
          <w:tcPr>
            <w:tcW w:w="1327" w:type="dxa"/>
            <w:vAlign w:val="center"/>
          </w:tcPr>
          <w:p>
            <w:pPr>
              <w:spacing w:line="570" w:lineRule="exact"/>
              <w:jc w:val="center"/>
              <w:rPr>
                <w:rFonts w:ascii="仿宋_GB2312" w:eastAsia="仿宋_GB2312" w:cs="Times New Roman"/>
                <w:b/>
                <w:sz w:val="28"/>
                <w:szCs w:val="28"/>
              </w:rPr>
            </w:pPr>
          </w:p>
        </w:tc>
        <w:tc>
          <w:tcPr>
            <w:tcW w:w="834" w:type="dxa"/>
            <w:vAlign w:val="center"/>
          </w:tcPr>
          <w:p>
            <w:pPr>
              <w:spacing w:line="570" w:lineRule="exact"/>
              <w:jc w:val="center"/>
              <w:rPr>
                <w:rFonts w:ascii="仿宋_GB2312" w:eastAsia="仿宋_GB2312" w:cs="Times New Roman"/>
                <w:b/>
                <w:sz w:val="28"/>
                <w:szCs w:val="28"/>
              </w:rPr>
            </w:pPr>
          </w:p>
        </w:tc>
        <w:tc>
          <w:tcPr>
            <w:tcW w:w="834" w:type="dxa"/>
            <w:vAlign w:val="center"/>
          </w:tcPr>
          <w:p>
            <w:pPr>
              <w:spacing w:line="570" w:lineRule="exact"/>
              <w:jc w:val="center"/>
              <w:rPr>
                <w:rFonts w:ascii="仿宋_GB2312" w:eastAsia="仿宋_GB2312" w:cs="Times New Roman"/>
                <w:b/>
                <w:sz w:val="28"/>
                <w:szCs w:val="28"/>
              </w:rPr>
            </w:pPr>
          </w:p>
        </w:tc>
        <w:tc>
          <w:tcPr>
            <w:tcW w:w="856" w:type="dxa"/>
            <w:vAlign w:val="center"/>
          </w:tcPr>
          <w:p>
            <w:pPr>
              <w:spacing w:line="570" w:lineRule="exact"/>
              <w:jc w:val="center"/>
              <w:rPr>
                <w:rFonts w:ascii="仿宋_GB2312" w:eastAsia="仿宋_GB2312" w:cs="Times New Roman"/>
                <w:b/>
                <w:sz w:val="28"/>
                <w:szCs w:val="28"/>
              </w:rPr>
            </w:pPr>
          </w:p>
        </w:tc>
        <w:tc>
          <w:tcPr>
            <w:tcW w:w="853" w:type="dxa"/>
            <w:vAlign w:val="center"/>
          </w:tcPr>
          <w:p>
            <w:pPr>
              <w:spacing w:line="570" w:lineRule="exact"/>
              <w:jc w:val="center"/>
              <w:rPr>
                <w:rFonts w:ascii="仿宋_GB2312" w:eastAsia="仿宋_GB2312" w:cs="Times New Roman"/>
                <w:b/>
                <w:sz w:val="28"/>
                <w:szCs w:val="28"/>
              </w:rPr>
            </w:pPr>
          </w:p>
        </w:tc>
        <w:tc>
          <w:tcPr>
            <w:tcW w:w="853" w:type="dxa"/>
            <w:vAlign w:val="center"/>
          </w:tcPr>
          <w:p>
            <w:pPr>
              <w:spacing w:line="570" w:lineRule="exact"/>
              <w:jc w:val="center"/>
              <w:rPr>
                <w:rFonts w:ascii="仿宋_GB2312" w:eastAsia="仿宋_GB2312" w:cs="Times New Roman"/>
                <w:b/>
                <w:sz w:val="28"/>
                <w:szCs w:val="28"/>
              </w:rPr>
            </w:pPr>
          </w:p>
        </w:tc>
        <w:tc>
          <w:tcPr>
            <w:tcW w:w="853" w:type="dxa"/>
            <w:vAlign w:val="center"/>
          </w:tcPr>
          <w:p>
            <w:pPr>
              <w:spacing w:line="570" w:lineRule="exact"/>
              <w:jc w:val="center"/>
              <w:rPr>
                <w:rFonts w:ascii="仿宋_GB2312" w:eastAsia="仿宋_GB2312" w:cs="Times New Roman"/>
                <w:b/>
                <w:sz w:val="28"/>
                <w:szCs w:val="28"/>
              </w:rPr>
            </w:pPr>
          </w:p>
        </w:tc>
        <w:tc>
          <w:tcPr>
            <w:tcW w:w="776" w:type="dxa"/>
            <w:vAlign w:val="center"/>
          </w:tcPr>
          <w:p>
            <w:pPr>
              <w:spacing w:line="570" w:lineRule="exact"/>
              <w:jc w:val="center"/>
              <w:rPr>
                <w:rFonts w:ascii="仿宋_GB2312" w:eastAsia="仿宋_GB2312" w:cs="Times New Roman"/>
                <w:b/>
                <w:sz w:val="28"/>
                <w:szCs w:val="28"/>
              </w:rPr>
            </w:pPr>
          </w:p>
        </w:tc>
        <w:tc>
          <w:tcPr>
            <w:tcW w:w="837" w:type="dxa"/>
            <w:vAlign w:val="center"/>
          </w:tcPr>
          <w:p>
            <w:pPr>
              <w:spacing w:line="570" w:lineRule="exact"/>
              <w:jc w:val="center"/>
              <w:rPr>
                <w:rFonts w:ascii="仿宋_GB2312" w:eastAsia="仿宋_GB2312" w:cs="Times New Roman"/>
                <w:b/>
                <w:sz w:val="28"/>
                <w:szCs w:val="28"/>
              </w:rPr>
            </w:pPr>
          </w:p>
        </w:tc>
        <w:tc>
          <w:tcPr>
            <w:tcW w:w="837" w:type="dxa"/>
            <w:vAlign w:val="center"/>
          </w:tcPr>
          <w:p>
            <w:pPr>
              <w:spacing w:line="570" w:lineRule="exact"/>
              <w:jc w:val="center"/>
              <w:rPr>
                <w:rFonts w:ascii="仿宋_GB2312" w:eastAsia="仿宋_GB2312" w:cs="Times New Roman"/>
                <w:b/>
                <w:sz w:val="28"/>
                <w:szCs w:val="28"/>
              </w:rPr>
            </w:pPr>
          </w:p>
        </w:tc>
        <w:tc>
          <w:tcPr>
            <w:tcW w:w="787" w:type="dxa"/>
            <w:vAlign w:val="center"/>
          </w:tcPr>
          <w:p>
            <w:pPr>
              <w:spacing w:line="570" w:lineRule="exact"/>
              <w:jc w:val="center"/>
              <w:rPr>
                <w:rFonts w:ascii="仿宋_GB2312" w:eastAsia="仿宋_GB2312" w:cs="Times New Roman"/>
                <w:b/>
                <w:sz w:val="28"/>
                <w:szCs w:val="28"/>
              </w:rPr>
            </w:pPr>
          </w:p>
        </w:tc>
      </w:tr>
    </w:tbl>
    <w:p>
      <w:pPr>
        <w:spacing w:line="570" w:lineRule="exact"/>
        <w:outlineLvl w:val="0"/>
        <w:rPr>
          <w:rFonts w:ascii="仿宋_GB2312" w:eastAsia="仿宋_GB2312" w:cs="宋体"/>
          <w:color w:val="000000"/>
          <w:kern w:val="0"/>
          <w:sz w:val="32"/>
          <w:szCs w:val="32"/>
        </w:rPr>
      </w:pPr>
    </w:p>
    <w:p>
      <w:pPr>
        <w:widowControl/>
        <w:spacing w:line="570" w:lineRule="exact"/>
        <w:ind w:left="160" w:hanging="161" w:hangingChars="50"/>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七、国有资产信息</w:t>
      </w:r>
      <w:r>
        <w:rPr>
          <w:rFonts w:ascii="黑体" w:eastAsia="黑体" w:cs="宋体"/>
          <w:color w:val="000000"/>
          <w:kern w:val="0"/>
          <w:sz w:val="32"/>
          <w:szCs w:val="32"/>
        </w:rPr>
        <w:br w:type="textWrapping"/>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广阳区质量技术监督局</w:t>
      </w:r>
      <w:r>
        <w:rPr>
          <w:rFonts w:ascii="Times New Roman" w:hAnsi="Times New Roman" w:eastAsia="仿宋_GB2312" w:cs="Times New Roman"/>
          <w:sz w:val="32"/>
          <w:szCs w:val="32"/>
        </w:rPr>
        <w:t>（含所属单位）</w:t>
      </w:r>
      <w:r>
        <w:rPr>
          <w:rFonts w:hint="eastAsia" w:ascii="仿宋_GB2312" w:eastAsia="仿宋_GB2312" w:cs="宋体"/>
          <w:color w:val="000000"/>
          <w:kern w:val="0"/>
          <w:sz w:val="32"/>
          <w:szCs w:val="32"/>
        </w:rPr>
        <w:t>上年末固定资产金额为</w:t>
      </w:r>
      <w:r>
        <w:rPr>
          <w:rFonts w:ascii="仿宋_GB2312" w:eastAsia="仿宋_GB2312" w:cs="宋体"/>
          <w:color w:val="000000"/>
          <w:kern w:val="0"/>
          <w:sz w:val="32"/>
          <w:szCs w:val="32"/>
        </w:rPr>
        <w:t>113.72</w:t>
      </w:r>
      <w:r>
        <w:rPr>
          <w:rFonts w:hint="eastAsia" w:ascii="仿宋_GB2312" w:eastAsia="仿宋_GB2312" w:cs="宋体"/>
          <w:color w:val="000000"/>
          <w:kern w:val="0"/>
          <w:sz w:val="32"/>
          <w:szCs w:val="32"/>
        </w:rPr>
        <w:t>万元，我部门本年度无购置固定资产，详见下表。</w:t>
      </w:r>
    </w:p>
    <w:tbl>
      <w:tblPr>
        <w:tblStyle w:val="4"/>
        <w:tblW w:w="1034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05"/>
        <w:gridCol w:w="2565"/>
        <w:gridCol w:w="3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blCellSpacing w:w="0" w:type="dxa"/>
          <w:jc w:val="center"/>
        </w:trPr>
        <w:tc>
          <w:tcPr>
            <w:tcW w:w="10340" w:type="dxa"/>
            <w:gridSpan w:val="3"/>
            <w:vAlign w:val="center"/>
          </w:tcPr>
          <w:p>
            <w:pPr>
              <w:widowControl/>
              <w:spacing w:line="570" w:lineRule="exact"/>
              <w:jc w:val="center"/>
              <w:rPr>
                <w:rFonts w:ascii="仿宋_GB2312" w:eastAsia="仿宋_GB2312" w:cs="宋体"/>
                <w:kern w:val="0"/>
                <w:sz w:val="28"/>
                <w:szCs w:val="28"/>
              </w:rPr>
            </w:pPr>
            <w:r>
              <w:rPr>
                <w:rFonts w:ascii="宋体" w:hAnsi="宋体" w:eastAsia="仿宋_GB2312" w:cs="宋体"/>
                <w:kern w:val="0"/>
                <w:sz w:val="28"/>
                <w:szCs w:val="28"/>
              </w:rPr>
              <w:t> </w:t>
            </w:r>
            <w:r>
              <w:rPr>
                <w:rFonts w:hint="eastAsia" w:ascii="仿宋_GB2312" w:eastAsia="仿宋_GB2312" w:cs="宋体"/>
                <w:b/>
                <w:bCs/>
                <w:kern w:val="0"/>
                <w:sz w:val="28"/>
                <w:szCs w:val="28"/>
              </w:rPr>
              <w:t>廊坊市广阳区预算部门固定资产占用情况表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blCellSpacing w:w="0" w:type="dxa"/>
          <w:jc w:val="center"/>
        </w:trPr>
        <w:tc>
          <w:tcPr>
            <w:tcW w:w="6570" w:type="dxa"/>
            <w:gridSpan w:val="2"/>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编制部门：</w:t>
            </w:r>
            <w:r>
              <w:rPr>
                <w:rFonts w:hint="eastAsia" w:ascii="仿宋_GB2312" w:eastAsia="仿宋_GB2312" w:cs="宋体"/>
                <w:kern w:val="0"/>
                <w:sz w:val="28"/>
                <w:szCs w:val="28"/>
                <w:lang w:val="en-US" w:eastAsia="zh-CN"/>
              </w:rPr>
              <w:t>243</w:t>
            </w:r>
            <w:r>
              <w:rPr>
                <w:rFonts w:hint="eastAsia" w:ascii="仿宋_GB2312" w:eastAsia="仿宋_GB2312" w:cs="宋体"/>
                <w:b/>
                <w:bCs/>
                <w:kern w:val="0"/>
                <w:sz w:val="28"/>
                <w:szCs w:val="28"/>
              </w:rPr>
              <w:t>廊坊市广阳区质量技术监督局</w:t>
            </w:r>
          </w:p>
        </w:tc>
        <w:tc>
          <w:tcPr>
            <w:tcW w:w="3770" w:type="dxa"/>
            <w:vAlign w:val="center"/>
          </w:tcPr>
          <w:p>
            <w:pPr>
              <w:widowControl/>
              <w:spacing w:line="570" w:lineRule="exact"/>
              <w:jc w:val="center"/>
              <w:rPr>
                <w:rFonts w:ascii="宋体" w:hAnsi="宋体" w:eastAsia="仿宋_GB2312" w:cs="宋体"/>
                <w:kern w:val="0"/>
                <w:sz w:val="28"/>
                <w:szCs w:val="28"/>
              </w:rPr>
            </w:pPr>
            <w:r>
              <w:rPr>
                <w:rFonts w:hint="eastAsia" w:ascii="仿宋_GB2312" w:eastAsia="仿宋_GB2312" w:cs="宋体"/>
                <w:kern w:val="0"/>
                <w:sz w:val="28"/>
                <w:szCs w:val="28"/>
              </w:rPr>
              <w:t>截止时间：</w:t>
            </w:r>
            <w:r>
              <w:rPr>
                <w:rFonts w:ascii="仿宋_GB2312" w:eastAsia="仿宋_GB2312" w:cs="宋体"/>
                <w:kern w:val="0"/>
                <w:sz w:val="28"/>
                <w:szCs w:val="28"/>
              </w:rPr>
              <w:t>2017</w:t>
            </w:r>
            <w:r>
              <w:rPr>
                <w:rFonts w:hint="eastAsia" w:ascii="仿宋_GB2312" w:eastAsia="仿宋_GB2312" w:cs="宋体"/>
                <w:kern w:val="0"/>
                <w:sz w:val="28"/>
                <w:szCs w:val="28"/>
              </w:rPr>
              <w:t>年</w:t>
            </w:r>
            <w:r>
              <w:rPr>
                <w:rFonts w:ascii="仿宋_GB2312" w:eastAsia="仿宋_GB2312" w:cs="宋体"/>
                <w:kern w:val="0"/>
                <w:sz w:val="28"/>
                <w:szCs w:val="28"/>
              </w:rPr>
              <w:t>12</w:t>
            </w:r>
            <w:r>
              <w:rPr>
                <w:rFonts w:hint="eastAsia" w:ascii="仿宋_GB2312" w:eastAsia="仿宋_GB2312" w:cs="宋体"/>
                <w:kern w:val="0"/>
                <w:sz w:val="28"/>
                <w:szCs w:val="28"/>
              </w:rPr>
              <w:t>月</w:t>
            </w:r>
            <w:r>
              <w:rPr>
                <w:rFonts w:ascii="仿宋_GB2312" w:eastAsia="仿宋_GB2312" w:cs="宋体"/>
                <w:kern w:val="0"/>
                <w:sz w:val="28"/>
                <w:szCs w:val="28"/>
              </w:rPr>
              <w:t>31</w:t>
            </w:r>
            <w:r>
              <w:rPr>
                <w:rFonts w:hint="eastAsia" w:ascii="仿宋_GB2312" w:eastAsia="仿宋_GB2312" w:cs="宋体"/>
                <w:kern w:val="0"/>
                <w:sz w:val="28"/>
                <w:szCs w:val="28"/>
              </w:rPr>
              <w:t>日</w:t>
            </w:r>
            <w:r>
              <w:rPr>
                <w:rFonts w:ascii="宋体" w:hAnsi="宋体" w:eastAsia="仿宋_GB2312" w:cs="宋体"/>
                <w:kern w:val="0"/>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b/>
                <w:bCs/>
                <w:kern w:val="0"/>
                <w:sz w:val="28"/>
                <w:szCs w:val="28"/>
              </w:rPr>
              <w:t>项</w:t>
            </w:r>
            <w:r>
              <w:rPr>
                <w:rFonts w:ascii="宋体" w:hAnsi="宋体" w:eastAsia="仿宋_GB2312" w:cs="宋体"/>
                <w:b/>
                <w:bCs/>
                <w:kern w:val="0"/>
                <w:sz w:val="28"/>
                <w:szCs w:val="28"/>
              </w:rPr>
              <w:t xml:space="preserve">   </w:t>
            </w:r>
            <w:r>
              <w:rPr>
                <w:rFonts w:hint="eastAsia" w:ascii="仿宋_GB2312" w:eastAsia="仿宋_GB2312" w:cs="宋体"/>
                <w:b/>
                <w:bCs/>
                <w:kern w:val="0"/>
                <w:sz w:val="28"/>
                <w:szCs w:val="28"/>
              </w:rPr>
              <w:t>目</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b/>
                <w:bCs/>
                <w:kern w:val="0"/>
                <w:sz w:val="28"/>
                <w:szCs w:val="28"/>
              </w:rPr>
              <w:t>数量</w:t>
            </w: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b/>
                <w:bCs/>
                <w:kern w:val="0"/>
                <w:sz w:val="28"/>
                <w:szCs w:val="28"/>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资产总额</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272</w:t>
            </w: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113.72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1</w:t>
            </w:r>
            <w:r>
              <w:rPr>
                <w:rFonts w:hint="eastAsia" w:ascii="仿宋_GB2312" w:eastAsia="仿宋_GB2312" w:cs="宋体"/>
                <w:kern w:val="0"/>
                <w:sz w:val="28"/>
                <w:szCs w:val="28"/>
              </w:rPr>
              <w:t>、房屋（平方米）</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ascii="宋体" w:hAnsi="宋体" w:eastAsia="仿宋_GB2312" w:cs="宋体"/>
                <w:kern w:val="0"/>
                <w:sz w:val="28"/>
                <w:szCs w:val="28"/>
              </w:rPr>
              <w:t xml:space="preserve">   </w:t>
            </w:r>
            <w:r>
              <w:rPr>
                <w:rFonts w:hint="eastAsia" w:ascii="仿宋_GB2312" w:eastAsia="仿宋_GB2312" w:cs="宋体"/>
                <w:kern w:val="0"/>
                <w:sz w:val="28"/>
                <w:szCs w:val="28"/>
              </w:rPr>
              <w:t>其中：办公用房（平方米）</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2</w:t>
            </w:r>
            <w:r>
              <w:rPr>
                <w:rFonts w:hint="eastAsia" w:ascii="仿宋_GB2312" w:eastAsia="仿宋_GB2312" w:cs="宋体"/>
                <w:kern w:val="0"/>
                <w:sz w:val="28"/>
                <w:szCs w:val="28"/>
              </w:rPr>
              <w:t>、车辆（台、辆）</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6</w:t>
            </w: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65.75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3</w:t>
            </w:r>
            <w:r>
              <w:rPr>
                <w:rFonts w:hint="eastAsia" w:ascii="仿宋_GB2312" w:eastAsia="仿宋_GB2312" w:cs="宋体"/>
                <w:kern w:val="0"/>
                <w:sz w:val="28"/>
                <w:szCs w:val="28"/>
              </w:rPr>
              <w:t>、单价在</w:t>
            </w:r>
            <w:r>
              <w:rPr>
                <w:rFonts w:ascii="仿宋_GB2312" w:eastAsia="仿宋_GB2312" w:cs="宋体"/>
                <w:kern w:val="0"/>
                <w:sz w:val="28"/>
                <w:szCs w:val="28"/>
              </w:rPr>
              <w:t>50</w:t>
            </w:r>
            <w:r>
              <w:rPr>
                <w:rFonts w:hint="eastAsia" w:ascii="仿宋_GB2312" w:eastAsia="仿宋_GB2312" w:cs="宋体"/>
                <w:kern w:val="0"/>
                <w:sz w:val="28"/>
                <w:szCs w:val="28"/>
              </w:rPr>
              <w:t>万元以上的设备</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4</w:t>
            </w:r>
            <w:r>
              <w:rPr>
                <w:rFonts w:hint="eastAsia" w:ascii="仿宋_GB2312" w:eastAsia="仿宋_GB2312" w:cs="宋体"/>
                <w:kern w:val="0"/>
                <w:sz w:val="28"/>
                <w:szCs w:val="28"/>
              </w:rPr>
              <w:t>、其他固定资产</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宋体" w:hAnsi="宋体" w:eastAsia="仿宋_GB2312" w:cs="宋体"/>
                <w:kern w:val="0"/>
                <w:sz w:val="28"/>
                <w:szCs w:val="28"/>
              </w:rPr>
            </w:pPr>
            <w:r>
              <w:rPr>
                <w:rFonts w:ascii="宋体" w:hAnsi="宋体" w:eastAsia="仿宋_GB2312" w:cs="宋体"/>
                <w:kern w:val="0"/>
                <w:sz w:val="28"/>
                <w:szCs w:val="28"/>
              </w:rPr>
              <w:t>266</w:t>
            </w: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47.97</w:t>
            </w:r>
          </w:p>
        </w:tc>
      </w:tr>
    </w:tbl>
    <w:p>
      <w:pPr>
        <w:spacing w:line="570" w:lineRule="exact"/>
        <w:outlineLvl w:val="0"/>
        <w:rPr>
          <w:rFonts w:ascii="仿宋_GB2312" w:eastAsia="仿宋_GB2312" w:cs="宋体"/>
          <w:color w:val="000000"/>
          <w:kern w:val="0"/>
          <w:sz w:val="32"/>
          <w:szCs w:val="32"/>
        </w:rPr>
      </w:pPr>
    </w:p>
    <w:p>
      <w:pPr>
        <w:pStyle w:val="7"/>
        <w:spacing w:line="570" w:lineRule="exact"/>
        <w:rPr>
          <w:rFonts w:ascii="仿宋_GB2312" w:eastAsia="仿宋_GB2312"/>
          <w:b/>
          <w:bCs/>
          <w:sz w:val="32"/>
          <w:szCs w:val="32"/>
        </w:rPr>
      </w:pPr>
      <w:r>
        <w:rPr>
          <w:rFonts w:hint="eastAsia" w:ascii="黑体" w:eastAsia="黑体" w:cs="宋体"/>
          <w:b/>
          <w:bCs/>
          <w:sz w:val="32"/>
          <w:szCs w:val="32"/>
        </w:rPr>
        <w:t>八、名词解释</w:t>
      </w:r>
      <w:r>
        <w:rPr>
          <w:rFonts w:ascii="黑体" w:eastAsia="黑体" w:cs="宋体"/>
          <w:sz w:val="32"/>
          <w:szCs w:val="32"/>
        </w:rPr>
        <w:br w:type="textWrapping"/>
      </w:r>
      <w:r>
        <w:rPr>
          <w:b/>
          <w:bCs/>
          <w:sz w:val="32"/>
          <w:szCs w:val="32"/>
        </w:rPr>
        <w:t xml:space="preserve">    </w:t>
      </w:r>
      <w:r>
        <w:rPr>
          <w:rFonts w:ascii="仿宋_GB2312" w:eastAsia="仿宋_GB2312"/>
          <w:b/>
          <w:bCs/>
          <w:sz w:val="32"/>
          <w:szCs w:val="32"/>
        </w:rPr>
        <w:t>1</w:t>
      </w:r>
      <w:r>
        <w:rPr>
          <w:rFonts w:hint="eastAsia" w:ascii="仿宋_GB2312" w:eastAsia="仿宋_GB2312" w:cs="FZFangSong-Z02"/>
          <w:sz w:val="32"/>
          <w:szCs w:val="32"/>
        </w:rPr>
        <w:t>、一般公共预算拨款收入：指市级财政当年拨付的资金。</w:t>
      </w:r>
    </w:p>
    <w:p>
      <w:pPr>
        <w:pStyle w:val="7"/>
        <w:spacing w:line="570" w:lineRule="exact"/>
        <w:rPr>
          <w:rFonts w:ascii="仿宋_GB2312" w:eastAsia="仿宋_GB2312" w:cs="FZFangSong-Z02"/>
          <w:sz w:val="32"/>
          <w:szCs w:val="32"/>
        </w:rPr>
      </w:pPr>
      <w:r>
        <w:rPr>
          <w:rFonts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7"/>
        <w:spacing w:line="570" w:lineRule="exact"/>
        <w:rPr>
          <w:rFonts w:ascii="仿宋_GB2312" w:eastAsia="仿宋_GB2312" w:cs="FZFangSong-Z02"/>
          <w:sz w:val="32"/>
          <w:szCs w:val="32"/>
        </w:rPr>
      </w:pPr>
      <w:r>
        <w:rPr>
          <w:rFonts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7"/>
        <w:spacing w:line="570" w:lineRule="exact"/>
        <w:rPr>
          <w:rFonts w:ascii="仿宋_GB2312" w:eastAsia="仿宋_GB2312" w:cs="FZFangSong-Z02"/>
          <w:sz w:val="32"/>
          <w:szCs w:val="32"/>
        </w:rPr>
      </w:pPr>
      <w:r>
        <w:rPr>
          <w:rFonts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spacing w:line="570" w:lineRule="exact"/>
        <w:rPr>
          <w:rFonts w:ascii="仿宋_GB2312" w:eastAsia="仿宋_GB2312"/>
          <w:sz w:val="32"/>
          <w:szCs w:val="32"/>
        </w:rPr>
      </w:pPr>
      <w:r>
        <w:rPr>
          <w:rFonts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7"/>
        <w:spacing w:line="570" w:lineRule="exact"/>
        <w:rPr>
          <w:rFonts w:ascii="仿宋_GB2312" w:eastAsia="仿宋_GB2312"/>
          <w:sz w:val="32"/>
          <w:szCs w:val="32"/>
        </w:rPr>
      </w:pPr>
      <w:r>
        <w:rPr>
          <w:rFonts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7"/>
        <w:spacing w:line="570" w:lineRule="exact"/>
        <w:rPr>
          <w:rFonts w:ascii="仿宋_GB2312" w:eastAsia="仿宋_GB2312" w:cs="FZFangSong-Z02"/>
          <w:sz w:val="32"/>
          <w:szCs w:val="32"/>
        </w:rPr>
      </w:pPr>
      <w:r>
        <w:rPr>
          <w:rFonts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70" w:lineRule="exact"/>
        <w:rPr>
          <w:rFonts w:ascii="仿宋_GB2312" w:eastAsia="仿宋_GB2312" w:cs="FZFangSong-Z02"/>
          <w:sz w:val="32"/>
          <w:szCs w:val="32"/>
        </w:rPr>
      </w:pPr>
      <w:r>
        <w:rPr>
          <w:rFonts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570" w:lineRule="exact"/>
        <w:ind w:left="627" w:hanging="630" w:hangingChars="196"/>
        <w:jc w:val="left"/>
        <w:rPr>
          <w:rFonts w:ascii="宋体" w:hAnsi="宋体" w:eastAsia="仿宋_GB2312" w:cs="宋体"/>
          <w:color w:val="000000"/>
          <w:kern w:val="0"/>
          <w:sz w:val="32"/>
          <w:szCs w:val="32"/>
        </w:rPr>
      </w:pPr>
      <w:r>
        <w:rPr>
          <w:rFonts w:hint="eastAsia" w:ascii="黑体" w:eastAsia="黑体" w:cs="宋体"/>
          <w:b/>
          <w:bCs/>
          <w:color w:val="000000"/>
          <w:kern w:val="0"/>
          <w:sz w:val="32"/>
          <w:szCs w:val="32"/>
        </w:rPr>
        <w:t>九、其</w:t>
      </w:r>
      <w:r>
        <w:rPr>
          <w:rFonts w:hint="eastAsia" w:ascii="黑体" w:eastAsia="黑体" w:cs="宋体"/>
          <w:b/>
          <w:bCs/>
          <w:color w:val="000000"/>
          <w:kern w:val="0"/>
          <w:sz w:val="32"/>
          <w:szCs w:val="32"/>
          <w:lang w:eastAsia="zh-CN"/>
        </w:rPr>
        <w:t>他</w:t>
      </w:r>
      <w:r>
        <w:rPr>
          <w:rFonts w:hint="eastAsia" w:ascii="黑体" w:eastAsia="黑体" w:cs="宋体"/>
          <w:b/>
          <w:bCs/>
          <w:color w:val="000000"/>
          <w:kern w:val="0"/>
          <w:sz w:val="32"/>
          <w:szCs w:val="32"/>
        </w:rPr>
        <w:t>需要说明的事项</w:t>
      </w:r>
      <w:r>
        <w:rPr>
          <w:rFonts w:ascii="黑体" w:eastAsia="黑体" w:cs="宋体"/>
          <w:color w:val="000000"/>
          <w:kern w:val="0"/>
          <w:sz w:val="32"/>
          <w:szCs w:val="32"/>
        </w:rPr>
        <w:br w:type="textWrapping"/>
      </w:r>
      <w:r>
        <w:rPr>
          <w:rFonts w:hint="eastAsia" w:ascii="仿宋_GB2312" w:eastAsia="仿宋_GB2312" w:cs="宋体"/>
          <w:color w:val="000000"/>
          <w:kern w:val="0"/>
          <w:sz w:val="32"/>
          <w:szCs w:val="32"/>
        </w:rPr>
        <w:t>无其</w:t>
      </w:r>
      <w:r>
        <w:rPr>
          <w:rFonts w:hint="eastAsia" w:ascii="仿宋_GB2312" w:eastAsia="仿宋_GB2312" w:cs="宋体"/>
          <w:color w:val="000000"/>
          <w:kern w:val="0"/>
          <w:sz w:val="32"/>
          <w:szCs w:val="32"/>
          <w:lang w:eastAsia="zh-CN"/>
        </w:rPr>
        <w:t>他</w:t>
      </w:r>
      <w:r>
        <w:rPr>
          <w:rFonts w:hint="eastAsia" w:ascii="仿宋_GB2312" w:eastAsia="仿宋_GB2312" w:cs="宋体"/>
          <w:color w:val="000000"/>
          <w:kern w:val="0"/>
          <w:sz w:val="32"/>
          <w:szCs w:val="32"/>
        </w:rPr>
        <w:t>需要说明的事项。</w:t>
      </w:r>
      <w:r>
        <w:rPr>
          <w:rFonts w:ascii="仿宋_GB2312" w:eastAsia="仿宋_GB2312" w:cs="宋体"/>
          <w:color w:val="000000"/>
          <w:kern w:val="0"/>
          <w:sz w:val="32"/>
          <w:szCs w:val="32"/>
        </w:rPr>
        <w:br w:type="textWrapping"/>
      </w:r>
      <w:r>
        <w:rPr>
          <w:rFonts w:ascii="宋体" w:hAnsi="宋体" w:eastAsia="仿宋_GB2312" w:cs="宋体"/>
          <w:color w:val="000000"/>
          <w:kern w:val="0"/>
          <w:sz w:val="32"/>
          <w:szCs w:val="32"/>
        </w:rPr>
        <w:t> </w:t>
      </w:r>
    </w:p>
    <w:p>
      <w:pPr>
        <w:spacing w:line="570" w:lineRule="exact"/>
        <w:rPr>
          <w:rFonts w:eastAsia="仿宋_GB2312"/>
          <w:sz w:val="32"/>
          <w:szCs w:val="32"/>
        </w:rP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FZFangSong-Z02">
    <w:altName w:val="Arial"/>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15A618DA"/>
    <w:rsid w:val="2CD85BF9"/>
    <w:rsid w:val="511D7634"/>
    <w:rsid w:val="74F52A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rFonts w:cs="Times New Roman"/>
      <w:b/>
      <w:bCs/>
    </w:rPr>
  </w:style>
  <w:style w:type="paragraph" w:customStyle="1" w:styleId="7">
    <w:name w:val="Default"/>
    <w:next w:val="3"/>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19</Pages>
  <Words>6759</Words>
  <Characters>7233</Characters>
  <Lines>752</Lines>
  <Paragraphs>266</Paragraphs>
  <TotalTime>0</TotalTime>
  <ScaleCrop>false</ScaleCrop>
  <LinksUpToDate>false</LinksUpToDate>
  <CharactersWithSpaces>7324</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2017-10-27T09:23:00Z</dcterms:created>
  <dc:creator>lenovo</dc:creator>
  <cp:lastModifiedBy>Administrator</cp:lastModifiedBy>
  <dcterms:modified xsi:type="dcterms:W3CDTF">2024-01-18T01:28:18Z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381553614EC34EA1943C53E84CEDAE82</vt:lpwstr>
  </property>
</Properties>
</file>